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0F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0F41" w:rsidRDefault="004F70AC" w:rsidP="0010095E">
            <w:pPr>
              <w:pStyle w:val="EPName"/>
            </w:pPr>
            <w:r w:rsidRPr="00E70F41">
              <w:t>Европейски</w:t>
            </w:r>
            <w:r w:rsidR="00DE4775" w:rsidRPr="00E70F41">
              <w:t xml:space="preserve"> парламент</w:t>
            </w:r>
          </w:p>
          <w:p w:rsidR="00751A4A" w:rsidRPr="00E70F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0F41">
              <w:t>2019</w:t>
            </w:r>
            <w:r w:rsidR="004F70AC">
              <w:t> – </w:t>
            </w:r>
            <w:r w:rsidRPr="00E70F4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70F41" w:rsidRDefault="00187494" w:rsidP="0010095E">
            <w:pPr>
              <w:pStyle w:val="EPLogo"/>
            </w:pPr>
            <w:r w:rsidRPr="00E70F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0F41" w:rsidRDefault="00D058B8" w:rsidP="004C5D52">
      <w:pPr>
        <w:pStyle w:val="LineTop"/>
      </w:pPr>
    </w:p>
    <w:p w:rsidR="00680577" w:rsidRPr="00E70F41" w:rsidRDefault="00DE4775" w:rsidP="00680577">
      <w:pPr>
        <w:pStyle w:val="EPBodyTA1"/>
      </w:pPr>
      <w:r w:rsidRPr="00E70F41">
        <w:t>ПРИЕТИ ТЕКСТОВЕ</w:t>
      </w:r>
    </w:p>
    <w:p w:rsidR="00D058B8" w:rsidRPr="00E70F41" w:rsidRDefault="00D058B8" w:rsidP="00D058B8">
      <w:pPr>
        <w:pStyle w:val="LineBottom"/>
      </w:pPr>
    </w:p>
    <w:p w:rsidR="00DE4775" w:rsidRPr="00E70F41" w:rsidRDefault="00DE4775" w:rsidP="00DE4775">
      <w:pPr>
        <w:pStyle w:val="ATHeading1"/>
      </w:pPr>
      <w:bookmarkStart w:id="0" w:name="TANumber"/>
      <w:r w:rsidRPr="00E70F41">
        <w:t>P9_TA(2024)00</w:t>
      </w:r>
      <w:r w:rsidR="00EE2CF8">
        <w:t>29</w:t>
      </w:r>
      <w:bookmarkEnd w:id="0"/>
    </w:p>
    <w:p w:rsidR="00DE4775" w:rsidRPr="00E70F41" w:rsidRDefault="00DE4775" w:rsidP="00DE4775">
      <w:pPr>
        <w:pStyle w:val="ATHeading2"/>
      </w:pPr>
      <w:bookmarkStart w:id="1" w:name="title"/>
      <w:r w:rsidRPr="00E70F41">
        <w:t>Политически последици от развитието на виртуални светове – въпроси, свързани с гражданското, дружественото и търговското право и правото на интелектуална собственост</w:t>
      </w:r>
      <w:bookmarkEnd w:id="1"/>
    </w:p>
    <w:p w:rsidR="00DE4775" w:rsidRPr="00E70F41" w:rsidRDefault="00DE4775" w:rsidP="00DE4775">
      <w:pPr>
        <w:rPr>
          <w:i/>
          <w:vanish/>
        </w:rPr>
      </w:pPr>
      <w:r w:rsidRPr="00E70F41">
        <w:rPr>
          <w:i/>
        </w:rPr>
        <w:fldChar w:fldCharType="begin"/>
      </w:r>
      <w:r w:rsidRPr="00E70F41">
        <w:rPr>
          <w:i/>
        </w:rPr>
        <w:instrText xml:space="preserve"> TC"(</w:instrText>
      </w:r>
      <w:bookmarkStart w:id="2" w:name="DocNumber"/>
      <w:r w:rsidRPr="00E70F41">
        <w:rPr>
          <w:i/>
        </w:rPr>
        <w:instrText>A9-0442/2023</w:instrText>
      </w:r>
      <w:bookmarkEnd w:id="2"/>
      <w:r w:rsidRPr="00E70F41">
        <w:rPr>
          <w:i/>
        </w:rPr>
        <w:instrText xml:space="preserve"> - Докладчик: Аксел Фос, Ибан Гарсия дел Бланко)"\l3 \n&gt; \* MERGEFORMAT </w:instrText>
      </w:r>
      <w:r w:rsidRPr="00E70F41">
        <w:rPr>
          <w:i/>
        </w:rPr>
        <w:fldChar w:fldCharType="end"/>
      </w:r>
    </w:p>
    <w:p w:rsidR="00DE4775" w:rsidRPr="00E70F41" w:rsidRDefault="00DE4775" w:rsidP="00DE4775">
      <w:pPr>
        <w:rPr>
          <w:vanish/>
        </w:rPr>
      </w:pPr>
      <w:bookmarkStart w:id="3" w:name="Commission"/>
      <w:r w:rsidRPr="00E70F41">
        <w:rPr>
          <w:vanish/>
        </w:rPr>
        <w:t>Комисия по правни въпроси</w:t>
      </w:r>
      <w:bookmarkEnd w:id="3"/>
    </w:p>
    <w:p w:rsidR="00DE4775" w:rsidRPr="00E70F41" w:rsidRDefault="00DE4775" w:rsidP="00DE4775">
      <w:pPr>
        <w:rPr>
          <w:vanish/>
        </w:rPr>
      </w:pPr>
      <w:bookmarkStart w:id="4" w:name="PE"/>
      <w:r w:rsidRPr="00E70F41">
        <w:rPr>
          <w:vanish/>
        </w:rPr>
        <w:t>PE753.772</w:t>
      </w:r>
      <w:bookmarkEnd w:id="4"/>
    </w:p>
    <w:p w:rsidR="00DE4775" w:rsidRPr="00E70F41" w:rsidRDefault="00DE4775" w:rsidP="004F70AC">
      <w:pPr>
        <w:pStyle w:val="ATHeading3"/>
      </w:pPr>
      <w:bookmarkStart w:id="5" w:name="Sujet"/>
      <w:r w:rsidRPr="00E70F41">
        <w:t xml:space="preserve">Резолюция на Европейския парламент от </w:t>
      </w:r>
      <w:r w:rsidR="00EE2CF8">
        <w:t>17</w:t>
      </w:r>
      <w:r w:rsidR="004F70AC">
        <w:t xml:space="preserve"> януари</w:t>
      </w:r>
      <w:r w:rsidRPr="00E70F41">
        <w:t xml:space="preserve"> 2024 г. относно политическите последици от развитието на виртуални светове – въпроси, свързани с гражданското, дружественото и търговското право и правото на интелектуална собственост</w:t>
      </w:r>
      <w:bookmarkEnd w:id="5"/>
      <w:r w:rsidRPr="00E70F41">
        <w:t xml:space="preserve"> </w:t>
      </w:r>
      <w:bookmarkStart w:id="6" w:name="References"/>
      <w:r w:rsidRPr="00E70F41">
        <w:t>(2023/2062(INI))</w:t>
      </w:r>
      <w:bookmarkEnd w:id="6"/>
    </w:p>
    <w:p w:rsidR="00C1212C" w:rsidRPr="00E70F41" w:rsidRDefault="00C1212C" w:rsidP="00C1212C">
      <w:pPr>
        <w:pStyle w:val="EPComma"/>
      </w:pPr>
      <w:bookmarkStart w:id="7" w:name="TextBodyBegin"/>
      <w:bookmarkEnd w:id="7"/>
      <w:r w:rsidRPr="00E70F41">
        <w:rPr>
          <w:rStyle w:val="Italic"/>
        </w:rPr>
        <w:t>Европейският парламент</w:t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Договора за функционирането на Европейския съюз, и по-специално членове 4, 16, 26, 81, 114 и 118 от него,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Бернската конвенция от 1886 г. за закрила на литературните и художествени произведения,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Ницската спогодба относно международната класификация на стоките и услугите за регистрация на марки, изменена на 28 септември 1979 г. и актуализирана в дванадесетото си издание (12-2023),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Договора на Световната организация за интелектуална собственост (СОИС) за авторското право от 1996 г. и Договора на СОИС за изпълненията и звукозаписите от 1996 г.,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</w:t>
      </w:r>
      <w:r w:rsidR="003C53A0">
        <w:t xml:space="preserve">ид Директива </w:t>
      </w:r>
      <w:r w:rsidRPr="00E70F41">
        <w:t>96/9/ЕО на Европейския парламент и на Съвета от 11 март 1996 г. за правна закрила на базите данни</w:t>
      </w:r>
      <w:r w:rsidRPr="00E70F41">
        <w:rPr>
          <w:rStyle w:val="FootnoteReference"/>
        </w:rPr>
        <w:footnoteReference w:id="1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Директива 2005/29/EО на Европейския парламент и на Съвета от 11 май 2005 г. относно нелоялни търговски практики от страна на търговци към потребители на вътрешния пазар и изменение на Директива 84/450/EИО на Съвета, Директиви 97/7/EО, 98/27/EО и 2002/65/EО на Европейския парламент и на Съвета, и Регламент (EО) № 2006/2004 на Европейския парламент и на Съвета („Директива за нелоялни търговски практики“)</w:t>
      </w:r>
      <w:r w:rsidRPr="00E70F41">
        <w:rPr>
          <w:rStyle w:val="FootnoteReference"/>
        </w:rPr>
        <w:footnoteReference w:id="2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 xml:space="preserve">като взе предвид Регламент (ЕО) № 864/2007 на Европейския парламент и на Съвета от 11 юли 2007 година относно приложимото право към извъндоговорни </w:t>
      </w:r>
      <w:r w:rsidRPr="00E70F41">
        <w:lastRenderedPageBreak/>
        <w:t>задължения (Рим II)</w:t>
      </w:r>
      <w:r w:rsidRPr="00E70F41">
        <w:rPr>
          <w:rStyle w:val="FootnoteReference"/>
        </w:rPr>
        <w:footnoteReference w:id="3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(ЕО) № 593/2008 на Европейския парламент и на Съвета от 17 юни 2008 г. относно приложимото право към договорни задължения (Рим I)</w:t>
      </w:r>
      <w:r w:rsidRPr="00E70F41">
        <w:rPr>
          <w:rStyle w:val="FootnoteReference"/>
        </w:rPr>
        <w:footnoteReference w:id="4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Директива 2009/24/ЕО на Европейския парламент и на Съвета от 23 април 2009 г. относно правната закрила на компютърните програми</w:t>
      </w:r>
      <w:r w:rsidRPr="00E70F41">
        <w:rPr>
          <w:rStyle w:val="FootnoteReference"/>
        </w:rPr>
        <w:footnoteReference w:id="5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 № 1215/2012 на Европейския парламент и на Съвета от 12 декември 2012 г. относно компетентността, признаването и изпълнението на съдебни решения по граждански и търговски дела</w:t>
      </w:r>
      <w:r w:rsidRPr="00E70F41">
        <w:rPr>
          <w:rStyle w:val="FootnoteReference"/>
        </w:rPr>
        <w:footnoteReference w:id="6"/>
      </w:r>
      <w:r w:rsidRPr="00E70F41">
        <w:t xml:space="preserve"> (преработеният Регламент „Брюксел I“),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 № 910/2014 на Европейския парламент и на Съвета от 23 юли 2014 г. относно електронната идентификация и удостоверителните услуги при електронни трансакции на вътрешния пазар и за отмяна на Директива 1999/93/ЕО</w:t>
      </w:r>
      <w:r w:rsidRPr="00E70F41">
        <w:rPr>
          <w:rStyle w:val="FootnoteReference"/>
        </w:rPr>
        <w:footnoteReference w:id="7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Директива (ЕС) 2016/943 на Европейския парламент и на Съвета от 8 юни 2016 г. относно защитата на неразкрити ноу-хау и търговска информация (търговски тайни) срещу тяхното незаконно придобиване, използване и разкриване</w:t>
      </w:r>
      <w:r w:rsidRPr="00E70F41">
        <w:rPr>
          <w:rStyle w:val="FootnoteReference"/>
        </w:rPr>
        <w:footnoteReference w:id="8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</w:t>
      </w:r>
      <w:r w:rsidRPr="00E70F41">
        <w:rPr>
          <w:rStyle w:val="FootnoteReference"/>
        </w:rPr>
        <w:footnoteReference w:id="9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Директива (ЕС) 2016/680 на Европейския парламент и на Съвета от 27 април 2016 г. относно защитата на физическите лица във връзка с обработването на лични данни от компетентните органи за целите на предотвратяването, разследването, разкриването или наказателното преследване на престъпления или изпълнението на наказания и относно свободното движение на такива данни</w:t>
      </w:r>
      <w:r w:rsidRPr="00E70F41">
        <w:rPr>
          <w:rStyle w:val="FootnoteReference"/>
        </w:rPr>
        <w:footnoteReference w:id="10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Директива (ЕС) 2016/2102 на Европейския парламент и на Съвета от 26 октомври 2016 г. относно достъпността на уебсайтовете и мобилните приложения на организациите от обществения сектор</w:t>
      </w:r>
      <w:r w:rsidRPr="00E70F41">
        <w:rPr>
          <w:rStyle w:val="FootnoteReference"/>
        </w:rPr>
        <w:footnoteReference w:id="11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 xml:space="preserve">като взе предвид Регламент (ЕС) 2017/1001 на Европейския парламент и на </w:t>
      </w:r>
      <w:r w:rsidRPr="00E70F41">
        <w:lastRenderedPageBreak/>
        <w:t>Съвета от 14 юни 2017 г. относно марката на Европейския съюз</w:t>
      </w:r>
      <w:r w:rsidRPr="00E70F41">
        <w:rPr>
          <w:rStyle w:val="FootnoteReference"/>
        </w:rPr>
        <w:footnoteReference w:id="12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 2018/1725 на Европейския парламент и на Съвета от 23 октомври 2018 г. относно защитата на физическите лица във връзка с обработването на лични данни от институциите, органите, службите и агенциите на Съюза и относно свободното движение на такива данни и за отмяна на Регламент (ЕО) № 45/2001 и Решение № 1247/2002/ЕО</w:t>
      </w:r>
      <w:r w:rsidRPr="00E70F41">
        <w:rPr>
          <w:rStyle w:val="FootnoteReference"/>
        </w:rPr>
        <w:footnoteReference w:id="13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 2018/1807 на Европейския парламент и на Съвета от 14 ноември 2018 г. относно рамка за свободното движение на нелични данни в Европейския съюз</w:t>
      </w:r>
      <w:r w:rsidRPr="00E70F41">
        <w:rPr>
          <w:rStyle w:val="FootnoteReference"/>
        </w:rPr>
        <w:footnoteReference w:id="14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Директива (ЕС) 2019/790 на Европейския парламент и на Съвета от 17 април 2019 г. относно авторското право и сродните му права в цифровия единен пазар и за изменение на директиви 96/9/ЕО и 2001/29/ЕО</w:t>
      </w:r>
      <w:r w:rsidRPr="00E70F41">
        <w:rPr>
          <w:rStyle w:val="FootnoteReference"/>
        </w:rPr>
        <w:footnoteReference w:id="15"/>
      </w:r>
      <w:r w:rsidRPr="00E70F41">
        <w:t xml:space="preserve"> („Директива относно авторското право“),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Директива (ЕС) 2019/882 на Европейския парламент и на Съвета от 17 април 2019 г. за изискванията за достъпност на продукти и услуги</w:t>
      </w:r>
      <w:r w:rsidRPr="00E70F41">
        <w:rPr>
          <w:rStyle w:val="FootnoteReference"/>
        </w:rPr>
        <w:footnoteReference w:id="16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Директива (ЕС) 2019/1024 на Европейския парламент и на Съвета от 20 юни 2019 година относно отворените данни и повторното използване на информацията от обществения сектор</w:t>
      </w:r>
      <w:r w:rsidRPr="00E70F41">
        <w:rPr>
          <w:rStyle w:val="FootnoteReference"/>
        </w:rPr>
        <w:footnoteReference w:id="17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 2019/1150 на Европейския парламент и на Съвета от 20 юни 2019 г. за насърчаване на справедливост и прозрачност за бизнес ползвателите на посреднически онлайн услуги</w:t>
      </w:r>
      <w:r w:rsidRPr="00E70F41">
        <w:rPr>
          <w:rStyle w:val="FootnoteReference"/>
        </w:rPr>
        <w:footnoteReference w:id="18"/>
      </w:r>
      <w:r w:rsidRPr="00E70F41">
        <w:t>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предложението за регламент на Европейския парламент и на Съвета за определяне на хармонизирани правила относно изкуствения интелект (Законодателен акт за изкуствения интелект) и за изменение на някои законодателни актове на Съюза (COM(2021)0206),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предложението за регламент на Европейския парламент и на Съвета за изменение на Регламент (ЕС) № 910/2014 по отношение на създаването на рамка за европейска цифрова самоличност (COM(2021)0281),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предложението за регламент на Европейския парламент и на Съвета относно хармонизирани правила за справедлив достъп до данни и тяхното използване (Законодателен акт за данните) (COM(2022)0068),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предложението за Директива на Европейския парламент и на Съвета относно отговорността за дефектни продукти, (COM(2022)0495),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lastRenderedPageBreak/>
        <w:t>–</w:t>
      </w:r>
      <w:r w:rsidRPr="00E70F41">
        <w:tab/>
        <w:t>като взе предвид предложението за директива на Европейския парламент и на Съвета за адаптиране на правилата за извъндоговорна гражданска отговорност към изкуствения интелект (Директива относно отговорността във връзка с ИИ) (COM(2022)0496),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 (ЕС) 2022/868 на Европейския парламент и на Съвета от 30 май 2022 г. относно европейска рамка за управление на данните и за изменение на Регламент (ЕС) 2018/1724 (Акт за управление на данните)</w:t>
      </w:r>
      <w:r w:rsidRPr="00E70F41">
        <w:rPr>
          <w:rStyle w:val="FootnoteReference"/>
        </w:rPr>
        <w:footnoteReference w:id="19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(EС) 2022/1925 на Европейския парламент и на Съвета от 14 септември 2022 г. за достъпни и справедливи пазари в цифровия сектор и за изменение на директиви (EС) 2019/1937 и (ЕС) 2020/1828 (Акт за цифровите пазари)</w:t>
      </w:r>
      <w:r w:rsidRPr="00E70F41">
        <w:rPr>
          <w:rStyle w:val="FootnoteReference"/>
        </w:rPr>
        <w:footnoteReference w:id="20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 2022/2065 на Европейския парламент и на Съвета от 19 октомври 2022 г. относно единния пазар на цифрови услуги и за изменение на Директива 2000/31/ЕО (Акт за цифровите услуги)</w:t>
      </w:r>
      <w:r w:rsidRPr="00E70F41">
        <w:rPr>
          <w:rStyle w:val="FootnoteReference"/>
        </w:rPr>
        <w:footnoteReference w:id="21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 2023/988 на Европейския парламент и на Съвета от 10 май 2023 г. относно общата безопасност на продуктите, за изменение на Регламент (ЕС) № 1025/2012 на Европейския парламент и на Съвета и на Директива (ЕС) 2020/1828 на Европейския парламент и на Съвета, и за отмяна на Директива 2001/95/ЕО на Европейския парламент и на Съвета и на Директива 87/357/ЕИО на Съвета</w:t>
      </w:r>
      <w:r w:rsidRPr="00E70F41">
        <w:rPr>
          <w:rStyle w:val="FootnoteReference"/>
        </w:rPr>
        <w:footnoteReference w:id="22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Регламент (ЕС) 2023/1114 на Европейския парламент и на Съвета от 31 май 2023 г. относно пазарите на криптоактиви и за изменение на регламенти (ЕС) № 1093/2010 и (ЕС) № 1095/2010 и на директиви 2013/36/ЕС и (ЕС) 2019/1937</w:t>
      </w:r>
      <w:r w:rsidRPr="00E70F41">
        <w:rPr>
          <w:rStyle w:val="FootnoteReference"/>
        </w:rPr>
        <w:footnoteReference w:id="23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своята резолюция от 20 октомври 2020 г. относно правата върху интелектуалната собственост за разработването на технологии за изкуствен интелект (A9-0176/2020)</w:t>
      </w:r>
      <w:r w:rsidRPr="00E70F41">
        <w:rPr>
          <w:rStyle w:val="FootnoteReference"/>
        </w:rPr>
        <w:footnoteReference w:id="24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съобщението на Комисията до Европейския парламент, Съвета, Европейския икономически и социален комитет и Комитета на регионите, озаглавено „За максимално оползотворяване на потенциала за иновации на ЕС — План за действие в областта на интелектуалната собственост в подкрепа на възстановяването и устойчивостта на ЕС“ (COM(2020)0760),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своята резолюция от 11 ноември 2021 г. относно плана за действие в областта на интелектуалната собственост в подкрепа на възстановяването и устойчивостта на ЕС</w:t>
      </w:r>
      <w:r w:rsidRPr="00E70F41">
        <w:rPr>
          <w:rStyle w:val="FootnoteReference"/>
        </w:rPr>
        <w:footnoteReference w:id="25"/>
      </w:r>
      <w:r w:rsidRPr="00E70F41">
        <w:t>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lastRenderedPageBreak/>
        <w:t>–</w:t>
      </w:r>
      <w:r w:rsidRPr="00E70F41">
        <w:tab/>
        <w:t>като взе предвид съобщението на Комисията от 11 юли 2023 г., озаглавено „Инициатива на ЕС относно Web 4.0 и виртуалните светове: начален старт на следващия технологичен преход“;</w:t>
      </w:r>
    </w:p>
    <w:p w:rsidR="00C1212C" w:rsidRPr="00E70F41" w:rsidRDefault="00C1212C" w:rsidP="00C1212C">
      <w:pPr>
        <w:pStyle w:val="NormalHanging12a"/>
        <w:rPr>
          <w:b/>
          <w:i/>
        </w:rPr>
      </w:pPr>
      <w:r w:rsidRPr="00E70F41">
        <w:rPr>
          <w:b/>
          <w:i/>
        </w:rPr>
        <w:t>–</w:t>
      </w:r>
      <w:r w:rsidRPr="00E70F41">
        <w:rPr>
          <w:b/>
          <w:i/>
        </w:rPr>
        <w:tab/>
      </w:r>
      <w:r w:rsidRPr="00E70F41">
        <w:t>като взе предвид съобщението на Комисията от 11 май 2022 г., озаглавено „Цифрово десетилетие за децата и младежите: новата европейска стратегия за по-добър интернет за децата (BIK+)“ (COM</w:t>
      </w:r>
      <w:r w:rsidR="003C53A0">
        <w:t xml:space="preserve"> </w:t>
      </w:r>
      <w:r w:rsidRPr="00E70F41">
        <w:t>(2022)0212),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член 54 от своя Правилник за дейността,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–</w:t>
      </w:r>
      <w:r w:rsidRPr="00E70F41">
        <w:tab/>
        <w:t>като взе предвид член 54 от своя Правилник за дейността</w:t>
      </w:r>
      <w:r w:rsidR="003C53A0">
        <w:t xml:space="preserve"> </w:t>
      </w:r>
      <w:r w:rsidR="003C53A0" w:rsidRPr="000533AA">
        <w:t>(A9-0442/2023),</w:t>
      </w:r>
      <w:bookmarkStart w:id="8" w:name="_GoBack"/>
      <w:bookmarkEnd w:id="8"/>
    </w:p>
    <w:p w:rsidR="00C1212C" w:rsidRPr="00E70F41" w:rsidRDefault="00C1212C" w:rsidP="00C1212C">
      <w:pPr>
        <w:pStyle w:val="NormalHanging12a"/>
        <w:widowControl w:val="0"/>
      </w:pPr>
      <w:r w:rsidRPr="00E70F41">
        <w:t>А.</w:t>
      </w:r>
      <w:r w:rsidRPr="00E70F41">
        <w:tab/>
        <w:t>като има предвид, че виртуалните светове все още не са широко възприети, въпреки че тяхното внедряване в редица случаи на употреба в различни сектори повиши общата осведоменост и привлече вниманието на публичните органи;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Б.</w:t>
      </w:r>
      <w:r w:rsidRPr="00E70F41">
        <w:tab/>
        <w:t>като има предвид, че е от съществено значение да продължаваме да насърчаваме и разработваме нови технологии, да признаваме потенциала им за промени в сфери като образованието, културата, здравеопазването, игрите и много други, като същевременно разглеждаме рисковете, до които тези нови технологии могат да доведат;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В.</w:t>
      </w:r>
      <w:r w:rsidRPr="00E70F41">
        <w:tab/>
        <w:t>като има предвид, че според експертите може да са необходими още между 10 и 15 години, преди виртуалните светове да достигнат пълния си потенциал, и че през следващите години тяхното развитие може да окаже значително въздействие върху цифровия пейзаж, като създаде както възможности, така и рискове, на които трябва да се обърне внимание;</w:t>
      </w:r>
    </w:p>
    <w:p w:rsidR="00C1212C" w:rsidRPr="00E70F41" w:rsidRDefault="00C1212C" w:rsidP="00C1212C">
      <w:pPr>
        <w:pStyle w:val="NormalHanging12a"/>
      </w:pPr>
      <w:r w:rsidRPr="00E70F41">
        <w:t>Г.</w:t>
      </w:r>
      <w:r w:rsidRPr="00E70F41">
        <w:tab/>
        <w:t>като има предвид, че цифровият суверенитет е средство за насърчаване на идеята за европейско лидерство и стратегическа автономност и че е от ключово значение за гарантиране на способността на ЕС да изготвя и прилага законодателство в цифровата среда, като гарантира етични, устойчиви и ориентирани към човека виртуални светове и защитава основните права и ценности на ЕС;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rPr>
          <w:rStyle w:val="BoldItalic"/>
        </w:rPr>
        <w:t>Определения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1.</w:t>
      </w:r>
      <w:r w:rsidRPr="00E70F41">
        <w:tab/>
        <w:t>отбелязва, че понятията „метавселена“ и „виртуален свят“ понастоящем нямат консолидирани определения;</w:t>
      </w:r>
    </w:p>
    <w:p w:rsidR="00C1212C" w:rsidRPr="00E70F41" w:rsidRDefault="00C1212C" w:rsidP="00C1212C">
      <w:pPr>
        <w:pStyle w:val="NormalHanging12a"/>
      </w:pPr>
      <w:r w:rsidRPr="00E70F41">
        <w:t>2.</w:t>
      </w:r>
      <w:r w:rsidRPr="00E70F41">
        <w:tab/>
        <w:t>във връзка с това приветства предложението, включено в съобщението на Комисията, за определение, съсредоточено върху основните характеристики на виртуалните светове, а именно: „виртуалните светове са устойчива, потапяща среда, основана на технологии, включително 3D и разширена реалност (XR), които дават възможност физическите и цифровите светове да се смесят в реално време за различни цели, например проектиране, симулации, сътрудничество, учене, социализиране, извършване на трансакции или предоставяне на развлечения“; отбелязва, че много от технологиите, наричани „виртуални светове“, съществуват от години; подчертава, че една бъдеща европейска стратегия следва да се основава на научни изследвания, научни доказателства и обществена значимост;</w:t>
      </w:r>
    </w:p>
    <w:p w:rsidR="00C1212C" w:rsidRPr="00E70F41" w:rsidRDefault="00C1212C" w:rsidP="00C1212C">
      <w:pPr>
        <w:pStyle w:val="NormalHanging12a"/>
      </w:pPr>
      <w:r w:rsidRPr="00E70F41">
        <w:lastRenderedPageBreak/>
        <w:t>3.</w:t>
      </w:r>
      <w:r w:rsidRPr="00E70F41">
        <w:tab/>
        <w:t>подчертава, че за пълното развитие на екосистема от взаимосвързани виртуални светове е изключително важно да се насърчават стандартизацията и оперативната съвместимост;</w:t>
      </w:r>
    </w:p>
    <w:p w:rsidR="00C1212C" w:rsidRPr="00E70F41" w:rsidRDefault="00C1212C" w:rsidP="00C1212C">
      <w:pPr>
        <w:pStyle w:val="NormalHanging12a"/>
        <w:widowControl w:val="0"/>
        <w:rPr>
          <w:rStyle w:val="BoldItalic"/>
        </w:rPr>
      </w:pPr>
      <w:r w:rsidRPr="00E70F41">
        <w:rPr>
          <w:rStyle w:val="BoldItalic"/>
        </w:rPr>
        <w:t>Подходяща етична и правна рамка</w:t>
      </w:r>
    </w:p>
    <w:p w:rsidR="00C1212C" w:rsidRPr="00E70F41" w:rsidRDefault="00C1212C" w:rsidP="00C1212C">
      <w:pPr>
        <w:pStyle w:val="NormalHanging12a"/>
      </w:pPr>
      <w:r w:rsidRPr="00E70F41">
        <w:t>4.</w:t>
      </w:r>
      <w:r w:rsidRPr="00E70F41">
        <w:tab/>
        <w:t>подчертава, че виртуалните светове, достъпни в ЕС, следва да спазват етичните ценности, принципите и основните права, залегнали в Хартата на основните права на Европейския съюз</w:t>
      </w:r>
      <w:r w:rsidRPr="00E70F41">
        <w:rPr>
          <w:vertAlign w:val="superscript"/>
        </w:rPr>
        <w:footnoteReference w:id="26"/>
      </w:r>
      <w:r w:rsidRPr="00E70F41">
        <w:t xml:space="preserve"> и съществуващото законодателство на ЕС, а именно в областта на неприкосновеността на личните данни, стандартите за сигурност и безопасност, споделянето на данни, модерирането на съдържание, борбата срещу тормоза и речта на омразата, киберсигурността, правата на работниците, защитата на потребителите и децата, изискванията за достъпност, зачитането на правата върху интелектуалната собственост, защитата на ноухау и търговски тайни, предотвратяването на злоупотребите и измамите онлайн и оспорваните и справедливите пазари;</w:t>
      </w:r>
    </w:p>
    <w:p w:rsidR="00C1212C" w:rsidRPr="00E70F41" w:rsidRDefault="00C1212C" w:rsidP="00C1212C">
      <w:pPr>
        <w:pStyle w:val="NormalHanging12a"/>
      </w:pPr>
      <w:r w:rsidRPr="00E70F41">
        <w:t>5.</w:t>
      </w:r>
      <w:r w:rsidRPr="00E70F41">
        <w:tab/>
        <w:t>припомня, че виртуалните светове следва да се развиват и разгръщат в съответствие с общия принцип, че това, което е незаконно офлайн, следва да бъде незаконно онлайн, като се гарантира, че правата на хората, със силен акцент върху децата, като ползватели, потребители, работници, инвеститори, носители на права и творци изцяло се зачитат;</w:t>
      </w:r>
    </w:p>
    <w:p w:rsidR="00C1212C" w:rsidRPr="00E70F41" w:rsidRDefault="00C1212C" w:rsidP="00C1212C">
      <w:pPr>
        <w:pStyle w:val="NormalHanging12a"/>
      </w:pPr>
      <w:r w:rsidRPr="00E70F41">
        <w:t>6.</w:t>
      </w:r>
      <w:r w:rsidRPr="00E70F41">
        <w:tab/>
        <w:t>отбелязва, че по-специално следните законодателни актове вече се прилагат към различни аспекти от виртуалните светове: Законодателен акт за цифровите услуги; Законодателен акт за цифровите пазари; Акт за управление на данните; Законодателен акт за данните; предложеният законодателен акт за ИИ; Общ регламент относно защитата на данните</w:t>
      </w:r>
      <w:r w:rsidRPr="00E70F41">
        <w:rPr>
          <w:rStyle w:val="FootnoteReference"/>
        </w:rPr>
        <w:footnoteReference w:id="27"/>
      </w:r>
      <w:r w:rsidRPr="00E70F41">
        <w:t xml:space="preserve"> (ОРЗД); Регламент относно общата безопасност на продуктите; Директива за нелоялни търговски практики; Регламент относно пазарите на криптоактиви; Европейска цифрова идентичност; Директива за авторското право в цифровия единен пазар; Регламент за марките на Европейския съюз; Директива относно закрилата на търговски тайни; Европейски акт за достъпността; и Директива за достъпността на уебсайтовете;</w:t>
      </w:r>
    </w:p>
    <w:p w:rsidR="00C1212C" w:rsidRPr="00E70F41" w:rsidRDefault="00C1212C" w:rsidP="00C1212C">
      <w:pPr>
        <w:pStyle w:val="NormalHanging12a"/>
      </w:pPr>
      <w:r w:rsidRPr="00E70F41">
        <w:t>7.</w:t>
      </w:r>
      <w:r w:rsidRPr="00E70F41">
        <w:tab/>
        <w:t>подчертава, че е важно редовно да се наблюдава спазването и да се гарантира ефективното прилагане на приложимите действащи правни инструменти; призовава Комисията да разработи насоки и най-добри практики в сътрудничество с различни заинтересовани страни, включително представители на гражданското общество и организациите за защита на потребителите, както и академичните среди, като изясни правните задължения и отговорности на всяка заинтересована страна, участваща във виртуални светове, например оператори на платформи, доставчици на услуги, разработчици и ползватели, в съответствие с приложимото право на ЕС;</w:t>
      </w:r>
    </w:p>
    <w:p w:rsidR="00C1212C" w:rsidRPr="00E70F41" w:rsidRDefault="00C1212C" w:rsidP="00C1212C">
      <w:pPr>
        <w:pStyle w:val="NormalHanging12a"/>
      </w:pPr>
      <w:r w:rsidRPr="00E70F41">
        <w:lastRenderedPageBreak/>
        <w:t>8.</w:t>
      </w:r>
      <w:r w:rsidRPr="00E70F41">
        <w:tab/>
        <w:t>подчертава, че е от първостепенно значение Комисията да извършва редовни проверки за пригодност на приложимите действащи правни инструменти, а именно относно възможния преглед на Директивата за нелоялни търговски практики, Директивата за правата на потребителите</w:t>
      </w:r>
      <w:r w:rsidRPr="00E70F41">
        <w:rPr>
          <w:rStyle w:val="FootnoteReference"/>
        </w:rPr>
        <w:footnoteReference w:id="28"/>
      </w:r>
      <w:r w:rsidRPr="00E70F41">
        <w:t xml:space="preserve"> и Директивата относно неравноправните клаузи в потребителските договори</w:t>
      </w:r>
      <w:r w:rsidRPr="00E70F41">
        <w:rPr>
          <w:rStyle w:val="FootnoteReference"/>
        </w:rPr>
        <w:footnoteReference w:id="29"/>
      </w:r>
      <w:r w:rsidRPr="00E70F41">
        <w:t>, както и че всяко бъдещо законодателство относно виртуалните светове следва да избягва припокриване или несъответствия, като същевременно запълва пропуските, когато е необходимо;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9.</w:t>
      </w:r>
      <w:r w:rsidRPr="00E70F41">
        <w:tab/>
        <w:t>отбелязва, че въпреки това някои регулаторни въпроси вече са очевидни в областта на международното частно право, гражданското право и правото в областта на интелектуалната собственост, както е посочено в разделите по-долу;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10.</w:t>
      </w:r>
      <w:r w:rsidRPr="00E70F41">
        <w:tab/>
        <w:t>подчертава, че според неотдавнашни изследвания данните от датчиците на виртуалната реалност са също толкова еднозначно разпознаваеми, колкото сканирането на пръстови отпечатъци, и могат да се използват за получаване на задълбочена информация относно личността на ползвателя и за извеждане на заключения относно различни характеристики, например възраст, пол, доходи, етническа принадлежност, статут на лице с увреждане, настроения и емоции; счита, че това поражда съществени етични и правни опасения, по-специално във връзка с целевата поведенческа реклама, които следва да бъдат разгледани; подчертава, че част от преодоляването на тези етични опасения във връзка със събирането на огромни количества лични данни, включително чувствителни данни на ползвателите като биометрични и поведенчески данни, емоционални реакции и тактилна информация, означава да се гарантира, че ползвателите са уведомени за събирането на данни и че съгласието за събирането на такива данни се получава не само в момента на влизане във виртуалния свят, а за всеки случай на употреба в съответствие с принципите, установени в Общия регламент относно защитата на данните, като например тези, свързани с неприкосновеността на личния живот още при проектирането и ограничаването в рамките на целта;</w:t>
      </w:r>
    </w:p>
    <w:p w:rsidR="00C1212C" w:rsidRPr="00E70F41" w:rsidRDefault="00C1212C" w:rsidP="00C1212C">
      <w:pPr>
        <w:pStyle w:val="NormalHanging12a"/>
      </w:pPr>
      <w:r w:rsidRPr="00E70F41">
        <w:t>11.</w:t>
      </w:r>
      <w:r w:rsidRPr="00E70F41">
        <w:tab/>
        <w:t>подчертава, че когато разпознаването на ползвателя не се изисква от правото на Съюза или националното право, именно за целите на установяване на отговорността, и е технически възможно и разумно, виртуалните светове следва да дават възможност за анонимно използване на услуги като начин за защита на неприкосновеността на личния живот и ефективно да предотвратяват неразрешеното разкриване на данни, кражбата на самоличност и други форми на злоупотреба с лични данни, събирани онлайн;</w:t>
      </w:r>
    </w:p>
    <w:p w:rsidR="00C1212C" w:rsidRPr="00E70F41" w:rsidRDefault="00C1212C" w:rsidP="00C1212C">
      <w:pPr>
        <w:pStyle w:val="NormalHanging12a"/>
      </w:pPr>
      <w:r w:rsidRPr="00E70F41">
        <w:t>12.</w:t>
      </w:r>
      <w:r w:rsidRPr="00E70F41">
        <w:tab/>
        <w:t xml:space="preserve">във връзка с това отбелязва, че действията, предложени от Комисията в нейното съобщение, целящи повишаване на осведомеността, подобряване на цифровите умения и увеличаване на достъпа на ползвателите до ключови технологии, по-специално чрез улесняване на достъпа до инфраструктура за високоскоростен </w:t>
      </w:r>
      <w:r w:rsidRPr="00E70F41">
        <w:lastRenderedPageBreak/>
        <w:t>интернет и подходящо оборудване, са от решаващо значение за избягване на цифровото разделение и следва да се приложат възможно най-бързо, за да се насърчи приобщаващо и конкурентоспособно цифрово общество и да се гарантира, че никой не се пренебрегва в тези бързи технологични промени;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rPr>
          <w:rStyle w:val="BoldItalic"/>
        </w:rPr>
        <w:t>Международно частно право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13.</w:t>
      </w:r>
      <w:r w:rsidRPr="00E70F41">
        <w:tab/>
        <w:t>подчертава, че някои традиционни териториални принципи относно приложимото право и юрисдикция могат да се окажат неподходящи за виртуалните светове, чиято нетериториалност е възможна чрез използването на децентрализирани технологии като блоковата верига, и да породят проблеми, свързани с гарантирането на приложимостта на правото на ЕС и защитата на правата на потребителите и предприятията;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14.</w:t>
      </w:r>
      <w:r w:rsidRPr="00E70F41">
        <w:tab/>
        <w:t>отбелязва по-специално, че тъй като всички навсякъде по света имат достъп до виртуални светове, „мозаечният критерий“, установен от Съда на Европейския съюз, според който увреденото лице може да търси обезщетение в съдилищата на държавите, в които е настъпила поне част от вредата, може да не е валиден; припомня обаче, че Съдът е установил допълнителен критерий, според който увредените лица могат да предявяват искове за обезщетение пред съдилищата на държавата, в която се намират основните им интереси, и потвърждава, че би могло да се обмисли кодифицирането на този критерий в Регламент Брюксел I;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15.</w:t>
      </w:r>
      <w:r w:rsidRPr="00E70F41">
        <w:tab/>
        <w:t>отбелязва, че определението за „потребител“ в Регламент „Брюксел I“ понастоящем се основава на преки договорни отношения, които липсват например между емитента на незаменяем токен (NFT) и купувача, когато NFT се пуска на вторичен пазар; отбелязва, че следователно в случай на спор с емитента крайният купувач би бил лишен от юрисдикционното третиране, което Регламент „Брюксел I“ предоставя на потребителите;</w:t>
      </w:r>
    </w:p>
    <w:p w:rsidR="00C1212C" w:rsidRPr="00E70F41" w:rsidRDefault="00C1212C" w:rsidP="00C1212C">
      <w:pPr>
        <w:pStyle w:val="NormalHanging12a"/>
      </w:pPr>
      <w:r w:rsidRPr="00E70F41">
        <w:t>16.</w:t>
      </w:r>
      <w:r w:rsidRPr="00E70F41">
        <w:tab/>
        <w:t>призовава Комисията да вземе предвид тези и други потенциално проблематични положения и да направи оценка на целесъобразността на съществуващите разпоредби на международното частно право, приложимо в ЕС, като предложи подходящи изменения, когато е необходимо, за да се гарантира, че гражданите и предприятията не трябва систематично да водят дела в чуждестранни съдилища или съгласно чуждестранни закони, за да упражнят своите права, като по този начин техните права съгласно регулаторната рамка на ЕС са напълно гарантирани и същевременно се взема предвид рискът от търсене на най-благоприятната правна система, по-специално от страна на дружества извън ЕС;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rPr>
          <w:rStyle w:val="BoldItalic"/>
        </w:rPr>
        <w:t>Гражданско право</w:t>
      </w:r>
    </w:p>
    <w:p w:rsidR="00C1212C" w:rsidRPr="00E70F41" w:rsidRDefault="00C1212C" w:rsidP="00C1212C">
      <w:pPr>
        <w:pStyle w:val="NormalHanging12a"/>
      </w:pPr>
      <w:r w:rsidRPr="00E70F41">
        <w:t>17.</w:t>
      </w:r>
      <w:r w:rsidRPr="00E70F41">
        <w:tab/>
        <w:t>отбелязва, че броят и икономическото значение на търговските сделки в рамките на виртуалните светове се очаква да се увеличат през следващото десетилетие; подчертава в този контекст необходимостта да се гарантира, че доставчиците на виртуални стоки и услуги могат да бъдат идентифицирани и подведени под отговорност за всяка вреда, причинена от техните продукти;</w:t>
      </w:r>
    </w:p>
    <w:p w:rsidR="00C1212C" w:rsidRPr="00E70F41" w:rsidRDefault="00C1212C" w:rsidP="00C1212C">
      <w:pPr>
        <w:pStyle w:val="NormalHanging12a"/>
      </w:pPr>
      <w:r w:rsidRPr="00E70F41">
        <w:t>18.</w:t>
      </w:r>
      <w:r w:rsidRPr="00E70F41">
        <w:tab/>
        <w:t xml:space="preserve">посочва опасенията, породени от рекламните техники, използвани при продажбата на т.нар. „виртуални недвижими имоти“, например сграда или парцел земя във виртуален свят, представлявани от NFT, тъй като ползвателите могат да </w:t>
      </w:r>
      <w:r w:rsidRPr="00E70F41">
        <w:lastRenderedPageBreak/>
        <w:t>бъдат подведени да счетат, че действително придобиват права на собственост, когато на практика получават единствено лиценз за използване на виртуалната „земя“; подчертава, че е важно да се гарантира, че приложимите условия са прозрачни, ясни, справедливи и лесно разбираеми, по-специално тъй като е доказано, че поради подробния и технически характер на приложимите общи условия потребителите често не ги прочитат;</w:t>
      </w:r>
    </w:p>
    <w:p w:rsidR="00C1212C" w:rsidRPr="00E70F41" w:rsidRDefault="00C1212C" w:rsidP="00C1212C">
      <w:pPr>
        <w:pStyle w:val="NormalHanging12a"/>
      </w:pPr>
      <w:r w:rsidRPr="00E70F41">
        <w:t>19.</w:t>
      </w:r>
      <w:r w:rsidRPr="00E70F41">
        <w:tab/>
        <w:t>припомня, че правилата за отговорност следва да се прилагат изцяло за виртуалните светове, и подчертава, че е важно да се въведат ефективни мерки за предотвратяване и справяне с формите на вредно поведение, както и правото да се прилага в съответствие с основните права във виртуалните светове, включително, ако е целесъобразно и без да се засяга правото да се търси съдебна защита, установяване на механизми за докладване и за разрешаване на спорове;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20.</w:t>
      </w:r>
      <w:r w:rsidRPr="00E70F41">
        <w:tab/>
        <w:t>изразява загриженост, че използването на аватари и децентрализирани системи, например тези, основаващи се на технологията на блоковата верига, може да направи изключително трудно търсенето на отговорност от делинквентите; счита, че прилагането на ефективни системи за управление на самоличностите е от ключово значение, за да се даде възможност за правилното и своевременното им идентифициране и за борба с фалшивите самоличности, като се вземат предвид и особеностите, свързани с управлението на децентрализираните автономни организации и с колективната отговорност; във връзка с това приветства намерението на Комисията да проучи добавената стойност на евентуална правна рамка за децентрализираните автономни организации;</w:t>
      </w:r>
    </w:p>
    <w:p w:rsidR="00C1212C" w:rsidRPr="00E70F41" w:rsidRDefault="00C1212C" w:rsidP="00C1212C">
      <w:pPr>
        <w:pStyle w:val="NormalHanging12a"/>
      </w:pPr>
      <w:r w:rsidRPr="00E70F41">
        <w:t>21.</w:t>
      </w:r>
      <w:r w:rsidRPr="00E70F41">
        <w:tab/>
        <w:t>припомня, че аватарите нямат правосубектност, така че всички въпроси, свързани с тяхната правоспособност, права, задължения и отговорности, трябва да бъдат разглеждани с позоваване на физическите или юридическите лица, които ги използват; счита, че тъй като виртуалните светове се развиват и стават по-сложни, следва да се разгледа дали е целесъобразно да се предостави специален правен статут на аватарите; счита, че самоличността на аватара или лицето зад аватара следва да може да се установява и че следва да бъде приложим принципът „познавай своя бизнес клиент“;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rPr>
          <w:rStyle w:val="BoldItalic"/>
        </w:rPr>
        <w:t>Право в областта на интелектуалната собственост</w:t>
      </w:r>
    </w:p>
    <w:p w:rsidR="00C1212C" w:rsidRPr="00E70F41" w:rsidRDefault="00C1212C" w:rsidP="00C1212C">
      <w:pPr>
        <w:pStyle w:val="NormalHanging12a"/>
      </w:pPr>
      <w:r w:rsidRPr="00E70F41">
        <w:t>22.</w:t>
      </w:r>
      <w:r w:rsidRPr="00E70F41">
        <w:tab/>
        <w:t>подчертава, че законодателството на ЕС относно защитата на правата върху интелектуалната и индустриалната собственост, включително авторските права, марките, патентите, промишлените дизайни и търговските тайни, изцяло се прилага за виртуалните светове; въпреки това подчертава, че развитието на виртуални светове поставя нови предизвикателства, що се отнася до правоприлагането в сферата на интелектуалната собственост, идентифицирането на нарушителите и въпросите, свързани със стълкновителните норми относно приложимото право и юрисдикция;</w:t>
      </w:r>
    </w:p>
    <w:p w:rsidR="00C1212C" w:rsidRPr="00E70F41" w:rsidRDefault="00C1212C" w:rsidP="00C1212C">
      <w:pPr>
        <w:pStyle w:val="NormalHanging12a"/>
      </w:pPr>
      <w:r w:rsidRPr="00E70F41">
        <w:t>23.</w:t>
      </w:r>
      <w:r w:rsidRPr="00E70F41">
        <w:tab/>
        <w:t xml:space="preserve">припомня, че операторите на платформи, доставчиците на услуги и ползвателите във виртуалните светове са задължени да зачитат изключителните права на носителите на права и правото им на справедливо възнаграждение; подчертава, че използването на съдържание, защитено с права върху интелектуалната собственост (ПИС), включително в цифрова форма в електронно издание, като например NFT, изисква разрешение чрез лицензиране или прехвърляне, освен ако </w:t>
      </w:r>
      <w:r w:rsidRPr="00E70F41">
        <w:lastRenderedPageBreak/>
        <w:t>не е обхванато от изключение или ограничение по отношение на защитата на ПИС (като например частно копие, образование, научно изследване, цитат, преглед, пародия или имитация); във връзка с това отново подчертава, че е важно доставчиците да гарантират прозрачност по отношение на обхвата на лицензиите, включително териториалните лицензии, за да се гарантира, че ползвателите са в състояние да определят какви видове употреба на защитено с ПИС съдържание във виртуалните светове са обхванати от лицензите, които притежават, и че създателите и носителите на права могат да получават точно и пълноценно докладване относно реалното използване на защитените произведения;</w:t>
      </w:r>
    </w:p>
    <w:p w:rsidR="00C1212C" w:rsidRPr="00E70F41" w:rsidRDefault="00C1212C" w:rsidP="00C1212C">
      <w:pPr>
        <w:pStyle w:val="NormalHanging12a"/>
      </w:pPr>
      <w:r w:rsidRPr="00E70F41">
        <w:t>24.</w:t>
      </w:r>
      <w:r w:rsidRPr="00E70F41">
        <w:tab/>
        <w:t>приветства актуализацията, извършена с дванадесетото издание на Класификацията от Ница, която дава възможност за регистрация на търговски марки в класове, обхващащи тяхната употреба във виртуалните светове; призовава за проследяване отблизо на конкретното прилагане на тази класификация; при все това изразява загриженост относно използването на NFT, които се позовават на търговски марки без разрешението на техните собственици, и призовава да се прилагат ефективни мерки за справяне с тези и други случаи на нарушения; във връзка с това приветства предложението на Комисията за разработване на набор от инструменти за борба с фалшифицирането;</w:t>
      </w:r>
    </w:p>
    <w:p w:rsidR="00C1212C" w:rsidRPr="00E70F41" w:rsidRDefault="00C1212C" w:rsidP="00C1212C">
      <w:pPr>
        <w:pStyle w:val="NormalHanging12a"/>
      </w:pPr>
      <w:r w:rsidRPr="00E70F41">
        <w:t>25.</w:t>
      </w:r>
      <w:r w:rsidRPr="00E70F41">
        <w:tab/>
        <w:t>признава приложимостта на правилата за отговорност, определени в Акта за цифровите услуги, и на специалния режим, установен в член 17 от Директивата относно авторското право, за да се обхване качването на генерирано от потребителите съдържание; счита обаче, че е необходимо допълнително да се изясни начинът, по който съществуващите правила следва да се прилагат за онлайн услугите за споделяне на съдържание, предоставящи съдържание във виртуални светове, и как да се гарантира спазването им;</w:t>
      </w:r>
    </w:p>
    <w:p w:rsidR="00C1212C" w:rsidRPr="00E70F41" w:rsidRDefault="00C1212C" w:rsidP="00C1212C">
      <w:pPr>
        <w:pStyle w:val="NormalHanging12a"/>
      </w:pPr>
      <w:r w:rsidRPr="00E70F41">
        <w:t>26.</w:t>
      </w:r>
      <w:r w:rsidRPr="00E70F41">
        <w:tab/>
        <w:t>подчертава, че NFT не предоставят ПИС като такива върху цифровия актив, и сигнализира за необходимостта от допълнителна яснота и прозрачност, за да се избегнат измамите и честото объркване между правото на самия токен и правото на съответното защитено съдържание;</w:t>
      </w:r>
    </w:p>
    <w:p w:rsidR="00C1212C" w:rsidRPr="00E70F41" w:rsidRDefault="00C1212C" w:rsidP="00C1212C">
      <w:pPr>
        <w:pStyle w:val="NormalHanging12a"/>
      </w:pPr>
      <w:r w:rsidRPr="00E70F41">
        <w:t>27.</w:t>
      </w:r>
      <w:r w:rsidRPr="00E70F41">
        <w:tab/>
        <w:t xml:space="preserve">отбелязва, че NFT и други базирани на блокови вериги предложения улесняват постоянната препродажба на активи въз основа на защитени с авторски права произведения чрез онлайн сделки, и счита, че е необходимо да се гарантира подходящо и пропорционално възнаграждение на авторите за всяка препродажба на такива активи; </w:t>
      </w:r>
    </w:p>
    <w:p w:rsidR="00C1212C" w:rsidRPr="00E70F41" w:rsidRDefault="00C1212C" w:rsidP="00C1212C">
      <w:pPr>
        <w:pStyle w:val="NormalHanging12a"/>
      </w:pPr>
      <w:r w:rsidRPr="00E70F41">
        <w:t>28.</w:t>
      </w:r>
      <w:r w:rsidRPr="00E70F41">
        <w:tab/>
        <w:t xml:space="preserve">припомня, че съгласно настоящите правила автономно генерираните от системи с ИИ произведения може да не отговарят на условията за защита на авторското право, понеже принципът на оригиналност е свързан с физическо лице, а понятието „интелектуално творение“ предполага личността на автора; припомня освен това разликата между творби на човека, подпомогнати от ИИ, и произведения, генерирани автономно от ИИ; припомня, че макар и настоящата рамка в областта на интелектуалната собственост да продължава да се прилага за създавани с помощта на ИИ творби, автономно генерираните от ИИ произведения създават нови регулаторни предизвикателства за защитата на правата върху интелектуалната собственост, като например въпроси относно собствеността, авторството и изобретателството, както и подходящото възнаграждение и въпросите, свързани с потенциалната пазарна концентрация; приветства </w:t>
      </w:r>
      <w:r w:rsidRPr="00E70F41">
        <w:lastRenderedPageBreak/>
        <w:t>ангажимента, определен в плана за действие за ИС, според който Комисията ще се ангажира в дискусии със заинтересовани страни относно начина за преодоляване на предизвикателствата, които пораждат създаваните с помощта на ИИ изобретения и творби; призовава Комисията да разгледа възможността за разширяване на обхвата на този диалог, за да обхване до голяма степен въпросите, свързани с ИИ, включително генеративния ИИ;</w:t>
      </w:r>
    </w:p>
    <w:p w:rsidR="00C1212C" w:rsidRPr="00E70F41" w:rsidRDefault="00C1212C" w:rsidP="00C1212C">
      <w:pPr>
        <w:pStyle w:val="NormalHanging12a"/>
        <w:widowControl w:val="0"/>
        <w:rPr>
          <w:rStyle w:val="BoldItalic"/>
        </w:rPr>
      </w:pPr>
      <w:r w:rsidRPr="00E70F41">
        <w:rPr>
          <w:rStyle w:val="BoldItalic"/>
        </w:rPr>
        <w:t>Достъпност и цифрова грамотност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29.</w:t>
      </w:r>
      <w:r w:rsidRPr="00E70F41">
        <w:tab/>
        <w:t>подчертава, че виртуалните светове може да предоставят възможности за предоставяне на обществени услуги от общ интерес за по-широка полза на гражданите; подчертава обаче, че включването и достъпността за всички ползватели в ЕС трябва да бъдат гарантирани както по отношение на разходите и използването на хардуера, така и по отношение на разбирането на софтуера; отбелязва, че достъпността е особено важна, когато става въпрос за това да се гарантира, че уязвимите групи от населението, например възрастните хора, хората с увреждания, децата и хората, живеещи в селски и отдалечени райони, придобиват основните цифрови умения, за да участват във виртуалните светове, и че тя следва да отчита аспекти като географско местоположение, пол, равнище на образование и социално-икономически произход;</w:t>
      </w:r>
    </w:p>
    <w:p w:rsidR="00C1212C" w:rsidRPr="00E70F41" w:rsidRDefault="00C1212C" w:rsidP="00C1212C">
      <w:pPr>
        <w:pStyle w:val="NormalHanging12a"/>
      </w:pPr>
      <w:r w:rsidRPr="00E70F41">
        <w:t>30.</w:t>
      </w:r>
      <w:r w:rsidRPr="00E70F41">
        <w:tab/>
        <w:t>добавя в този контекст, че цифровата грамотност е от изключително значение, за да се гарантират безопасното и социално изгодно възприемане и информираното и отговорно използване на виртуалните светове, да се избегнат зависимостта сред ползвателите, предубежденията и дискриминационните практики, да се преодолеят дезинформацията, манипулацията и злоупотребата във виртуалната среда, както и да се насърчава демократичният контрол;</w:t>
      </w:r>
    </w:p>
    <w:p w:rsidR="00C1212C" w:rsidRPr="00E70F41" w:rsidRDefault="00C1212C" w:rsidP="00C1212C">
      <w:pPr>
        <w:pStyle w:val="NormalHanging12a"/>
      </w:pPr>
      <w:r w:rsidRPr="00E70F41">
        <w:t>31.</w:t>
      </w:r>
      <w:r w:rsidRPr="00E70F41">
        <w:tab/>
        <w:t>подчертава необходимостта от въвеждане на ефективни образователни мерки, за да се гарантира широка грамотност във връзка с виртуалния свят сред гражданите и да се повиши квалификацията на специалистите в различни сфери, а именно учителите, както и да се насърчи и стимулира развитието на европейските таланти и технологии, като същевременно се привлекат повече хора, включително повече жени, в науките, технологиите, инженерството и математиката;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32.</w:t>
      </w:r>
      <w:r w:rsidRPr="00E70F41">
        <w:tab/>
        <w:t>препоръчва „наборът от инструменти за виртуалните светове“, предназначен за широката общественост, както е посочено в съобщението на Комисията, да бъде доразвит в съответствие с препоръките на гражданския панел, за да се помогне на гражданите да разберат по-добре как да управляват виртуалната си идентичност, виртуалните си творения, виртуалните си активи и данните си, а също и за да се допринесе за всеобхватна стратегия на ЕС за виртуалните светове, която е устойчива и същевременно ориентирана към човека;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33.</w:t>
      </w:r>
      <w:r w:rsidRPr="00E70F41">
        <w:tab/>
        <w:t>приветства, както беше отбелязано от Комисията, положителния принос на общността на ЕС с отворен код за разработването на ключови характеристики на виртуалните светове, например във връзка с използването на технологията на децентрализирания регистър и други технологии, необходими за автентичността, управлението и сигурността на виртуалните обекти и самоличности;</w:t>
      </w:r>
    </w:p>
    <w:p w:rsidR="00C1212C" w:rsidRPr="00E70F41" w:rsidRDefault="00C1212C" w:rsidP="00C1212C">
      <w:pPr>
        <w:pStyle w:val="NormalHanging12a"/>
        <w:widowControl w:val="0"/>
        <w:jc w:val="center"/>
      </w:pPr>
      <w:r w:rsidRPr="00E70F41">
        <w:t>°</w:t>
      </w:r>
    </w:p>
    <w:p w:rsidR="00C1212C" w:rsidRPr="00E70F41" w:rsidRDefault="00C1212C" w:rsidP="00C1212C">
      <w:pPr>
        <w:pStyle w:val="NormalHanging12a"/>
        <w:widowControl w:val="0"/>
        <w:jc w:val="center"/>
      </w:pPr>
      <w:r w:rsidRPr="00E70F41">
        <w:lastRenderedPageBreak/>
        <w:t>°</w:t>
      </w:r>
      <w:r w:rsidRPr="00E70F41">
        <w:tab/>
        <w:t>°</w:t>
      </w:r>
    </w:p>
    <w:p w:rsidR="00C1212C" w:rsidRPr="00E70F41" w:rsidRDefault="00C1212C" w:rsidP="00C1212C">
      <w:pPr>
        <w:pStyle w:val="NormalHanging12a"/>
        <w:widowControl w:val="0"/>
      </w:pPr>
      <w:r w:rsidRPr="00E70F41">
        <w:t>34.</w:t>
      </w:r>
      <w:r w:rsidRPr="00E70F41">
        <w:tab/>
        <w:t>възлага на своя председател да предаде настоящата резолюция на Съвета и на Комисията.</w:t>
      </w:r>
    </w:p>
    <w:p w:rsidR="00C1212C" w:rsidRPr="00E70F41" w:rsidRDefault="00C1212C" w:rsidP="00C1212C"/>
    <w:p w:rsidR="00E365E1" w:rsidRPr="00E70F41" w:rsidRDefault="00E365E1" w:rsidP="00C1212C">
      <w:bookmarkStart w:id="9" w:name="TextBodyEnd"/>
      <w:bookmarkEnd w:id="9"/>
    </w:p>
    <w:sectPr w:rsidR="00E365E1" w:rsidRPr="00E70F41" w:rsidSect="00E70F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775" w:rsidRPr="00E70F41" w:rsidRDefault="00DE4775">
      <w:r w:rsidRPr="00E70F41">
        <w:separator/>
      </w:r>
    </w:p>
  </w:endnote>
  <w:endnote w:type="continuationSeparator" w:id="0">
    <w:p w:rsidR="00DE4775" w:rsidRPr="00E70F41" w:rsidRDefault="00DE4775">
      <w:r w:rsidRPr="00E70F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F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F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F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775" w:rsidRPr="00E70F41" w:rsidRDefault="00DE4775">
      <w:r w:rsidRPr="00E70F41">
        <w:separator/>
      </w:r>
    </w:p>
  </w:footnote>
  <w:footnote w:type="continuationSeparator" w:id="0">
    <w:p w:rsidR="00DE4775" w:rsidRPr="00E70F41" w:rsidRDefault="00DE4775">
      <w:r w:rsidRPr="00E70F41">
        <w:continuationSeparator/>
      </w:r>
    </w:p>
  </w:footnote>
  <w:footnote w:id="1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OВ L 77, 27.3.1996 г., стp. 20.</w:t>
      </w:r>
    </w:p>
  </w:footnote>
  <w:footnote w:id="2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149, 11.6.2005 г., стр. 22.</w:t>
      </w:r>
    </w:p>
  </w:footnote>
  <w:footnote w:id="3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OВ L 199, 31.7.2007 г., стр. 40.</w:t>
      </w:r>
    </w:p>
  </w:footnote>
  <w:footnote w:id="4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OВ L 177, 4.7.2008 г., стр. 6.</w:t>
      </w:r>
    </w:p>
  </w:footnote>
  <w:footnote w:id="5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111, 5.5.2009 г., стр. 16.</w:t>
      </w:r>
    </w:p>
  </w:footnote>
  <w:footnote w:id="6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351, 20.12.2012 г., стр. 1.</w:t>
      </w:r>
    </w:p>
  </w:footnote>
  <w:footnote w:id="7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257, 28.8.2014 г., стр. 73.</w:t>
      </w:r>
    </w:p>
  </w:footnote>
  <w:footnote w:id="8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157, 15.6.2016 г., стр. 1.</w:t>
      </w:r>
    </w:p>
  </w:footnote>
  <w:footnote w:id="9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119, 4.5.2016 г., стр. 1.</w:t>
      </w:r>
    </w:p>
  </w:footnote>
  <w:footnote w:id="10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119, 4.5.2016 г., стр. 89.</w:t>
      </w:r>
    </w:p>
  </w:footnote>
  <w:footnote w:id="11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327, 2.12.2016 г., стр. 1.</w:t>
      </w:r>
    </w:p>
  </w:footnote>
  <w:footnote w:id="12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154, 16.6.2017 г., стр. 1.</w:t>
      </w:r>
    </w:p>
  </w:footnote>
  <w:footnote w:id="13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295, 21.11.2018 г., стр. 39.</w:t>
      </w:r>
    </w:p>
  </w:footnote>
  <w:footnote w:id="14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303, 28.11.2018 г., стр. 59.</w:t>
      </w:r>
    </w:p>
  </w:footnote>
  <w:footnote w:id="15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130, 17.5.2019 г., стр. 92.</w:t>
      </w:r>
    </w:p>
  </w:footnote>
  <w:footnote w:id="16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151, 7.6.2019 г., стр. 70.</w:t>
      </w:r>
    </w:p>
  </w:footnote>
  <w:footnote w:id="17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172, 26.6.2019 г., стр. 56.</w:t>
      </w:r>
    </w:p>
  </w:footnote>
  <w:footnote w:id="18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186, 11.7.2019 г., стр. 57.</w:t>
      </w:r>
    </w:p>
  </w:footnote>
  <w:footnote w:id="19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152, 3.6.2022 г., стр. 1.</w:t>
      </w:r>
    </w:p>
  </w:footnote>
  <w:footnote w:id="20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265, 12.10.2022 г., стр. 1.</w:t>
      </w:r>
    </w:p>
  </w:footnote>
  <w:footnote w:id="21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277, 27.10.2022 г., стр. 1.</w:t>
      </w:r>
    </w:p>
  </w:footnote>
  <w:footnote w:id="22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135, 23.5.2023 г</w:t>
      </w:r>
      <w:r w:rsidR="004F70AC" w:rsidRPr="002C7A63">
        <w:rPr>
          <w:sz w:val="24"/>
          <w:szCs w:val="24"/>
          <w:lang w:val="bg-BG"/>
        </w:rPr>
        <w:t>.</w:t>
      </w:r>
      <w:r w:rsidR="004F70AC" w:rsidRPr="00EE2CF8">
        <w:rPr>
          <w:szCs w:val="24"/>
        </w:rPr>
        <w:t>, стр. 1.</w:t>
      </w:r>
    </w:p>
  </w:footnote>
  <w:footnote w:id="23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L 150, 9.6.2023 г</w:t>
      </w:r>
      <w:r w:rsidR="004F70AC" w:rsidRPr="002C7A63">
        <w:rPr>
          <w:sz w:val="24"/>
          <w:szCs w:val="24"/>
          <w:lang w:val="bg-BG"/>
        </w:rPr>
        <w:t>.</w:t>
      </w:r>
      <w:r w:rsidR="004F70AC" w:rsidRPr="00EE2CF8">
        <w:rPr>
          <w:szCs w:val="24"/>
        </w:rPr>
        <w:t>, стр. 40.</w:t>
      </w:r>
    </w:p>
  </w:footnote>
  <w:footnote w:id="24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ОВ C 404, 6.10.2021 г., стр. 129.</w:t>
      </w:r>
    </w:p>
  </w:footnote>
  <w:footnote w:id="25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="004F70AC" w:rsidRPr="00EE2CF8">
        <w:rPr>
          <w:szCs w:val="24"/>
        </w:rPr>
        <w:t>OВ C 205, 20.5.2022 г., стр. 26.</w:t>
      </w:r>
    </w:p>
  </w:footnote>
  <w:footnote w:id="26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lang w:val="bg-BG"/>
        </w:rPr>
        <w:t xml:space="preserve"> </w:t>
      </w:r>
      <w:r w:rsidR="00E70F41" w:rsidRPr="002C7A63">
        <w:rPr>
          <w:sz w:val="24"/>
          <w:szCs w:val="24"/>
          <w:lang w:val="bg-BG"/>
        </w:rPr>
        <w:tab/>
      </w:r>
      <w:r w:rsidRPr="002C7A63">
        <w:rPr>
          <w:sz w:val="24"/>
          <w:szCs w:val="24"/>
          <w:lang w:val="bg-BG"/>
        </w:rPr>
        <w:t>OВ C 303, 14.12.2007 г., стр. 1.</w:t>
      </w:r>
    </w:p>
  </w:footnote>
  <w:footnote w:id="27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shd w:val="clear" w:color="auto" w:fill="FFFFFF"/>
          <w:lang w:val="bg-BG"/>
        </w:rPr>
        <w:t xml:space="preserve"> </w:t>
      </w:r>
      <w:r w:rsidR="00E70F41" w:rsidRPr="002C7A63">
        <w:rPr>
          <w:sz w:val="24"/>
          <w:szCs w:val="24"/>
          <w:shd w:val="clear" w:color="auto" w:fill="FFFFFF"/>
          <w:lang w:val="bg-BG"/>
        </w:rPr>
        <w:tab/>
      </w:r>
      <w:r w:rsidRPr="002C7A63">
        <w:rPr>
          <w:sz w:val="24"/>
          <w:szCs w:val="24"/>
          <w:shd w:val="clear" w:color="auto" w:fill="FFFFFF"/>
          <w:lang w:val="bg-BG"/>
        </w:rPr>
        <w:t xml:space="preserve">Регламент (ЕС) 2016/679 на Европейския парламент и на Съвета от 27 април 2016 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</w:t>
      </w:r>
      <w:r w:rsidR="004F70AC" w:rsidRPr="002C7A63">
        <w:rPr>
          <w:sz w:val="24"/>
          <w:szCs w:val="24"/>
          <w:shd w:val="clear" w:color="auto" w:fill="FFFFFF"/>
          <w:lang w:val="bg-BG"/>
        </w:rPr>
        <w:t>(</w:t>
      </w:r>
      <w:r w:rsidRPr="002C7A63">
        <w:rPr>
          <w:sz w:val="24"/>
          <w:szCs w:val="24"/>
          <w:shd w:val="clear" w:color="auto" w:fill="FFFFFF"/>
          <w:lang w:val="bg-BG"/>
        </w:rPr>
        <w:t>ОВ L 119, 4.5.2016 г., стр. 1</w:t>
      </w:r>
      <w:r w:rsidR="004F70AC" w:rsidRPr="002C7A63">
        <w:rPr>
          <w:sz w:val="24"/>
          <w:szCs w:val="24"/>
          <w:shd w:val="clear" w:color="auto" w:fill="FFFFFF"/>
          <w:lang w:val="bg-BG"/>
        </w:rPr>
        <w:t>)</w:t>
      </w:r>
      <w:r w:rsidRPr="002C7A63">
        <w:rPr>
          <w:sz w:val="24"/>
          <w:szCs w:val="24"/>
          <w:shd w:val="clear" w:color="auto" w:fill="FFFFFF"/>
          <w:lang w:val="bg-BG"/>
        </w:rPr>
        <w:t>.</w:t>
      </w:r>
    </w:p>
  </w:footnote>
  <w:footnote w:id="28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shd w:val="clear" w:color="auto" w:fill="FFFFFF"/>
          <w:lang w:val="bg-BG"/>
        </w:rPr>
        <w:t xml:space="preserve"> </w:t>
      </w:r>
      <w:r w:rsidR="00E70F41" w:rsidRPr="002C7A63">
        <w:rPr>
          <w:sz w:val="24"/>
          <w:szCs w:val="24"/>
          <w:shd w:val="clear" w:color="auto" w:fill="FFFFFF"/>
          <w:lang w:val="bg-BG"/>
        </w:rPr>
        <w:tab/>
      </w:r>
      <w:r w:rsidRPr="002C7A63">
        <w:rPr>
          <w:sz w:val="24"/>
          <w:szCs w:val="24"/>
          <w:shd w:val="clear" w:color="auto" w:fill="FFFFFF"/>
          <w:lang w:val="bg-BG"/>
        </w:rPr>
        <w:t xml:space="preserve">Директива 2011/83/ЕС на Европейския парламент и на Съвета от 25 октомври 2011 г. относно правата на потребителите, за изменение на Директива 93/13/ЕИО на Съвета и Директива 1999/44/ЕО на Европейския парламент и на Съвета и за отмяна на Директива 85/577/ЕИО на Съвета и Директива 97/7/ЕО на Европейския парламент и на Съвета </w:t>
      </w:r>
      <w:r w:rsidR="004F70AC" w:rsidRPr="002C7A63">
        <w:rPr>
          <w:sz w:val="24"/>
          <w:szCs w:val="24"/>
          <w:shd w:val="clear" w:color="auto" w:fill="FFFFFF"/>
          <w:lang w:val="bg-BG"/>
        </w:rPr>
        <w:t>(</w:t>
      </w:r>
      <w:r w:rsidRPr="002C7A63">
        <w:rPr>
          <w:sz w:val="24"/>
          <w:szCs w:val="24"/>
          <w:shd w:val="clear" w:color="auto" w:fill="FFFFFF"/>
          <w:lang w:val="bg-BG"/>
        </w:rPr>
        <w:t>ОВ L 304, 22.11.2011 г., стр. 64</w:t>
      </w:r>
      <w:r w:rsidR="004F70AC" w:rsidRPr="002C7A63">
        <w:rPr>
          <w:sz w:val="24"/>
          <w:szCs w:val="24"/>
          <w:shd w:val="clear" w:color="auto" w:fill="FFFFFF"/>
          <w:lang w:val="bg-BG"/>
        </w:rPr>
        <w:t>)</w:t>
      </w:r>
      <w:r w:rsidRPr="002C7A63">
        <w:rPr>
          <w:sz w:val="24"/>
          <w:szCs w:val="24"/>
          <w:shd w:val="clear" w:color="auto" w:fill="FFFFFF"/>
          <w:lang w:val="bg-BG"/>
        </w:rPr>
        <w:t>.</w:t>
      </w:r>
    </w:p>
  </w:footnote>
  <w:footnote w:id="29">
    <w:p w:rsidR="00C1212C" w:rsidRPr="002C7A63" w:rsidRDefault="00C1212C" w:rsidP="00E70F41">
      <w:pPr>
        <w:pStyle w:val="FootnoteText"/>
        <w:ind w:left="567" w:hanging="567"/>
        <w:rPr>
          <w:sz w:val="24"/>
          <w:szCs w:val="24"/>
          <w:lang w:val="bg-BG"/>
        </w:rPr>
      </w:pPr>
      <w:r w:rsidRPr="002C7A63">
        <w:rPr>
          <w:rStyle w:val="FootnoteReference"/>
          <w:sz w:val="24"/>
          <w:szCs w:val="24"/>
          <w:lang w:val="bg-BG"/>
        </w:rPr>
        <w:footnoteRef/>
      </w:r>
      <w:r w:rsidR="00E70F41" w:rsidRPr="002C7A63">
        <w:rPr>
          <w:sz w:val="24"/>
          <w:szCs w:val="24"/>
          <w:shd w:val="clear" w:color="auto" w:fill="FFFFFF"/>
          <w:lang w:val="bg-BG"/>
        </w:rPr>
        <w:t xml:space="preserve"> </w:t>
      </w:r>
      <w:r w:rsidR="00E70F41" w:rsidRPr="002C7A63">
        <w:rPr>
          <w:sz w:val="24"/>
          <w:szCs w:val="24"/>
          <w:shd w:val="clear" w:color="auto" w:fill="FFFFFF"/>
          <w:lang w:val="bg-BG"/>
        </w:rPr>
        <w:tab/>
      </w:r>
      <w:r w:rsidRPr="002C7A63">
        <w:rPr>
          <w:sz w:val="24"/>
          <w:szCs w:val="24"/>
          <w:shd w:val="clear" w:color="auto" w:fill="FFFFFF"/>
          <w:lang w:val="bg-BG"/>
        </w:rPr>
        <w:t xml:space="preserve">Директива 93/13/ЕИО на Съвета от 5 април 1993 г. относно неравноправните клаузи в потребителските договори </w:t>
      </w:r>
      <w:r w:rsidR="004F70AC" w:rsidRPr="002C7A63">
        <w:rPr>
          <w:sz w:val="24"/>
          <w:szCs w:val="24"/>
          <w:shd w:val="clear" w:color="auto" w:fill="FFFFFF"/>
          <w:lang w:val="bg-BG"/>
        </w:rPr>
        <w:t>(</w:t>
      </w:r>
      <w:r w:rsidRPr="002C7A63">
        <w:rPr>
          <w:sz w:val="24"/>
          <w:szCs w:val="24"/>
          <w:shd w:val="clear" w:color="auto" w:fill="FFFFFF"/>
          <w:lang w:val="bg-BG"/>
        </w:rPr>
        <w:t>ОВ L 95, 21.4.1993 г., стр. 29</w:t>
      </w:r>
      <w:r w:rsidR="004F70AC" w:rsidRPr="002C7A63">
        <w:rPr>
          <w:sz w:val="24"/>
          <w:szCs w:val="24"/>
          <w:shd w:val="clear" w:color="auto" w:fill="FFFFFF"/>
          <w:lang w:val="bg-BG"/>
        </w:rPr>
        <w:t>)</w:t>
      </w:r>
      <w:r w:rsidRPr="002C7A63">
        <w:rPr>
          <w:sz w:val="24"/>
          <w:szCs w:val="24"/>
          <w:shd w:val="clear" w:color="auto" w:fill="FFFFFF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F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F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0F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2/2023"/>
    <w:docVar w:name="dvlangue" w:val="BG"/>
    <w:docVar w:name="dvnumam" w:val="0"/>
    <w:docVar w:name="dvpe" w:val="753.772"/>
    <w:docVar w:name="dvrapporteur" w:val="Докладчик: "/>
    <w:docVar w:name="dvtitre" w:val="Резолюция на Европейския парламент от ... 2024 г. относно политическите последици от развитието на виртуални светове – въпроси, свързани с гражданското, дружественото и търговското право и правото на интелектуална собственост(2023/2062(INI))"/>
  </w:docVars>
  <w:rsids>
    <w:rsidRoot w:val="00DE477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7A63"/>
    <w:rsid w:val="00343214"/>
    <w:rsid w:val="00361C00"/>
    <w:rsid w:val="00395FA1"/>
    <w:rsid w:val="003C53A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0AC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12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775"/>
    <w:rsid w:val="00E365E1"/>
    <w:rsid w:val="00E70F41"/>
    <w:rsid w:val="00E820A4"/>
    <w:rsid w:val="00EB006A"/>
    <w:rsid w:val="00EB4772"/>
    <w:rsid w:val="00ED169E"/>
    <w:rsid w:val="00ED4235"/>
    <w:rsid w:val="00EE2CF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3638F"/>
  <w15:chartTrackingRefBased/>
  <w15:docId w15:val="{D6DB0379-410C-490E-90F8-EC3D072E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212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qFormat/>
    <w:rsid w:val="00C1212C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C1212C"/>
    <w:rPr>
      <w:b/>
      <w:i/>
      <w:u w:val="none"/>
    </w:rPr>
  </w:style>
  <w:style w:type="character" w:customStyle="1" w:styleId="Italic">
    <w:name w:val="Italic"/>
    <w:uiPriority w:val="1"/>
    <w:rsid w:val="00C1212C"/>
    <w:rPr>
      <w:i/>
    </w:rPr>
  </w:style>
  <w:style w:type="character" w:styleId="Hyperlink">
    <w:name w:val="Hyperlink"/>
    <w:basedOn w:val="DefaultParagraphFont"/>
    <w:unhideWhenUsed/>
    <w:rsid w:val="00C1212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1212C"/>
    <w:rPr>
      <w:snapToGrid w:val="0"/>
      <w:sz w:val="24"/>
      <w:lang w:val="bg-BG" w:eastAsia="en-US"/>
    </w:rPr>
  </w:style>
  <w:style w:type="paragraph" w:styleId="BalloonText">
    <w:name w:val="Balloon Text"/>
    <w:basedOn w:val="Normal"/>
    <w:link w:val="BalloonTextChar"/>
    <w:rsid w:val="004F70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70AC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65524-3135-422F-894F-DA421426A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4133</Words>
  <Characters>25027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DIMITROV Cvetan</cp:lastModifiedBy>
  <cp:revision>2</cp:revision>
  <cp:lastPrinted>2004-11-19T15:42:00Z</cp:lastPrinted>
  <dcterms:created xsi:type="dcterms:W3CDTF">2024-02-14T13:40:00Z</dcterms:created>
  <dcterms:modified xsi:type="dcterms:W3CDTF">2024-02-14T13:40:00Z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A9-0442/2023</vt:lpwstr>
  </property>
  <property fmtid="{D5CDD505-2E9C-101B-9397-08002B2CF9AE}" pid="4" name="&lt;Type&gt;">
    <vt:lpwstr>RR</vt:lpwstr>
  </property>
</Properties>
</file>