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0293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02939" w:rsidRDefault="00D776F5" w:rsidP="0010095E">
            <w:pPr>
              <w:pStyle w:val="EPName"/>
            </w:pPr>
            <w:r w:rsidRPr="00B02939">
              <w:t>Europski parlament</w:t>
            </w:r>
          </w:p>
          <w:p w:rsidR="00751A4A" w:rsidRPr="00B0293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0293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02939" w:rsidRDefault="00187494" w:rsidP="0010095E">
            <w:pPr>
              <w:pStyle w:val="EPLogo"/>
            </w:pPr>
            <w:r w:rsidRPr="00B0293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02939" w:rsidRDefault="00D058B8" w:rsidP="004C5D52">
      <w:pPr>
        <w:pStyle w:val="LineTop"/>
      </w:pPr>
    </w:p>
    <w:p w:rsidR="00680577" w:rsidRPr="00B02939" w:rsidRDefault="00D776F5" w:rsidP="00680577">
      <w:pPr>
        <w:pStyle w:val="EPBodyTA1"/>
      </w:pPr>
      <w:r w:rsidRPr="00B02939">
        <w:t>USVOJENI TEKSTOVI</w:t>
      </w:r>
    </w:p>
    <w:p w:rsidR="00D058B8" w:rsidRPr="00B02939" w:rsidRDefault="00D058B8" w:rsidP="00D058B8">
      <w:pPr>
        <w:pStyle w:val="LineBottom"/>
      </w:pPr>
    </w:p>
    <w:p w:rsidR="00D776F5" w:rsidRPr="00B02939" w:rsidRDefault="00D776F5" w:rsidP="00D776F5">
      <w:pPr>
        <w:pStyle w:val="ATHeading1"/>
      </w:pPr>
      <w:bookmarkStart w:id="0" w:name="TANumber"/>
      <w:r w:rsidRPr="00B02939">
        <w:t>P9_TA(2024)00</w:t>
      </w:r>
      <w:r w:rsidR="00100D1E">
        <w:t>29</w:t>
      </w:r>
      <w:bookmarkEnd w:id="0"/>
    </w:p>
    <w:p w:rsidR="00D776F5" w:rsidRPr="00B02939" w:rsidRDefault="00D776F5" w:rsidP="00D776F5">
      <w:pPr>
        <w:pStyle w:val="ATHeading2"/>
      </w:pPr>
      <w:bookmarkStart w:id="1" w:name="title"/>
      <w:r w:rsidRPr="00B02939">
        <w:t>Implikacije razvoja virtualnih svjetova za politike – pitanja iz područja građanskog prava, prava društava, trgovačkog prava i prava intelektualnog vlasništva</w:t>
      </w:r>
      <w:bookmarkEnd w:id="1"/>
    </w:p>
    <w:p w:rsidR="00D776F5" w:rsidRPr="00B02939" w:rsidRDefault="00D776F5" w:rsidP="00D776F5">
      <w:pPr>
        <w:rPr>
          <w:i/>
          <w:vanish/>
        </w:rPr>
      </w:pPr>
      <w:r w:rsidRPr="00B02939">
        <w:rPr>
          <w:i/>
        </w:rPr>
        <w:fldChar w:fldCharType="begin"/>
      </w:r>
      <w:r w:rsidRPr="00B02939">
        <w:rPr>
          <w:i/>
        </w:rPr>
        <w:instrText xml:space="preserve"> TC"(</w:instrText>
      </w:r>
      <w:bookmarkStart w:id="2" w:name="DocNumber"/>
      <w:r w:rsidRPr="00B02939">
        <w:rPr>
          <w:i/>
        </w:rPr>
        <w:instrText>A9-0442/2023</w:instrText>
      </w:r>
      <w:bookmarkEnd w:id="2"/>
      <w:r w:rsidRPr="00B02939">
        <w:rPr>
          <w:i/>
        </w:rPr>
        <w:instrText xml:space="preserve"> - Izvjestitelji: </w:instrText>
      </w:r>
      <w:proofErr w:type="spellStart"/>
      <w:r w:rsidRPr="00B02939">
        <w:rPr>
          <w:i/>
        </w:rPr>
        <w:instrText>Axel</w:instrText>
      </w:r>
      <w:proofErr w:type="spellEnd"/>
      <w:r w:rsidRPr="00B02939">
        <w:rPr>
          <w:i/>
        </w:rPr>
        <w:instrText xml:space="preserve"> </w:instrText>
      </w:r>
      <w:proofErr w:type="spellStart"/>
      <w:r w:rsidRPr="00B02939">
        <w:rPr>
          <w:i/>
        </w:rPr>
        <w:instrText>Voss</w:instrText>
      </w:r>
      <w:proofErr w:type="spellEnd"/>
      <w:r w:rsidRPr="00B02939">
        <w:rPr>
          <w:i/>
        </w:rPr>
        <w:instrText xml:space="preserve">, </w:instrText>
      </w:r>
      <w:proofErr w:type="spellStart"/>
      <w:r w:rsidRPr="00B02939">
        <w:rPr>
          <w:i/>
        </w:rPr>
        <w:instrText>Ibán</w:instrText>
      </w:r>
      <w:proofErr w:type="spellEnd"/>
      <w:r w:rsidRPr="00B02939">
        <w:rPr>
          <w:i/>
        </w:rPr>
        <w:instrText xml:space="preserve"> García Del </w:instrText>
      </w:r>
      <w:proofErr w:type="spellStart"/>
      <w:r w:rsidRPr="00B02939">
        <w:rPr>
          <w:i/>
        </w:rPr>
        <w:instrText>Blanco</w:instrText>
      </w:r>
      <w:proofErr w:type="spellEnd"/>
      <w:r w:rsidRPr="00B02939">
        <w:rPr>
          <w:i/>
        </w:rPr>
        <w:instrText xml:space="preserve">)"\l3 \n&gt; \* MERGEFORMAT </w:instrText>
      </w:r>
      <w:r w:rsidRPr="00B02939">
        <w:rPr>
          <w:i/>
        </w:rPr>
        <w:fldChar w:fldCharType="end"/>
      </w:r>
    </w:p>
    <w:p w:rsidR="00D776F5" w:rsidRPr="00B02939" w:rsidRDefault="00D776F5" w:rsidP="00D776F5">
      <w:pPr>
        <w:rPr>
          <w:vanish/>
        </w:rPr>
      </w:pPr>
      <w:bookmarkStart w:id="3" w:name="Commission"/>
      <w:r w:rsidRPr="00B02939">
        <w:rPr>
          <w:vanish/>
        </w:rPr>
        <w:t>Odbor za pravna pitanja</w:t>
      </w:r>
      <w:bookmarkEnd w:id="3"/>
    </w:p>
    <w:p w:rsidR="00D776F5" w:rsidRPr="00B02939" w:rsidRDefault="00D776F5" w:rsidP="00D776F5">
      <w:pPr>
        <w:rPr>
          <w:vanish/>
        </w:rPr>
      </w:pPr>
      <w:bookmarkStart w:id="4" w:name="PE"/>
      <w:r w:rsidRPr="00B02939">
        <w:rPr>
          <w:vanish/>
        </w:rPr>
        <w:t>PE753.772</w:t>
      </w:r>
      <w:bookmarkEnd w:id="4"/>
    </w:p>
    <w:p w:rsidR="00D776F5" w:rsidRPr="00B02939" w:rsidRDefault="00D776F5" w:rsidP="00D776F5">
      <w:pPr>
        <w:pStyle w:val="ATHeading3"/>
      </w:pPr>
      <w:bookmarkStart w:id="5" w:name="Sujet"/>
      <w:r w:rsidRPr="00B02939">
        <w:t>Rezolu</w:t>
      </w:r>
      <w:r w:rsidR="00B02939">
        <w:t>cija Europskog parlamenta od 17</w:t>
      </w:r>
      <w:r w:rsidRPr="00B02939">
        <w:t xml:space="preserve">. </w:t>
      </w:r>
      <w:r w:rsidR="00B02939">
        <w:t xml:space="preserve">siječnja </w:t>
      </w:r>
      <w:r w:rsidRPr="00B02939">
        <w:t>2024. o implikacijama razvoja virtualnih svjetova za politike – pitanja iz područja građanskog prava, prava društava, trgovačkog prava i prava intelektualnog vlasništva</w:t>
      </w:r>
      <w:bookmarkEnd w:id="5"/>
      <w:r w:rsidRPr="00B02939">
        <w:t xml:space="preserve"> </w:t>
      </w:r>
      <w:bookmarkStart w:id="6" w:name="References"/>
      <w:r w:rsidRPr="00B02939">
        <w:t>(2023/2062(INI))</w:t>
      </w:r>
      <w:bookmarkEnd w:id="6"/>
    </w:p>
    <w:p w:rsidR="00344936" w:rsidRPr="00B02939" w:rsidRDefault="00344936" w:rsidP="00344936">
      <w:pPr>
        <w:pStyle w:val="EPComma"/>
      </w:pPr>
      <w:bookmarkStart w:id="7" w:name="TextBodyBegin"/>
      <w:bookmarkEnd w:id="7"/>
      <w:r w:rsidRPr="00B02939">
        <w:rPr>
          <w:i/>
        </w:rPr>
        <w:t>Europski parlament</w:t>
      </w:r>
      <w:r w:rsidRPr="00B02939">
        <w:t>,</w:t>
      </w:r>
    </w:p>
    <w:p w:rsidR="00344936" w:rsidRPr="00B02939" w:rsidRDefault="00344936" w:rsidP="00344936">
      <w:pPr>
        <w:pStyle w:val="NormalHanging12a"/>
      </w:pPr>
      <w:r w:rsidRPr="00B02939">
        <w:t>–</w:t>
      </w:r>
      <w:r w:rsidRPr="00B02939">
        <w:tab/>
        <w:t>uzimajući u obzir Ugovor o funkcioniranju Europske unije, a posebno njegove članke 4., 16., 26., 81., 114. i 118.,</w:t>
      </w:r>
    </w:p>
    <w:p w:rsidR="00344936" w:rsidRPr="00B02939" w:rsidRDefault="00344936" w:rsidP="00344936">
      <w:pPr>
        <w:pStyle w:val="NormalHanging12a"/>
      </w:pPr>
      <w:r w:rsidRPr="00B02939">
        <w:t>–</w:t>
      </w:r>
      <w:r w:rsidRPr="00B02939">
        <w:tab/>
        <w:t>uzimajući u obzir Bernsku konvenciju za zaštitu književnih i umjetničkih djela iz 1886.,</w:t>
      </w:r>
    </w:p>
    <w:p w:rsidR="00344936" w:rsidRPr="00B02939" w:rsidRDefault="00344936" w:rsidP="00344936">
      <w:pPr>
        <w:pStyle w:val="NormalHanging12a"/>
      </w:pPr>
      <w:r w:rsidRPr="00B02939">
        <w:t>–</w:t>
      </w:r>
      <w:r w:rsidRPr="00B02939">
        <w:tab/>
        <w:t xml:space="preserve">uzimajući u obzir </w:t>
      </w:r>
      <w:proofErr w:type="spellStart"/>
      <w:r w:rsidRPr="00B02939">
        <w:t>Nicanski</w:t>
      </w:r>
      <w:proofErr w:type="spellEnd"/>
      <w:r w:rsidRPr="00B02939">
        <w:t xml:space="preserve"> sporazum o međunarodnoj klasifikaciji roba i usluga u svrhu registriranja žigova, kako je izmijenjen 28. rujna 1979. i ažuriran u dvanaestom izdanju (12. – 2023.),</w:t>
      </w:r>
    </w:p>
    <w:p w:rsidR="00344936" w:rsidRPr="00B02939" w:rsidRDefault="00344936" w:rsidP="00344936">
      <w:pPr>
        <w:pStyle w:val="NormalHanging12a"/>
      </w:pPr>
      <w:r w:rsidRPr="00B02939">
        <w:t>–</w:t>
      </w:r>
      <w:r w:rsidRPr="00B02939">
        <w:tab/>
        <w:t xml:space="preserve">uzimajući u obzir Ugovor o autorskom pravu Svjetske organizacije za intelektualno vlasništvo (WIPO) iz 1996. i Ugovor o izvedbama i </w:t>
      </w:r>
      <w:proofErr w:type="spellStart"/>
      <w:r w:rsidRPr="00B02939">
        <w:t>fonogramima</w:t>
      </w:r>
      <w:proofErr w:type="spellEnd"/>
      <w:r w:rsidRPr="00B02939">
        <w:t xml:space="preserve"> WIPO-a iz 1996.,</w:t>
      </w:r>
    </w:p>
    <w:p w:rsidR="00344936" w:rsidRPr="00B02939" w:rsidRDefault="00344936" w:rsidP="00344936">
      <w:pPr>
        <w:pStyle w:val="NormalHanging12a"/>
      </w:pPr>
      <w:r w:rsidRPr="00B02939">
        <w:t>–</w:t>
      </w:r>
      <w:r w:rsidRPr="00B02939">
        <w:tab/>
        <w:t>uzimajući u obzir Direktivu 96/9/EZ Europskog parlamenta i Vijeća od 11. ožujka 1996. o pravnoj zaštiti baza podataka</w:t>
      </w:r>
      <w:r w:rsidRPr="00B02939">
        <w:rPr>
          <w:rStyle w:val="FootnoteReference"/>
        </w:rPr>
        <w:footnoteReference w:id="1"/>
      </w:r>
      <w:r w:rsidRPr="00B02939">
        <w:t>,</w:t>
      </w:r>
    </w:p>
    <w:p w:rsidR="00344936" w:rsidRPr="00B02939" w:rsidRDefault="00344936" w:rsidP="00344936">
      <w:pPr>
        <w:pStyle w:val="NormalHanging12a"/>
      </w:pPr>
      <w:r w:rsidRPr="00B02939">
        <w:t>–</w:t>
      </w:r>
      <w:r w:rsidRPr="00B02939">
        <w:tab/>
        <w:t>uzimajući u obzir Direktivu 2005/29/EZ Europskog parlamenta i Vijeća od 11. svibnja 2005. o nepoštenoj poslovnoj praksi poslovnog subjekta u odnosu prema potrošaču na unutarnjem tržištu i o izmjeni Direktive Vijeća 84/450/EEZ, direktiva 97/7/EZ, 98/27/EZ i 2002/65/EZ Europskog parlamenta i Vijeća, kao i Uredbe (EZ) br. 2006/2004 Europskog parlamenta i Vijeća („Direktiva o nepoštenoj poslovnoj praksi”)</w:t>
      </w:r>
      <w:r w:rsidRPr="00B02939">
        <w:rPr>
          <w:rStyle w:val="FootnoteReference"/>
        </w:rPr>
        <w:footnoteReference w:id="2"/>
      </w:r>
      <w:r w:rsidRPr="00B02939">
        <w:t>,</w:t>
      </w:r>
    </w:p>
    <w:p w:rsidR="00344936" w:rsidRPr="00B02939" w:rsidRDefault="00344936" w:rsidP="00344936">
      <w:pPr>
        <w:pStyle w:val="NormalHanging12a"/>
      </w:pPr>
      <w:r w:rsidRPr="00B02939">
        <w:t>–</w:t>
      </w:r>
      <w:r w:rsidRPr="00B02939">
        <w:tab/>
        <w:t xml:space="preserve">uzimajući u obzir Uredbu (EZ) br. 864/2007 Europskog parlamenta i Vijeća od </w:t>
      </w:r>
      <w:r w:rsidRPr="00B02939">
        <w:lastRenderedPageBreak/>
        <w:t xml:space="preserve">11. srpnja 2007. o pravu koje se primjenjuje na </w:t>
      </w:r>
      <w:proofErr w:type="spellStart"/>
      <w:r w:rsidRPr="00B02939">
        <w:t>izvanugovorne</w:t>
      </w:r>
      <w:proofErr w:type="spellEnd"/>
      <w:r w:rsidRPr="00B02939">
        <w:t xml:space="preserve"> obveze („Rim II”)</w:t>
      </w:r>
      <w:r w:rsidRPr="00B02939">
        <w:rPr>
          <w:rStyle w:val="FootnoteReference"/>
        </w:rPr>
        <w:footnoteReference w:id="3"/>
      </w:r>
      <w:r w:rsidRPr="00B02939">
        <w:t>,</w:t>
      </w:r>
    </w:p>
    <w:p w:rsidR="00344936" w:rsidRPr="00B02939" w:rsidRDefault="00344936" w:rsidP="00344936">
      <w:pPr>
        <w:pStyle w:val="NormalHanging12a"/>
      </w:pPr>
      <w:r w:rsidRPr="00B02939">
        <w:t>–</w:t>
      </w:r>
      <w:r w:rsidRPr="00B02939">
        <w:tab/>
        <w:t>uzimajući u obzir Uredbu (EZ) br. 593/2008 Europskog parlamenta i Vijeća od 17. lipnja 2008. o pravu koje se primjenjuje na ugovorne obveze („Rim I”)</w:t>
      </w:r>
      <w:r w:rsidRPr="00B02939">
        <w:rPr>
          <w:rStyle w:val="FootnoteReference"/>
        </w:rPr>
        <w:footnoteReference w:id="4"/>
      </w:r>
      <w:r w:rsidRPr="00B02939">
        <w:t>,</w:t>
      </w:r>
    </w:p>
    <w:p w:rsidR="00344936" w:rsidRPr="00B02939" w:rsidRDefault="00344936" w:rsidP="00344936">
      <w:pPr>
        <w:pStyle w:val="NormalHanging12a"/>
      </w:pPr>
      <w:r w:rsidRPr="00B02939">
        <w:t>–</w:t>
      </w:r>
      <w:r w:rsidRPr="00B02939">
        <w:tab/>
        <w:t>uzimajući u obzir Direktivu 2009/24/EZ Europskog parlamenta i Vijeća od 23. travnja 2009. o pravnoj zaštiti računalnih programa</w:t>
      </w:r>
      <w:r w:rsidRPr="00B02939">
        <w:rPr>
          <w:rStyle w:val="FootnoteReference"/>
        </w:rPr>
        <w:footnoteReference w:id="5"/>
      </w:r>
      <w:r w:rsidRPr="00B02939">
        <w:t>,</w:t>
      </w:r>
    </w:p>
    <w:p w:rsidR="00344936" w:rsidRPr="00B02939" w:rsidRDefault="00344936" w:rsidP="00344936">
      <w:pPr>
        <w:pStyle w:val="NormalHanging12a"/>
      </w:pPr>
      <w:r w:rsidRPr="00B02939">
        <w:t>–</w:t>
      </w:r>
      <w:r w:rsidRPr="00B02939">
        <w:tab/>
        <w:t>uzimajući u obzir Uredbu (EU) br. 1215/2012 Europskog parlamenta i Vijeća od 12. prosinca 2012. o nadležnosti, priznavanju i izvršenju sudskih odluka u građanskim i trgovačkim stvarima (preinačena)</w:t>
      </w:r>
      <w:r w:rsidRPr="00B02939">
        <w:rPr>
          <w:rStyle w:val="FootnoteReference"/>
        </w:rPr>
        <w:footnoteReference w:id="6"/>
      </w:r>
      <w:r w:rsidRPr="00B02939">
        <w:t xml:space="preserve"> („Uredba Bruxelles I”),</w:t>
      </w:r>
    </w:p>
    <w:p w:rsidR="00344936" w:rsidRPr="00B02939" w:rsidRDefault="00344936" w:rsidP="00344936">
      <w:pPr>
        <w:pStyle w:val="NormalHanging12a"/>
      </w:pPr>
      <w:r w:rsidRPr="00B02939">
        <w:t>–</w:t>
      </w:r>
      <w:r w:rsidRPr="00B02939">
        <w:tab/>
        <w:t>uzimajući u obzir Uredbu (EU) br. 910/2014 Europskog parlamenta i Vijeća od 23. srpnja 2014. o elektroničkoj identifikaciji i uslugama povjerenja za elektroničke transakcije na unutarnjem tržištu i stavljanju izvan snage Direktive 1999/93/EZ</w:t>
      </w:r>
      <w:r w:rsidRPr="00B02939">
        <w:rPr>
          <w:rStyle w:val="FootnoteReference"/>
        </w:rPr>
        <w:footnoteReference w:id="7"/>
      </w:r>
      <w:r w:rsidRPr="00B02939">
        <w:t>,</w:t>
      </w:r>
    </w:p>
    <w:p w:rsidR="00344936" w:rsidRPr="00B02939" w:rsidRDefault="00344936" w:rsidP="00344936">
      <w:pPr>
        <w:pStyle w:val="NormalHanging12a"/>
      </w:pPr>
      <w:r w:rsidRPr="00B02939">
        <w:t>–</w:t>
      </w:r>
      <w:r w:rsidRPr="00B02939">
        <w:tab/>
        <w:t>uzimajući u obzir Direktivu (EU) 2016/943 Europskog parlamenta i Vijeća od 8. lipnja 2016. o zaštiti neotkrivenih znanja i iskustva te poslovnih informacija (poslovne tajne) od nezakonitog pribavljanja, korištenja i otkrivanja</w:t>
      </w:r>
      <w:r w:rsidRPr="00B02939">
        <w:rPr>
          <w:rStyle w:val="FootnoteReference"/>
        </w:rPr>
        <w:footnoteReference w:id="8"/>
      </w:r>
      <w:r w:rsidRPr="00B02939">
        <w:t>,</w:t>
      </w:r>
    </w:p>
    <w:p w:rsidR="00344936" w:rsidRPr="00B02939" w:rsidRDefault="00344936" w:rsidP="00344936">
      <w:pPr>
        <w:pStyle w:val="NormalHanging12a"/>
      </w:pPr>
      <w:r w:rsidRPr="00B02939">
        <w:t>–</w:t>
      </w:r>
      <w:r w:rsidRPr="00B02939">
        <w:tab/>
        <w:t>uzimajući u obzir Uredbu (EU) 2016/679 Europskog parlamenta i Vijeća od 27. travnja 2016. o zaštiti pojedinaca u vezi s obradom osobnih podataka i o slobodnom kretanju takvih podataka te o stavljanju izvan snage Direktive 95/46/EZ</w:t>
      </w:r>
      <w:r w:rsidRPr="00B02939">
        <w:rPr>
          <w:rStyle w:val="FootnoteReference"/>
        </w:rPr>
        <w:footnoteReference w:id="9"/>
      </w:r>
      <w:r w:rsidRPr="00B02939">
        <w:t>,</w:t>
      </w:r>
    </w:p>
    <w:p w:rsidR="00344936" w:rsidRPr="00B02939" w:rsidRDefault="00344936" w:rsidP="00344936">
      <w:pPr>
        <w:pStyle w:val="NormalHanging12a"/>
      </w:pPr>
      <w:r w:rsidRPr="00B02939">
        <w:t>–</w:t>
      </w:r>
      <w:r w:rsidRPr="00B02939">
        <w:tab/>
        <w:t>uzimajući u obzir Direktivu (EU) 2016/680 Europskog parlamenta i Vijeća od 27. travnja 2016. o zaštiti pojedinaca u vezi s obradom osobnih podataka od strane nadležnih tijela u svrhe sprečavanja, istrage, otkrivanja ili progona kaznenih djela ili izvršavanja kaznenih sankcija i o slobodnom kretanju takvih podataka</w:t>
      </w:r>
      <w:r w:rsidRPr="00B02939">
        <w:rPr>
          <w:rStyle w:val="FootnoteReference"/>
        </w:rPr>
        <w:footnoteReference w:id="10"/>
      </w:r>
      <w:r w:rsidRPr="00B02939">
        <w:t>,</w:t>
      </w:r>
    </w:p>
    <w:p w:rsidR="00344936" w:rsidRPr="00B02939" w:rsidRDefault="00344936" w:rsidP="00344936">
      <w:pPr>
        <w:pStyle w:val="NormalHanging12a"/>
      </w:pPr>
      <w:r w:rsidRPr="00B02939">
        <w:t>–</w:t>
      </w:r>
      <w:r w:rsidRPr="00B02939">
        <w:tab/>
        <w:t>uzimajući u obzir Direktivu (EU) 2016/2102 Europskog parlamenta i Vijeća od 26. listopada 2016. o pristupačnosti internetskih stranica i mobilnih aplikacija tijela javnog sektora</w:t>
      </w:r>
      <w:r w:rsidRPr="00B02939">
        <w:rPr>
          <w:rStyle w:val="FootnoteReference"/>
        </w:rPr>
        <w:footnoteReference w:id="11"/>
      </w:r>
      <w:r w:rsidRPr="00B02939">
        <w:t>,</w:t>
      </w:r>
    </w:p>
    <w:p w:rsidR="00344936" w:rsidRPr="00B02939" w:rsidRDefault="00050490" w:rsidP="00344936">
      <w:pPr>
        <w:pStyle w:val="NormalHanging12a"/>
      </w:pPr>
      <w:r>
        <w:t>–</w:t>
      </w:r>
      <w:r>
        <w:tab/>
        <w:t>uzimajući u obzir Uredbu (EU)</w:t>
      </w:r>
      <w:r w:rsidR="00344936" w:rsidRPr="00B02939">
        <w:t> 2017/1001 Europskog parlamenta i Vijeća od 14. lipnja 2017. o žigu Europske unije</w:t>
      </w:r>
      <w:r w:rsidR="00344936" w:rsidRPr="00B02939">
        <w:rPr>
          <w:rStyle w:val="FootnoteReference"/>
        </w:rPr>
        <w:footnoteReference w:id="12"/>
      </w:r>
      <w:r w:rsidR="00344936" w:rsidRPr="00B02939">
        <w:t>,</w:t>
      </w:r>
    </w:p>
    <w:p w:rsidR="00344936" w:rsidRPr="00B02939" w:rsidRDefault="00344936" w:rsidP="00344936">
      <w:pPr>
        <w:pStyle w:val="NormalHanging12a"/>
      </w:pPr>
      <w:r w:rsidRPr="00B02939">
        <w:t>–</w:t>
      </w:r>
      <w:r w:rsidRPr="00B02939">
        <w:tab/>
        <w:t xml:space="preserve">uzimajući u obzir Uredbu (EU) 2018/1725 Europskog parlamenta i Vijeća od 23. listopada 2018. o zaštiti pojedinaca u vezi s obradom osobnih podataka u institucijama, tijelima, uredima i agencijama Unije i o slobodnom kretanju takvih podataka te o stavljanju izvan snage Uredbe (EZ) br. 45/2001 i </w:t>
      </w:r>
      <w:r w:rsidRPr="00B02939">
        <w:lastRenderedPageBreak/>
        <w:t>Odluke br. 1247/2002/EZ</w:t>
      </w:r>
      <w:r w:rsidRPr="00B02939">
        <w:rPr>
          <w:rStyle w:val="FootnoteReference"/>
        </w:rPr>
        <w:footnoteReference w:id="13"/>
      </w:r>
      <w:r w:rsidRPr="00B02939">
        <w:t>,</w:t>
      </w:r>
    </w:p>
    <w:p w:rsidR="00344936" w:rsidRPr="00B02939" w:rsidRDefault="00344936" w:rsidP="00344936">
      <w:pPr>
        <w:pStyle w:val="NormalHanging12a"/>
      </w:pPr>
      <w:r w:rsidRPr="00B02939">
        <w:t>–</w:t>
      </w:r>
      <w:r w:rsidRPr="00B02939">
        <w:tab/>
        <w:t>uzimajući u obzir Uredbu (EU) 2018/1807 Europskog parlamenta i Vijeća od 14. studenoga 2018. o okviru za slobodan protok neosobnih podataka u Europskoj uniji</w:t>
      </w:r>
      <w:r w:rsidRPr="00B02939">
        <w:rPr>
          <w:rStyle w:val="FootnoteReference"/>
        </w:rPr>
        <w:footnoteReference w:id="14"/>
      </w:r>
      <w:r w:rsidRPr="00B02939">
        <w:t>,</w:t>
      </w:r>
    </w:p>
    <w:p w:rsidR="00344936" w:rsidRPr="00B02939" w:rsidRDefault="00344936" w:rsidP="00344936">
      <w:pPr>
        <w:pStyle w:val="NormalHanging12a"/>
      </w:pPr>
      <w:r w:rsidRPr="00B02939">
        <w:t>–</w:t>
      </w:r>
      <w:r w:rsidRPr="00B02939">
        <w:tab/>
        <w:t>uzimajući u obzir Direktivu (EU) 2019/790 Europskog parlamenta i Vijeća od 17. travnja 2019. o autorskom pravu i srodnim pravima na jedinstvenom digitalnom tržištu i izmjeni direktiva 96/9/EZ i 2001/29/EZ</w:t>
      </w:r>
      <w:r w:rsidRPr="00B02939">
        <w:rPr>
          <w:rStyle w:val="FootnoteReference"/>
        </w:rPr>
        <w:footnoteReference w:id="15"/>
      </w:r>
      <w:r w:rsidRPr="00B02939">
        <w:t xml:space="preserve"> („Direktiva o autorskom pravu”),</w:t>
      </w:r>
    </w:p>
    <w:p w:rsidR="00344936" w:rsidRPr="00B02939" w:rsidRDefault="00344936" w:rsidP="00344936">
      <w:pPr>
        <w:pStyle w:val="NormalHanging12a"/>
      </w:pPr>
      <w:r w:rsidRPr="00B02939">
        <w:t>–</w:t>
      </w:r>
      <w:r w:rsidRPr="00B02939">
        <w:tab/>
        <w:t>uzimajući u obzir Direktivu (EU) 2019/882 Europskog parlamenta i Vijeća od 17. travnja 2019. o zahtjevima za pristupačnost proizvoda i usluga</w:t>
      </w:r>
      <w:r w:rsidRPr="00B02939">
        <w:rPr>
          <w:rStyle w:val="FootnoteReference"/>
        </w:rPr>
        <w:footnoteReference w:id="16"/>
      </w:r>
      <w:r w:rsidRPr="00B02939">
        <w:t>,</w:t>
      </w:r>
    </w:p>
    <w:p w:rsidR="00344936" w:rsidRPr="00B02939" w:rsidRDefault="00344936" w:rsidP="00344936">
      <w:pPr>
        <w:pStyle w:val="NormalHanging12a"/>
      </w:pPr>
      <w:r w:rsidRPr="00B02939">
        <w:t>–</w:t>
      </w:r>
      <w:r w:rsidRPr="00B02939">
        <w:tab/>
        <w:t>uzimajući u obzir Direktivu (EU) 2019/1024 Europskog parlamenta i Vijeća od 20. lipnja 2019. o otvorenim podatcima i ponovnoj uporabi informacija javnog sektora</w:t>
      </w:r>
      <w:r w:rsidRPr="00B02939">
        <w:rPr>
          <w:rStyle w:val="FootnoteReference"/>
        </w:rPr>
        <w:footnoteReference w:id="17"/>
      </w:r>
      <w:r w:rsidRPr="00B02939">
        <w:t>,</w:t>
      </w:r>
    </w:p>
    <w:p w:rsidR="00344936" w:rsidRPr="00B02939" w:rsidRDefault="00344936" w:rsidP="00344936">
      <w:pPr>
        <w:pStyle w:val="NormalHanging12a"/>
      </w:pPr>
      <w:r w:rsidRPr="00B02939">
        <w:t>–</w:t>
      </w:r>
      <w:r w:rsidRPr="00B02939">
        <w:tab/>
        <w:t>uzimajući u obzir Uredbu (EU) 2019/1150 Europskog parlamenta i Vijeća od 20. lipnja 2019. o promicanju pravednosti i transparentnosti za poslovne korisnike usluga internetskog posredovanja</w:t>
      </w:r>
      <w:r w:rsidRPr="00B02939">
        <w:rPr>
          <w:rStyle w:val="FootnoteReference"/>
        </w:rPr>
        <w:footnoteReference w:id="18"/>
      </w:r>
      <w:r w:rsidRPr="00B02939">
        <w:t>,</w:t>
      </w:r>
    </w:p>
    <w:p w:rsidR="00344936" w:rsidRPr="00B02939" w:rsidRDefault="00344936" w:rsidP="00344936">
      <w:pPr>
        <w:pStyle w:val="NormalHanging12a"/>
      </w:pPr>
      <w:r w:rsidRPr="00B02939">
        <w:t>–</w:t>
      </w:r>
      <w:r w:rsidRPr="00B02939">
        <w:tab/>
        <w:t>uzimajući u obzir Prijedlog uredbe Europskog parlamenta i Vijeća o utvrđivanju usklađenih pravila o umjetnoj inteligenciji (Akt o umjetnoj inteligenciji) i izmjeni određenih zakonodavnih akata Unije (COM(2021)0206),</w:t>
      </w:r>
    </w:p>
    <w:p w:rsidR="00344936" w:rsidRPr="00B02939" w:rsidRDefault="00344936" w:rsidP="00344936">
      <w:pPr>
        <w:pStyle w:val="NormalHanging12a"/>
      </w:pPr>
      <w:r w:rsidRPr="00B02939">
        <w:t>–</w:t>
      </w:r>
      <w:r w:rsidRPr="00B02939">
        <w:tab/>
        <w:t>uzimajući u obzir Prijedlog uredbe Europskog parlamenta i Vijeća o izmjeni Uredbe (EU) br. 910/2014 u pogledu uspostavljanja europskog okvira za digitalni identitet (COM(2021)0281),</w:t>
      </w:r>
    </w:p>
    <w:p w:rsidR="00344936" w:rsidRPr="00B02939" w:rsidRDefault="00344936" w:rsidP="00344936">
      <w:pPr>
        <w:pStyle w:val="NormalHanging12a"/>
      </w:pPr>
      <w:r w:rsidRPr="00B02939">
        <w:t>–</w:t>
      </w:r>
      <w:r w:rsidRPr="00B02939">
        <w:tab/>
        <w:t>uzimajući u obzir Prijedlog uredbe Europskog parlamenta i Vijeća o usklađenim pravilima za pravedan pristup podacima i njihovu uporabu (Akt o podacima) (COM(2022)0068),</w:t>
      </w:r>
    </w:p>
    <w:p w:rsidR="00344936" w:rsidRPr="00B02939" w:rsidRDefault="00344936" w:rsidP="00344936">
      <w:pPr>
        <w:pStyle w:val="NormalHanging12a"/>
      </w:pPr>
      <w:r w:rsidRPr="00B02939">
        <w:t>–</w:t>
      </w:r>
      <w:r w:rsidRPr="00B02939">
        <w:tab/>
        <w:t>uzimajući u obzir Prijedlog direktive Europskog parlamenta i Vijeća o odgovornosti za neispravne proizvode (COM(2022)0495),</w:t>
      </w:r>
    </w:p>
    <w:p w:rsidR="00344936" w:rsidRPr="00B02939" w:rsidRDefault="00344936" w:rsidP="00344936">
      <w:pPr>
        <w:pStyle w:val="NormalHanging12a"/>
      </w:pPr>
      <w:r w:rsidRPr="00B02939">
        <w:t>–</w:t>
      </w:r>
      <w:r w:rsidRPr="00B02939">
        <w:tab/>
        <w:t xml:space="preserve">uzimajući u obzir Prijedlog direktive Europskog parlamenta i Vijeća o prilagodbi pravila o </w:t>
      </w:r>
      <w:proofErr w:type="spellStart"/>
      <w:r w:rsidRPr="00B02939">
        <w:t>izvanugovornoj</w:t>
      </w:r>
      <w:proofErr w:type="spellEnd"/>
      <w:r w:rsidRPr="00B02939">
        <w:t xml:space="preserve"> građanskopravnoj odgovornosti s obzirom na umjetnu inteligenciju (Direktiva o odgovornosti za umjetnu inteligenciju) (COM(2022)0496),</w:t>
      </w:r>
    </w:p>
    <w:p w:rsidR="00344936" w:rsidRPr="00B02939" w:rsidRDefault="00344936" w:rsidP="00344936">
      <w:pPr>
        <w:pStyle w:val="NormalHanging12a"/>
      </w:pPr>
      <w:r w:rsidRPr="00B02939">
        <w:t>–</w:t>
      </w:r>
      <w:r w:rsidRPr="00B02939">
        <w:tab/>
        <w:t>uzimajući u obzir Uredbu (EU) 2022/868 Europskog parlamenta i Vijeća od 30. svibnja 2022. o europskom upravljanju podacima i izmjeni Uredbe (EU) 2018/1724 (Akt o upravljanju podacima)</w:t>
      </w:r>
      <w:r w:rsidRPr="00B02939">
        <w:rPr>
          <w:rStyle w:val="FootnoteReference"/>
        </w:rPr>
        <w:footnoteReference w:id="19"/>
      </w:r>
      <w:r w:rsidRPr="00B02939">
        <w:t>,</w:t>
      </w:r>
    </w:p>
    <w:p w:rsidR="00344936" w:rsidRPr="00B02939" w:rsidRDefault="00344936" w:rsidP="00344936">
      <w:pPr>
        <w:pStyle w:val="NormalHanging12a"/>
      </w:pPr>
      <w:r w:rsidRPr="00B02939">
        <w:t>–</w:t>
      </w:r>
      <w:r w:rsidRPr="00B02939">
        <w:tab/>
        <w:t xml:space="preserve">uzimajući u obzir Uredbu (EU) 2022/1925 Europskog parlamenta i Vijeća od 14. rujna 2022. o pravednim tržištima s mogućnošću neograničenog tržišnog natjecanja </w:t>
      </w:r>
      <w:r w:rsidRPr="00B02939">
        <w:lastRenderedPageBreak/>
        <w:t>u digitalnom sektoru i izmjeni direktiva (EU) 2019/1937 i (EU) 2020/1828 (Akt o digitalnim tržištima)</w:t>
      </w:r>
      <w:r w:rsidRPr="00B02939">
        <w:rPr>
          <w:rStyle w:val="FootnoteReference"/>
        </w:rPr>
        <w:footnoteReference w:id="20"/>
      </w:r>
      <w:r w:rsidRPr="00B02939">
        <w:t>,</w:t>
      </w:r>
    </w:p>
    <w:p w:rsidR="00344936" w:rsidRPr="00B02939" w:rsidRDefault="00344936" w:rsidP="00344936">
      <w:pPr>
        <w:pStyle w:val="NormalHanging12a"/>
      </w:pPr>
      <w:r w:rsidRPr="00B02939">
        <w:t>–</w:t>
      </w:r>
      <w:r w:rsidRPr="00B02939">
        <w:tab/>
        <w:t>uzimajući u obzir Uredbu (EU) 2022/2065 Europskog parlamenta i Vijeća od 19. listopada 2022. o jedinstvenom tržištu digitalnih usluga i izmjeni Direktive 2000/31/EZ (Akt o digitalnim uslugama)</w:t>
      </w:r>
      <w:r w:rsidRPr="00B02939">
        <w:rPr>
          <w:rStyle w:val="FootnoteReference"/>
        </w:rPr>
        <w:footnoteReference w:id="21"/>
      </w:r>
      <w:r w:rsidRPr="00B02939">
        <w:t>,</w:t>
      </w:r>
    </w:p>
    <w:p w:rsidR="00344936" w:rsidRPr="00B02939" w:rsidRDefault="00344936" w:rsidP="00344936">
      <w:pPr>
        <w:pStyle w:val="NormalHanging12a"/>
      </w:pPr>
      <w:r w:rsidRPr="00B02939">
        <w:t>–</w:t>
      </w:r>
      <w:r w:rsidRPr="00B02939">
        <w:tab/>
        <w:t>uzimajući u obzir Uredbu (EU) 2023/988 Europskog parlamenta i Vijeća od 10. svibnja 2023. o općoj sigurnosti proizvoda, izmjeni Uredbe (EU) br. 1025/2012 Europskog parlamenta i Vijeća i Direktive (EU) 2020/1828 Europskog parlamenta i Vijeća te o stavljanju izvan snage Direktive 2001/95/EZ Europskog parlamenta i Vijeća i Direktive Vijeća 87/357/EEZ</w:t>
      </w:r>
      <w:r w:rsidRPr="00B02939">
        <w:rPr>
          <w:rStyle w:val="FootnoteReference"/>
        </w:rPr>
        <w:footnoteReference w:id="22"/>
      </w:r>
      <w:r w:rsidRPr="00B02939">
        <w:t>,</w:t>
      </w:r>
    </w:p>
    <w:p w:rsidR="00344936" w:rsidRPr="00B02939" w:rsidRDefault="00344936" w:rsidP="00344936">
      <w:pPr>
        <w:pStyle w:val="NormalHanging12a"/>
      </w:pPr>
      <w:r w:rsidRPr="00B02939">
        <w:t>–</w:t>
      </w:r>
      <w:r w:rsidRPr="00B02939">
        <w:tab/>
        <w:t xml:space="preserve">uzimajući u obzir Uredbu (EU) 2023/1114 Europskog parlamenta i Vijeća od 31. svibnja 2023. o tržištima </w:t>
      </w:r>
      <w:proofErr w:type="spellStart"/>
      <w:r w:rsidRPr="00B02939">
        <w:t>kriptoimovine</w:t>
      </w:r>
      <w:proofErr w:type="spellEnd"/>
      <w:r w:rsidRPr="00B02939">
        <w:t xml:space="preserve"> i izmjeni uredaba (EU) br. 1093/2010 i (EU) br. 1095/2010 te direktiva 2013/36/EU i (EU) 2019/1937</w:t>
      </w:r>
      <w:r w:rsidRPr="00B02939">
        <w:rPr>
          <w:rStyle w:val="FootnoteReference"/>
        </w:rPr>
        <w:footnoteReference w:id="23"/>
      </w:r>
      <w:r w:rsidRPr="00B02939">
        <w:t>,</w:t>
      </w:r>
    </w:p>
    <w:p w:rsidR="00344936" w:rsidRPr="00B02939" w:rsidRDefault="00344936" w:rsidP="00344936">
      <w:pPr>
        <w:pStyle w:val="NormalHanging12a"/>
      </w:pPr>
      <w:r w:rsidRPr="00B02939">
        <w:t>–</w:t>
      </w:r>
      <w:r w:rsidRPr="00B02939">
        <w:tab/>
        <w:t>uzimajući u obzir svoju Rezoluciju od 20. listopada 2020. o pravima intelektualnog vlasništva za razvoj tehnologija umjetne inteligencije (A9-0176/2020)</w:t>
      </w:r>
      <w:r w:rsidRPr="00B02939">
        <w:rPr>
          <w:rStyle w:val="FootnoteReference"/>
        </w:rPr>
        <w:footnoteReference w:id="24"/>
      </w:r>
      <w:r w:rsidRPr="00B02939">
        <w:t>,</w:t>
      </w:r>
    </w:p>
    <w:p w:rsidR="00344936" w:rsidRPr="00B02939" w:rsidRDefault="00344936" w:rsidP="00344936">
      <w:pPr>
        <w:pStyle w:val="NormalHanging12a"/>
      </w:pPr>
      <w:r w:rsidRPr="00B02939">
        <w:t>–</w:t>
      </w:r>
      <w:r w:rsidRPr="00B02939">
        <w:tab/>
        <w:t>uzimajući u obzir komunikaciju Komisije Europskom parlamentu, Vijeću, Europskom gospodarskom i socijalnom odboru i Odboru regija naslovljenu „Iskorištavanje inovacijskog potencijala EU-a – Akcijski plan za intelektualno vlasništvo za oporavak i otpornost EU-a” (COM(2020)0760),</w:t>
      </w:r>
    </w:p>
    <w:p w:rsidR="00344936" w:rsidRPr="00B02939" w:rsidRDefault="00344936" w:rsidP="00344936">
      <w:pPr>
        <w:pStyle w:val="NormalHanging12a"/>
      </w:pPr>
      <w:r w:rsidRPr="00B02939">
        <w:t>–</w:t>
      </w:r>
      <w:r w:rsidRPr="00B02939">
        <w:tab/>
        <w:t>uzimajući u obzir svoju Rezoluciju od 11. studenoga 2021. o akcijskom planu za intelektualno vlasništvo za oporavak i otpornost EU-a</w:t>
      </w:r>
      <w:r w:rsidRPr="00B02939">
        <w:rPr>
          <w:rStyle w:val="FootnoteReference"/>
        </w:rPr>
        <w:footnoteReference w:id="25"/>
      </w:r>
      <w:r w:rsidRPr="00B02939">
        <w:t>,</w:t>
      </w:r>
    </w:p>
    <w:p w:rsidR="00344936" w:rsidRPr="00B02939" w:rsidRDefault="00344936" w:rsidP="00344936">
      <w:pPr>
        <w:pStyle w:val="NormalHanging12a"/>
      </w:pPr>
      <w:r w:rsidRPr="00B02939">
        <w:t>–</w:t>
      </w:r>
      <w:r w:rsidRPr="00B02939">
        <w:tab/>
        <w:t>uzimajući u obzir komunikaciju Komisije od 11. srpnja 2023. naslovljenu „Inicijativa EU-a o tehnologiji Web 4.0 i virtualnim svjetovima: prednost u pripremi za sljedeću tehnološku tranziciju”,</w:t>
      </w:r>
    </w:p>
    <w:p w:rsidR="00344936" w:rsidRPr="00B02939" w:rsidRDefault="00344936" w:rsidP="00344936">
      <w:pPr>
        <w:pStyle w:val="NormalHanging12a"/>
        <w:rPr>
          <w:b/>
          <w:i/>
        </w:rPr>
      </w:pPr>
      <w:r w:rsidRPr="00B02939">
        <w:rPr>
          <w:b/>
          <w:i/>
        </w:rPr>
        <w:t>–</w:t>
      </w:r>
      <w:r w:rsidRPr="00B02939">
        <w:rPr>
          <w:b/>
          <w:i/>
        </w:rPr>
        <w:tab/>
      </w:r>
      <w:r w:rsidRPr="00B02939">
        <w:t>uzimajući u obzir komunikaciju Komisije od 11. svibnja 2022. naslovljenu „Digitalno desetljeće za djecu i mlade: nova Europska strategija za bolji internet za djecu (BIK+)” (COM</w:t>
      </w:r>
      <w:r w:rsidR="00050490">
        <w:t xml:space="preserve"> </w:t>
      </w:r>
      <w:r w:rsidRPr="00B02939">
        <w:t>(2022)0212),</w:t>
      </w:r>
    </w:p>
    <w:p w:rsidR="00344936" w:rsidRPr="00B02939" w:rsidRDefault="00344936" w:rsidP="00344936">
      <w:pPr>
        <w:pStyle w:val="NormalHanging12a"/>
      </w:pPr>
      <w:r w:rsidRPr="00B02939">
        <w:t>–</w:t>
      </w:r>
      <w:r w:rsidRPr="00B02939">
        <w:tab/>
        <w:t>uzimajući u obzir članak 54. Poslovnika,</w:t>
      </w:r>
    </w:p>
    <w:p w:rsidR="00344936" w:rsidRPr="00B02939" w:rsidRDefault="00344936" w:rsidP="00344936">
      <w:pPr>
        <w:pStyle w:val="NormalHanging12a"/>
      </w:pPr>
      <w:r w:rsidRPr="00B02939">
        <w:t>–</w:t>
      </w:r>
      <w:r w:rsidRPr="00B02939">
        <w:tab/>
        <w:t>uzimajući u obzir izvješće Odbora za pravna pitanja (A9</w:t>
      </w:r>
      <w:r w:rsidRPr="00B02939">
        <w:noBreakHyphen/>
        <w:t>0442/2023),</w:t>
      </w:r>
    </w:p>
    <w:p w:rsidR="00344936" w:rsidRPr="00B02939" w:rsidRDefault="00344936" w:rsidP="00344936">
      <w:pPr>
        <w:pStyle w:val="NormalHanging12a"/>
      </w:pPr>
      <w:r w:rsidRPr="00B02939">
        <w:t>A.</w:t>
      </w:r>
      <w:r w:rsidRPr="00B02939">
        <w:tab/>
        <w:t>budući da virtualni svjetovi još nisu u širokoj upotrebi, iako je njihova primjena u brojnim slučajevima upotrebe u različitim sektorima podigla opću svijest i privukla pozornost javnih tijela;</w:t>
      </w:r>
    </w:p>
    <w:p w:rsidR="00344936" w:rsidRPr="00B02939" w:rsidRDefault="00344936" w:rsidP="00344936">
      <w:pPr>
        <w:pStyle w:val="NormalHanging12a"/>
      </w:pPr>
      <w:r w:rsidRPr="00B02939">
        <w:t>B.</w:t>
      </w:r>
      <w:r w:rsidRPr="00B02939">
        <w:tab/>
        <w:t xml:space="preserve">budući da je ključno da nastavimo promicati i razvijati nove tehnologije </w:t>
      </w:r>
      <w:proofErr w:type="spellStart"/>
      <w:r w:rsidRPr="00B02939">
        <w:t>prepoznavajući</w:t>
      </w:r>
      <w:proofErr w:type="spellEnd"/>
      <w:r w:rsidRPr="00B02939">
        <w:t xml:space="preserve"> </w:t>
      </w:r>
      <w:r w:rsidRPr="00B02939">
        <w:lastRenderedPageBreak/>
        <w:t>pritom njihov potencijal za preobrazbu u područjima kao što su obrazovanje, kultura, zdravstvena skrb, videoigre i mnoga druga, ali se i pozabaviti s rizicima koje te nove tehnologije mogu predstavljati;</w:t>
      </w:r>
    </w:p>
    <w:p w:rsidR="00344936" w:rsidRPr="00B02939" w:rsidRDefault="00344936" w:rsidP="00344936">
      <w:pPr>
        <w:pStyle w:val="NormalHanging12a"/>
      </w:pPr>
      <w:r w:rsidRPr="00B02939">
        <w:t>C.</w:t>
      </w:r>
      <w:r w:rsidRPr="00B02939">
        <w:tab/>
        <w:t>budući da stručnjaci tvrde da bi još uvijek moglo biti potrebno 10 do 15 godina da virtualni svjetovi ostvare svoj puni potencijal te njihov razvoj u narednim godinama može znatno utjecati na digitalno okruženje, što će donijeti i prilike i rizike kojima je potrebno posvetiti pozornost;</w:t>
      </w:r>
    </w:p>
    <w:p w:rsidR="00344936" w:rsidRPr="00B02939" w:rsidRDefault="00344936" w:rsidP="00344936">
      <w:pPr>
        <w:pStyle w:val="NormalHanging12a"/>
      </w:pPr>
      <w:r w:rsidRPr="00B02939">
        <w:t>D.</w:t>
      </w:r>
      <w:r w:rsidRPr="00B02939">
        <w:tab/>
        <w:t>budući da je digitalna suverenost sredstvo promicanja ideje vodeće uloge Europe i njezine strateške autonomije te je ključna za sposobnost EU-a da oblikuje i provodi zakonodavstvo u digitalnom okruženju kojim bi se osigurale etičnost i održivost virtualnih svjetova te njihova usmjerenost na čovjeka i zaštita temeljnih prava i vrijednosti EU-a;</w:t>
      </w:r>
    </w:p>
    <w:p w:rsidR="00344936" w:rsidRPr="00B02939" w:rsidRDefault="00344936" w:rsidP="00344936">
      <w:pPr>
        <w:pStyle w:val="NormalHanging12a"/>
      </w:pPr>
      <w:r w:rsidRPr="00B02939">
        <w:rPr>
          <w:rStyle w:val="BoldItalic"/>
        </w:rPr>
        <w:t>Definicije</w:t>
      </w:r>
    </w:p>
    <w:p w:rsidR="00344936" w:rsidRPr="00B02939" w:rsidRDefault="00344936" w:rsidP="00344936">
      <w:pPr>
        <w:pStyle w:val="NormalHanging12a"/>
      </w:pPr>
      <w:r w:rsidRPr="00B02939">
        <w:t>1.</w:t>
      </w:r>
      <w:r w:rsidRPr="00B02939">
        <w:tab/>
        <w:t>napominje da pojmovi „</w:t>
      </w:r>
      <w:proofErr w:type="spellStart"/>
      <w:r w:rsidRPr="00B02939">
        <w:t>metaverzum</w:t>
      </w:r>
      <w:proofErr w:type="spellEnd"/>
      <w:r w:rsidRPr="00B02939">
        <w:t>” i „virtualni svijet” trenutačno nemaju konsolidirane definicije;</w:t>
      </w:r>
    </w:p>
    <w:p w:rsidR="00344936" w:rsidRPr="00B02939" w:rsidRDefault="00344936" w:rsidP="00344936">
      <w:pPr>
        <w:pStyle w:val="NormalHanging12a"/>
      </w:pPr>
      <w:r w:rsidRPr="00B02939">
        <w:t>2.</w:t>
      </w:r>
      <w:r w:rsidRPr="00B02939">
        <w:tab/>
        <w:t xml:space="preserve">u tom pogledu pozdravlja prijedlog definicije iz komunikacije Komisije koja je usmjerena na glavne značajke virtualnih svjetova, kako slijedi: „Virtualni svjetovi trajna su, </w:t>
      </w:r>
      <w:proofErr w:type="spellStart"/>
      <w:r w:rsidRPr="00B02939">
        <w:t>imerzivna</w:t>
      </w:r>
      <w:proofErr w:type="spellEnd"/>
      <w:r w:rsidRPr="00B02939">
        <w:t xml:space="preserve"> okruženja koja se temelje na tehnologijama kao što su 3D i produžena stvarnost (XR), što omogućuje stapanje fizičkog i digitalnog svijeta u stvarnom vremenu. Ta se tehnologija može koristiti u različite svrhe, kao što su projektiranje, izrada simulacija, suradnja, učenje, druženje, izvršavanje transakcija ili ponuda zabavnih sadržaja.”; ističe da mnoge tehnologije koje se nazivaju „virtualnim svjetovima” postoje već godinama; naglašava da bi se buduća europska strategija trebala temeljiti na istraživanjima, znanstvenim dokazima i društvenoj važnosti;</w:t>
      </w:r>
    </w:p>
    <w:p w:rsidR="00344936" w:rsidRPr="00B02939" w:rsidRDefault="00344936" w:rsidP="00344936">
      <w:pPr>
        <w:pStyle w:val="NormalHanging12a"/>
      </w:pPr>
      <w:r w:rsidRPr="00B02939">
        <w:t>3.</w:t>
      </w:r>
      <w:r w:rsidRPr="00B02939">
        <w:tab/>
        <w:t xml:space="preserve">naglašava ključnu važnost promicanja normizacije i </w:t>
      </w:r>
      <w:proofErr w:type="spellStart"/>
      <w:r w:rsidRPr="00B02939">
        <w:t>interoperabilnosti</w:t>
      </w:r>
      <w:proofErr w:type="spellEnd"/>
      <w:r w:rsidRPr="00B02939">
        <w:t xml:space="preserve"> za potpuni razvoj ekosustava međusobno povezanih virtualnih svjetova;</w:t>
      </w:r>
    </w:p>
    <w:p w:rsidR="00344936" w:rsidRPr="00B02939" w:rsidRDefault="00344936" w:rsidP="00344936">
      <w:pPr>
        <w:pStyle w:val="NormalHanging12a"/>
        <w:rPr>
          <w:rStyle w:val="BoldItalic"/>
        </w:rPr>
      </w:pPr>
      <w:r w:rsidRPr="00B02939">
        <w:rPr>
          <w:rStyle w:val="BoldItalic"/>
        </w:rPr>
        <w:t>Odgovarajući etički i pravni okvir</w:t>
      </w:r>
    </w:p>
    <w:p w:rsidR="00344936" w:rsidRPr="00B02939" w:rsidRDefault="00344936" w:rsidP="00344936">
      <w:pPr>
        <w:pStyle w:val="NormalHanging12a"/>
      </w:pPr>
      <w:r w:rsidRPr="00B02939">
        <w:t>4.</w:t>
      </w:r>
      <w:r w:rsidRPr="00B02939">
        <w:tab/>
        <w:t>naglašava da bi virtualni svjetovi dostupni u EU-u trebali poštovati etičke vrijednosti, načela i temeljna prava sadržana u Povelji Europske unije o temeljnim pravima</w:t>
      </w:r>
      <w:r w:rsidRPr="00B02939">
        <w:rPr>
          <w:vertAlign w:val="superscript"/>
        </w:rPr>
        <w:footnoteReference w:id="26"/>
      </w:r>
      <w:r w:rsidRPr="00B02939">
        <w:t xml:space="preserve"> i postojećem zakonodavstvu EU-a, osobito u pogledu privatnosti podataka, standarda sigurnosti i zaštite, dijeljenja podataka, </w:t>
      </w:r>
      <w:proofErr w:type="spellStart"/>
      <w:r w:rsidRPr="00B02939">
        <w:t>moderiranja</w:t>
      </w:r>
      <w:proofErr w:type="spellEnd"/>
      <w:r w:rsidRPr="00B02939">
        <w:t xml:space="preserve"> sadržaja, borbe protiv uznemiravanja i govora mržnje, </w:t>
      </w:r>
      <w:proofErr w:type="spellStart"/>
      <w:r w:rsidRPr="00B02939">
        <w:t>kibersigurnosti</w:t>
      </w:r>
      <w:proofErr w:type="spellEnd"/>
      <w:r w:rsidRPr="00B02939">
        <w:t>, radničkih prava, zaštite potrošača i djece, zahtjeva za pristupačnost, poštovanja prava intelektualnog vlasništva, zaštite znanja i iskustva i poslovne tajne, sprečavanja zlouporaba i prijevara te u pogledu kompetitivnih i pravednih tržišta;</w:t>
      </w:r>
    </w:p>
    <w:p w:rsidR="00344936" w:rsidRPr="00B02939" w:rsidRDefault="00344936" w:rsidP="00344936">
      <w:pPr>
        <w:pStyle w:val="NormalHanging12a"/>
      </w:pPr>
      <w:r w:rsidRPr="00B02939">
        <w:t>5.</w:t>
      </w:r>
      <w:r w:rsidRPr="00B02939">
        <w:tab/>
        <w:t>podsjeća da bi virtualne svjetove trebalo razvijati i uvoditi u skladu s općim načelom da bi ono što je nezakonito izvan interneta trebalo biti nezakonito na internetu, osiguravajući da se u potpunosti poštuju prava pojedinaca kao korisnika, potrošača, radnika, ulagača, nositelja prava i stvaratelja , uz poseban naglasak na pravima djece;</w:t>
      </w:r>
    </w:p>
    <w:p w:rsidR="00344936" w:rsidRPr="00B02939" w:rsidRDefault="00344936" w:rsidP="00344936">
      <w:pPr>
        <w:pStyle w:val="NormalHanging12a"/>
      </w:pPr>
      <w:r w:rsidRPr="00B02939">
        <w:t>6.</w:t>
      </w:r>
      <w:r w:rsidRPr="00B02939">
        <w:tab/>
        <w:t xml:space="preserve">ističe da se osobito sljedeći zakonodavni akti već primjenjuju na različite aspekte </w:t>
      </w:r>
      <w:r w:rsidRPr="00B02939">
        <w:lastRenderedPageBreak/>
        <w:t>virtualnih svjetova: Akt o digitalnim uslugama, Akt o digitalnim tržištima, Akt o upravljanju podacima, Akt o podacima, predloženi Akt o umjetnoj inteligenciji, Opća uredba o zaštiti podataka</w:t>
      </w:r>
      <w:r w:rsidRPr="00B02939">
        <w:rPr>
          <w:rStyle w:val="FootnoteReference"/>
        </w:rPr>
        <w:footnoteReference w:id="27"/>
      </w:r>
      <w:r w:rsidRPr="00B02939">
        <w:t xml:space="preserve"> (GDPR), Uredba o općoj sigurnosti proizvoda, Direktiva o nepoštenoj poslovnoj praksi, Uredba o tržištima </w:t>
      </w:r>
      <w:proofErr w:type="spellStart"/>
      <w:r w:rsidRPr="00B02939">
        <w:t>kriptoimovine</w:t>
      </w:r>
      <w:proofErr w:type="spellEnd"/>
      <w:r w:rsidRPr="00B02939">
        <w:t>, Europski digitalni identitet, Direktiva o autorskim pravima na jedinstvenom digitalnom tržištu, Uredba o žigu Europske unije, Direktiva o zaštiti poslovnih tajni, Europski akt o pristupačnosti, i Direktiva o pristupačnosti interneta;</w:t>
      </w:r>
    </w:p>
    <w:p w:rsidR="00344936" w:rsidRPr="00B02939" w:rsidRDefault="00344936" w:rsidP="00344936">
      <w:pPr>
        <w:pStyle w:val="NormalHanging12a"/>
      </w:pPr>
      <w:r w:rsidRPr="00B02939">
        <w:t>7.</w:t>
      </w:r>
      <w:r w:rsidRPr="00B02939">
        <w:tab/>
        <w:t>ističe važnost redovitog praćenja usklađenosti i osiguravanja učinkovite provedbe primjenjivih pravnih instrumenata na snazi; poziva Komisiju da u suradnji s različitim dionicima, među ostalim predstavnicima civilnog društva i organizacija za zaštitu potrošača te akademskom zajednicom, izradi smjernice i najbolje prakse kojima će se pojasniti pravne obveze i odgovornosti svih dionika u virtualnim svjetovima, primjerice operatera platformi, pružatelja usluga, razvojnih programera i korisnika, na temelju relevantnog prava EU-a;</w:t>
      </w:r>
    </w:p>
    <w:p w:rsidR="00344936" w:rsidRPr="00B02939" w:rsidRDefault="00344936" w:rsidP="00344936">
      <w:pPr>
        <w:pStyle w:val="NormalHanging12a"/>
      </w:pPr>
      <w:r w:rsidRPr="00B02939">
        <w:t>8.</w:t>
      </w:r>
      <w:r w:rsidRPr="00B02939">
        <w:tab/>
        <w:t>ističe da je od presudne važnosti da Komisija provodi redovite provjere prikladnosti primjenjivih pravnih instrumenata na snazi, posebno s obzirom na moguće preispitivanje Direktive o nepoštenoj poslovnoj praksi, Direktive o pravima potrošača</w:t>
      </w:r>
      <w:r w:rsidRPr="00B02939">
        <w:rPr>
          <w:rStyle w:val="FootnoteReference"/>
        </w:rPr>
        <w:footnoteReference w:id="28"/>
      </w:r>
      <w:r w:rsidRPr="00B02939">
        <w:t xml:space="preserve"> i Direktive o nepoštenim uvjetima u potrošačkim ugovorima</w:t>
      </w:r>
      <w:r w:rsidRPr="00B02939">
        <w:rPr>
          <w:rStyle w:val="FootnoteReference"/>
        </w:rPr>
        <w:footnoteReference w:id="29"/>
      </w:r>
      <w:r w:rsidRPr="00B02939">
        <w:t xml:space="preserve"> te naglašava da bi se u svakom budućem zakonodavstvu o virtualnim svjetovima trebala izbjegavati preklapanja ili nedosljednosti te po potrebi popuniti praznine;</w:t>
      </w:r>
    </w:p>
    <w:p w:rsidR="00344936" w:rsidRPr="00B02939" w:rsidRDefault="00344936" w:rsidP="00344936">
      <w:pPr>
        <w:pStyle w:val="NormalHanging12a"/>
      </w:pPr>
      <w:r w:rsidRPr="00B02939">
        <w:t>9.</w:t>
      </w:r>
      <w:r w:rsidRPr="00B02939">
        <w:tab/>
        <w:t>napominje da su neke regulatorne poteškoće ipak već vidljive u području međunarodnog privatnog prava, građanskog prava i prava intelektualnog vlasništva, kako je navedeno u odjeljcima u nastavku;</w:t>
      </w:r>
    </w:p>
    <w:p w:rsidR="00344936" w:rsidRPr="00B02939" w:rsidRDefault="00344936" w:rsidP="00344936">
      <w:pPr>
        <w:pStyle w:val="NormalHanging12a"/>
      </w:pPr>
      <w:r w:rsidRPr="00B02939">
        <w:t>10.</w:t>
      </w:r>
      <w:r w:rsidRPr="00B02939">
        <w:tab/>
        <w:t>ističe da su nedavna istraživanja pokazala da se podaci senzora virtualne stvarnosti mogu jedinstveno identificirati jednako kao skenirani otisci prstiju i da se mogu upotrijebiti za dobivanje detaljnog uvida u osobnost korisnika te za izvođenje zaključaka o različitim obilježjima kao što su dob, spol, dohodak, etnička pripadnost, invaliditet, raspoloženja i osjećaji; smatra da to izaziva znatne etične i pravne dvojbe, osobito u vezi s ciljanim bihevioralnim oglašavanjem, koje ne bi trebalo zanemariti; naglašava da u okviru rješavanja tih etičkih pitanja povezanih s prikupljanjem velikih količina osobnih podataka, među ostalim osjetljivih korisničkih podataka, primjerice biometrijskih i bihevioralnih podataka, emocionalnih reakcija i taktilnih informacija, treba zajamčiti da su korisnici svjesni da se podaci prikupljaju i da se privola za prikupljanje takvih podataka mora ishoditi ne samo u trenutku ulaska u virtualni svijet, već za svaki slučaj upotrebe u skladu s načelima utvrđenima u Općoj uredbi o zaštiti podataka, primjerice onima o integriranoj privatnosti i ograničavanju svrhe;</w:t>
      </w:r>
    </w:p>
    <w:p w:rsidR="00344936" w:rsidRPr="00B02939" w:rsidRDefault="00344936" w:rsidP="00344936">
      <w:pPr>
        <w:pStyle w:val="NormalHanging12a"/>
      </w:pPr>
      <w:r w:rsidRPr="00B02939">
        <w:lastRenderedPageBreak/>
        <w:t>11.</w:t>
      </w:r>
      <w:r w:rsidRPr="00B02939">
        <w:tab/>
        <w:t>naglašava da bi u virtualnim svjetovima trebalo biti omogućeno anonimno korištenje usluge i plaćanje kad god se identifikacija korisnika ne zahtijeva pravom Unije ili nacionalnim pravom radi utvrđivanja odgovornosti, te kad je to tehnički izvedivo i razumno jer se time štiti privatnost i djelotvorno sprečavaju neovlašteno otkrivanje podataka, krađe identiteta i drugi oblici zloporabe osobnih podataka prikupljenih na internetu;</w:t>
      </w:r>
    </w:p>
    <w:p w:rsidR="00344936" w:rsidRPr="00B02939" w:rsidRDefault="00344936" w:rsidP="00344936">
      <w:pPr>
        <w:pStyle w:val="NormalHanging12a"/>
      </w:pPr>
      <w:r w:rsidRPr="00B02939">
        <w:t>12.</w:t>
      </w:r>
      <w:r w:rsidRPr="00B02939">
        <w:tab/>
        <w:t>u tom pogledu napominje da su mjere koje je Komisija iznijela u svojoj komunikaciji, a usmjerene su na podizanje razine osviještenosti, poboljšanje digitalnih vještina i pismenosti te povećanje pristupa korisnika ključnim tehnologijama, i to olakšavanjem pristupa infrastrukturi za brzi internet i odgovarajućoj opremi, ključne za izbjegavanje digitalnog jaza i da bi ih trebalo provesti što je brže moguće kako bi se promicalo uključivo i konkurentno digitalno društvo te osiguralo da nitko nije zapostavljen u tom brzom tehnološkom razvoju;</w:t>
      </w:r>
    </w:p>
    <w:p w:rsidR="00344936" w:rsidRPr="00B02939" w:rsidRDefault="00344936" w:rsidP="00344936">
      <w:pPr>
        <w:pStyle w:val="NormalHanging12a"/>
      </w:pPr>
      <w:r w:rsidRPr="00B02939">
        <w:rPr>
          <w:rStyle w:val="BoldItalic"/>
        </w:rPr>
        <w:t>Međunarodno privatno pravo</w:t>
      </w:r>
    </w:p>
    <w:p w:rsidR="00344936" w:rsidRPr="00B02939" w:rsidRDefault="00344936" w:rsidP="00344936">
      <w:pPr>
        <w:pStyle w:val="NormalHanging12a"/>
      </w:pPr>
      <w:r w:rsidRPr="00B02939">
        <w:t>13.</w:t>
      </w:r>
      <w:r w:rsidRPr="00B02939">
        <w:tab/>
        <w:t xml:space="preserve">naglašava da bi se određena tradicionalna teritorijalna načela mjerodavnog prava i nadležnosti mogla pokazati neprikladnima za virtualne svjetove, čija je </w:t>
      </w:r>
      <w:proofErr w:type="spellStart"/>
      <w:r w:rsidRPr="00B02939">
        <w:t>neteritorijalnost</w:t>
      </w:r>
      <w:proofErr w:type="spellEnd"/>
      <w:r w:rsidRPr="00B02939">
        <w:t xml:space="preserve"> omogućena primjenom decentraliziranih tehnologija kao što je lanac blokova, te da mogu dovesti do problema u pogledu osiguravanja primjenjivosti prava EU-a te zaštite prava potrošača i poduzeća;</w:t>
      </w:r>
    </w:p>
    <w:p w:rsidR="00344936" w:rsidRPr="00B02939" w:rsidRDefault="00344936" w:rsidP="00344936">
      <w:pPr>
        <w:pStyle w:val="NormalHanging12a"/>
      </w:pPr>
      <w:r w:rsidRPr="00B02939">
        <w:t>14.</w:t>
      </w:r>
      <w:r w:rsidRPr="00B02939">
        <w:tab/>
        <w:t>posebno napominje da, s obzirom na to da svatko u svijetu može pristupiti virtualnim svjetovima, „</w:t>
      </w:r>
      <w:proofErr w:type="spellStart"/>
      <w:r w:rsidRPr="00B02939">
        <w:t>mozaični</w:t>
      </w:r>
      <w:proofErr w:type="spellEnd"/>
      <w:r w:rsidRPr="00B02939">
        <w:t xml:space="preserve"> kriterij” koji je utvrdio Sud Europske unije, prema kojem oštećena strana može tražiti naknadu štete pred sudovima zemalja u kojima je nastao barem dio štete, možda neće biti održiv; podsjeća, međutim, da je Sud utvrdio dodatni kriterij prema kojem oštećene strane mogu tražiti naknadu štete pred sudovima zemlje u kojoj imaju glavni interes te potvrđuje da bi se mogla razmotriti kodifikacija tog kriterija u Uredbi Bruxelles I;</w:t>
      </w:r>
    </w:p>
    <w:p w:rsidR="00344936" w:rsidRPr="00B02939" w:rsidRDefault="00344936" w:rsidP="00344936">
      <w:pPr>
        <w:pStyle w:val="NormalHanging12a"/>
      </w:pPr>
      <w:r w:rsidRPr="00B02939">
        <w:t>15.</w:t>
      </w:r>
      <w:r w:rsidRPr="00B02939">
        <w:tab/>
        <w:t xml:space="preserve">primjećuje da se definicija „potrošača” u Uredbi Bruxelles I trenutačno temelji na izravnom ugovornom odnosu koji ne postoji, primjerice, između izdavatelja nezamjenjivog </w:t>
      </w:r>
      <w:proofErr w:type="spellStart"/>
      <w:r w:rsidRPr="00B02939">
        <w:t>tokena</w:t>
      </w:r>
      <w:proofErr w:type="spellEnd"/>
      <w:r w:rsidRPr="00B02939">
        <w:t xml:space="preserve"> (</w:t>
      </w:r>
      <w:r w:rsidRPr="00B02939">
        <w:rPr>
          <w:i/>
          <w:iCs/>
        </w:rPr>
        <w:t>engl.</w:t>
      </w:r>
      <w:r w:rsidRPr="00B02939">
        <w:t xml:space="preserve"> </w:t>
      </w:r>
      <w:proofErr w:type="spellStart"/>
      <w:r w:rsidRPr="00B02939">
        <w:t>non</w:t>
      </w:r>
      <w:proofErr w:type="spellEnd"/>
      <w:r w:rsidRPr="00B02939">
        <w:t xml:space="preserve"> </w:t>
      </w:r>
      <w:proofErr w:type="spellStart"/>
      <w:r w:rsidRPr="00B02939">
        <w:t>fungible</w:t>
      </w:r>
      <w:proofErr w:type="spellEnd"/>
      <w:r w:rsidRPr="00B02939">
        <w:t xml:space="preserve"> </w:t>
      </w:r>
      <w:proofErr w:type="spellStart"/>
      <w:r w:rsidRPr="00B02939">
        <w:t>tokens</w:t>
      </w:r>
      <w:proofErr w:type="spellEnd"/>
      <w:r w:rsidRPr="00B02939">
        <w:t xml:space="preserve"> ili NFT) i kupca kada se NFT stavi na sekundarno tržište; napominje da bi stoga, u slučaju spora s izdavateljem, krajnji kupac bio lišen nadležnosti koja se potrošačima osigurava Uredbom Bruxelles I;</w:t>
      </w:r>
    </w:p>
    <w:p w:rsidR="00344936" w:rsidRPr="00B02939" w:rsidRDefault="00344936" w:rsidP="00344936">
      <w:pPr>
        <w:pStyle w:val="NormalHanging12a"/>
      </w:pPr>
      <w:r w:rsidRPr="00B02939">
        <w:t>16.</w:t>
      </w:r>
      <w:r w:rsidRPr="00B02939">
        <w:tab/>
        <w:t>poziva Komisiju da uzme u obzir te i druge potencijalno problematične situacije te da procijeni prikladnost postojećih odredbi međunarodnog privatnog prava koje su primjenjive u EU-u te da po potrebi predloži odgovarajuće izmjene kako bi se zajamčilo da građani i poduzeća ne moraju sustavno pokretati sporove na stranim sudovima ili u skladu sa stranim zakonima radi ostvarenja svojih prava i na taj način zajamčilo njihova prava na temelju zakonodavnog okvira EU-a, te da pritom uzme u obzir rizik od biranja najpovoljnije jurisdikcije, osobito od strane poduzeća izvan EU-a;</w:t>
      </w:r>
    </w:p>
    <w:p w:rsidR="00344936" w:rsidRPr="00B02939" w:rsidRDefault="00344936" w:rsidP="00344936">
      <w:pPr>
        <w:pStyle w:val="NormalHanging12a"/>
      </w:pPr>
      <w:r w:rsidRPr="00B02939">
        <w:rPr>
          <w:rStyle w:val="BoldItalic"/>
        </w:rPr>
        <w:t>Građansko pravo</w:t>
      </w:r>
    </w:p>
    <w:p w:rsidR="00344936" w:rsidRPr="00B02939" w:rsidRDefault="00344936" w:rsidP="00344936">
      <w:pPr>
        <w:pStyle w:val="NormalHanging12a"/>
      </w:pPr>
      <w:r w:rsidRPr="00B02939">
        <w:t>17.</w:t>
      </w:r>
      <w:r w:rsidRPr="00B02939">
        <w:tab/>
        <w:t>napominje da se očekuje da će se broj i gospodarska važnost komercijalnih transakcija u virtualnim svjetovima povećati tijekom sljedećeg desetljeća; u tom kontekstu naglašava da je potrebno osigurati da se pružatelji virtualne robe i usluga mogu identificirati i pozvati na odgovornost za svaku štetu prouzročenu njihovim proizvodima;</w:t>
      </w:r>
    </w:p>
    <w:p w:rsidR="00344936" w:rsidRPr="00B02939" w:rsidRDefault="00344936" w:rsidP="00344936">
      <w:pPr>
        <w:pStyle w:val="NormalHanging12a"/>
      </w:pPr>
      <w:r w:rsidRPr="00B02939">
        <w:lastRenderedPageBreak/>
        <w:t>18.</w:t>
      </w:r>
      <w:r w:rsidRPr="00B02939">
        <w:tab/>
        <w:t>ističe zabrinutost zbog tehnika oglašavanja koje se koriste pri prodaji takozvanih virtualnih nekretnina kao što je zgrada ili zemljište u virtualnom svijetu predstavljeno u obliku NFT-a jer bi korisnici mogli vjerovati da zapravo stječu prava vlasništva, dok zapravo dobivaju samo licenciju za upotrebu virtualnog „zemljišta”; naglašava da je važno osigurati transparentnost, jasnoću, pravednost i razumljivost primjenjivih uvjeta poslovanja, posebno zato što je dokazano da ih korisnici često ne čitaju jer je tekst primjenjivih općih uvjeta težak i tehničke prirode;</w:t>
      </w:r>
    </w:p>
    <w:p w:rsidR="00344936" w:rsidRPr="00B02939" w:rsidRDefault="00344936" w:rsidP="00344936">
      <w:pPr>
        <w:pStyle w:val="NormalHanging12a"/>
      </w:pPr>
      <w:r w:rsidRPr="00B02939">
        <w:t>19.</w:t>
      </w:r>
      <w:r w:rsidRPr="00B02939">
        <w:tab/>
        <w:t>podsjeća da bi se pravila o odgovornosti trebala u potpunosti primjenjivati na virtualne svjetove i naglašava važnost uspostave učinkovitih mjera za sprečavanje i rješavanje svih oblika štetnog ponašanja i provedbu propisa u skladu s temeljnim pravima u virtualnim svjetovima, među ostalim, prema potrebi i ne dovodeći u pitanje pravo na traženje sudske zaštite, uspostavljanje mehanizama izvješćivanja i rješavanja sporova;</w:t>
      </w:r>
    </w:p>
    <w:p w:rsidR="00344936" w:rsidRPr="00B02939" w:rsidRDefault="00344936" w:rsidP="00344936">
      <w:pPr>
        <w:pStyle w:val="NormalHanging12a"/>
      </w:pPr>
      <w:r w:rsidRPr="00B02939">
        <w:t>20.</w:t>
      </w:r>
      <w:r w:rsidRPr="00B02939">
        <w:tab/>
        <w:t xml:space="preserve">zabrinut je zbog toga što bi upotreba </w:t>
      </w:r>
      <w:proofErr w:type="spellStart"/>
      <w:r w:rsidRPr="00B02939">
        <w:t>avatara</w:t>
      </w:r>
      <w:proofErr w:type="spellEnd"/>
      <w:r w:rsidRPr="00B02939">
        <w:t xml:space="preserve"> i decentraliziranih sustava, kao što su oni koji se temelje na tehnologiji lanca blokova, mogla iznimno otežati pozivanje na odgovornost počinitelja štetnih radnji; smatra da je provedba učinkovitih sustava upravljanja identitetom ključna kako bi se omogućila njihova pravilna i pravovremena identifikacija i suzbili lažni identiteti, uzimajući u obzir i posebnosti povezane s upravljanjem decentraliziranim autonomnim organizacijama i kolektivnom odgovornošću; u tom pogledu pozdravlja namjeru Komisije da prouči dodanu vrijednost mogućeg pravnog okvira za decentralizirane autonomne organizacije;</w:t>
      </w:r>
    </w:p>
    <w:p w:rsidR="00344936" w:rsidRPr="00B02939" w:rsidRDefault="00344936" w:rsidP="00344936">
      <w:pPr>
        <w:pStyle w:val="NormalHanging12a"/>
      </w:pPr>
      <w:r w:rsidRPr="00B02939">
        <w:t>21.</w:t>
      </w:r>
      <w:r w:rsidRPr="00B02939">
        <w:tab/>
        <w:t xml:space="preserve">podsjeća da </w:t>
      </w:r>
      <w:proofErr w:type="spellStart"/>
      <w:r w:rsidRPr="00B02939">
        <w:t>avatari</w:t>
      </w:r>
      <w:proofErr w:type="spellEnd"/>
      <w:r w:rsidRPr="00B02939">
        <w:t xml:space="preserve"> nemaju pravnu osobnost pa je sva pitanja u pogledu njihove pravne i poslovne sposobnosti, prava, obveza i odgovornosti potrebno riješiti u odnosu na fizičke ili pravne osobe koje ih koriste; smatra da bi, s obzirom na to da se virtualni svjetovi razvijaju i postaju sve složeniji, trebalo razmotriti prikladnost dodjele posebnog pravnog statusa </w:t>
      </w:r>
      <w:proofErr w:type="spellStart"/>
      <w:r w:rsidRPr="00B02939">
        <w:t>avatarima</w:t>
      </w:r>
      <w:proofErr w:type="spellEnd"/>
      <w:r w:rsidRPr="00B02939">
        <w:t xml:space="preserve">; smatra da bi </w:t>
      </w:r>
      <w:proofErr w:type="spellStart"/>
      <w:r w:rsidRPr="00B02939">
        <w:t>avatar</w:t>
      </w:r>
      <w:proofErr w:type="spellEnd"/>
      <w:r w:rsidRPr="00B02939">
        <w:t xml:space="preserve"> ili osobu koju </w:t>
      </w:r>
      <w:proofErr w:type="spellStart"/>
      <w:r w:rsidRPr="00B02939">
        <w:t>avatar</w:t>
      </w:r>
      <w:proofErr w:type="spellEnd"/>
      <w:r w:rsidRPr="00B02939">
        <w:t xml:space="preserve"> predstavlja trebalo moći identificirati te da bi trebalo biti primjenjivo načelo poznavanja klijenta;</w:t>
      </w:r>
    </w:p>
    <w:p w:rsidR="00344936" w:rsidRPr="00B02939" w:rsidRDefault="00344936" w:rsidP="00344936">
      <w:pPr>
        <w:pStyle w:val="NormalHanging12a"/>
      </w:pPr>
      <w:r w:rsidRPr="00B02939">
        <w:rPr>
          <w:rStyle w:val="BoldItalic"/>
        </w:rPr>
        <w:t>Pravo intelektualnog vlasništva</w:t>
      </w:r>
    </w:p>
    <w:p w:rsidR="00344936" w:rsidRPr="00B02939" w:rsidRDefault="00344936" w:rsidP="00344936">
      <w:pPr>
        <w:pStyle w:val="NormalHanging12a"/>
      </w:pPr>
      <w:r w:rsidRPr="00B02939">
        <w:t>22.</w:t>
      </w:r>
      <w:r w:rsidRPr="00B02939">
        <w:tab/>
        <w:t>ističe da se zakonodavstvo EU-a o zaštiti prava intelektualnog i industrijskog vlasništva, uključujući autorska prava, žigove, patente, dizajne i poslovne tajne, u potpunosti primjenjuje na virtualne svjetove; međutim, naglašava da razvoj virtualnih svjetova predstavlja nove izazove u pogledu provedbe prava intelektualnog vlasništva, identifikacije prekršitelja te pitanja u vezi s kolizijskim pravilima o mjerodavnom pravu i nadležnosti;</w:t>
      </w:r>
    </w:p>
    <w:p w:rsidR="00344936" w:rsidRPr="00B02939" w:rsidRDefault="00344936" w:rsidP="00344936">
      <w:pPr>
        <w:pStyle w:val="NormalHanging12a"/>
      </w:pPr>
      <w:r w:rsidRPr="00B02939">
        <w:t>23.</w:t>
      </w:r>
      <w:r w:rsidRPr="00B02939">
        <w:tab/>
        <w:t xml:space="preserve">podsjeća da su upravitelji platformi, pružatelji usluga i korisnici u virtualnim svjetovima obvezni poštovati isključiva prava nositelja prava i njihovo pravo na pravičnu naknadu; ističe da je za upotrebu sadržaja zaštićenog pravima intelektualnog vlasništva, među ostalim u digitalnom obliku u elektroničkom mediju kao što je NFT, potrebno odobrenje licenciranjem ili ustupanjem, osim ako je obuhvaćen bilo kojom iznimkom ili ograničenjem zaštite prava intelektualnog vlasništva (primjerice u svrhu privatnog reproduciranja, obrazovanja, istraživanja, citiranja, recenzije, kao parodija ili </w:t>
      </w:r>
      <w:proofErr w:type="spellStart"/>
      <w:r w:rsidRPr="00B02939">
        <w:t>pastiš</w:t>
      </w:r>
      <w:proofErr w:type="spellEnd"/>
      <w:r w:rsidRPr="00B02939">
        <w:t>); u tom pogledu ponavlja da je važno da pružatelji osiguraju transparentnost u pogledu opsega licencija, uključujući teritorijalne licencije, kako bi se osiguralo da korisnici mogu odrediti koje su upotrebe sadržaja zaštićenog pravima intelektualnog vlasništva u virtualnim svjetovima obuhvaćene licencijama koje posjeduju te da stvaratelji i nositelji prava mogu primati točna i odgovarajuća izvješća o stvarnoj upotrebi zaštićenih djela;</w:t>
      </w:r>
    </w:p>
    <w:p w:rsidR="00344936" w:rsidRPr="00B02939" w:rsidRDefault="00344936" w:rsidP="00344936">
      <w:pPr>
        <w:pStyle w:val="NormalHanging12a"/>
      </w:pPr>
      <w:r w:rsidRPr="00B02939">
        <w:lastRenderedPageBreak/>
        <w:t>24.</w:t>
      </w:r>
      <w:r w:rsidRPr="00B02939">
        <w:tab/>
        <w:t>pozdravlja ažuriranje u dvanaestom izdanju „</w:t>
      </w:r>
      <w:proofErr w:type="spellStart"/>
      <w:r w:rsidRPr="00B02939">
        <w:t>Nicanske</w:t>
      </w:r>
      <w:proofErr w:type="spellEnd"/>
      <w:r w:rsidRPr="00B02939">
        <w:t xml:space="preserve"> klasifikacije”, kojim se omogućuje registracija žigova u razredima koji obuhvaćaju njihovu uporabu u virtualnim svjetovima; poziva na pomno praćenje konkretne primjene te klasifikacije; međutim, zabrinut je zbog upotrebe NFT-ova koji upućuju na žigove bez odobrenja njihovih vlasnika te poziva na provedbu učinkovitih mjera za rješavanje tih i drugih slučajeva kršenja; u tom pogledu pozdravlja prijedlog Komisije za razvoj paketa instrumenata za borbu protiv krivotvorenja;</w:t>
      </w:r>
    </w:p>
    <w:p w:rsidR="00344936" w:rsidRPr="00B02939" w:rsidRDefault="00344936" w:rsidP="00344936">
      <w:pPr>
        <w:pStyle w:val="NormalHanging12a"/>
      </w:pPr>
      <w:r w:rsidRPr="00B02939">
        <w:t>25.</w:t>
      </w:r>
      <w:r w:rsidRPr="00B02939">
        <w:tab/>
        <w:t>prima na znanje primjenjivost pravila o odgovornosti kako su utvrđena u Aktu o digitalnim uslugama i posebnog sustava utvrđenog u članku 17. Direktive o autorskim pravima kako bi se obuhvatilo učitavanje sadržaja koji su izradili korisnici; međutim, smatra da je potrebno dodatno pojasniti kako bi se postojeća pravila trebala primjenjivati na usluge dijeljenja sadržaja putem interneta kojima se sadržaj stavlja na raspolaganje u virtualnim svjetovima i kako bi ih trebalo provoditi;</w:t>
      </w:r>
    </w:p>
    <w:p w:rsidR="00344936" w:rsidRPr="00B02939" w:rsidRDefault="00344936" w:rsidP="00344936">
      <w:pPr>
        <w:pStyle w:val="NormalHanging12a"/>
      </w:pPr>
      <w:r w:rsidRPr="00B02939">
        <w:t>26.</w:t>
      </w:r>
      <w:r w:rsidRPr="00B02939">
        <w:tab/>
        <w:t xml:space="preserve">naglašava da NFT-ovi ne dodjeljuju nikakva prava intelektualnog vlasništva na digitalnoj imovini i ukazuju na potrebu za dodatnom jasnoćom i transparentnošću kako bi se izbjegle prijevare i često brkanje prava na sam </w:t>
      </w:r>
      <w:proofErr w:type="spellStart"/>
      <w:r w:rsidRPr="00B02939">
        <w:t>token</w:t>
      </w:r>
      <w:proofErr w:type="spellEnd"/>
      <w:r w:rsidRPr="00B02939">
        <w:t xml:space="preserve"> i prava na osnovni zaštićeni sadržaj;</w:t>
      </w:r>
    </w:p>
    <w:p w:rsidR="00344936" w:rsidRPr="00B02939" w:rsidRDefault="00344936" w:rsidP="00344936">
      <w:pPr>
        <w:pStyle w:val="NormalHanging12a"/>
      </w:pPr>
      <w:r w:rsidRPr="00B02939">
        <w:t>27.</w:t>
      </w:r>
      <w:r w:rsidRPr="00B02939">
        <w:tab/>
        <w:t xml:space="preserve">primjećuje da NFT-ovi i druge ponude na temelju lanca blokova omogućuju stalnu preprodaju imovine koja se temelji na djelima zaštićenim autorskim pravima u obliku internetskih transakcija i smatra da je potrebno osigurati da autori za svaku preprodaju takve imovine prime odgovarajuću i razmjernu naknadu; </w:t>
      </w:r>
    </w:p>
    <w:p w:rsidR="00344936" w:rsidRPr="00B02939" w:rsidRDefault="00344936" w:rsidP="00344936">
      <w:pPr>
        <w:pStyle w:val="NormalHanging12a"/>
      </w:pPr>
      <w:r w:rsidRPr="00B02939">
        <w:t>28.</w:t>
      </w:r>
      <w:r w:rsidRPr="00B02939">
        <w:tab/>
        <w:t>podsjeća da prema postojećim pravilima djela koje su autonomno stvorili sustavi umjetne inteligencije možda ne ispunjavaju uvjete za zaštitu autorskih prava jer je načelo izvornosti povezano s fizičkim osobama te se u okviru koncepta intelektualne tvorevine pretpostavlja da je autor osoba; usto podsjeća da postoji razlika između ljudskih djela stvorenih s pomoću umjetne inteligencije i autonomno stvorenih djela umjetne inteligencije; podsjeća da, iako se postojeći okvir intelektualnog vlasništva i dalje primjenjuje na djela stvorena s pomoću umjetne inteligencije, autonomno stvorena djela umjetne inteligencije stvaraju nove regulatorne izazove za zaštitu prava intelektualnog vlasništva, primjerice pitanja vlasništva, autorstva i izumiteljstva te odgovarajuće naknade i probleme u vezi s potencijalnom tržišnom koncentracijom; pozdravlja obvezu preuzetu u Akcijskom planu za intelektualno vlasništvo u skladu s kojom će Komisija pokrenuti rasprave s dionicima o načinu svladavanja izazova koje predstavljaju izumi i djela nastali uz pomoć umjetne inteligencije; poziva Komisiju da razmotri proširenje područja primjene tog dijaloga kako bi se u velikoj mjeri obuhvatila pitanja povezana s umjetnom inteligencijom, uključujući generativnu umjetnu inteligenciju;</w:t>
      </w:r>
    </w:p>
    <w:p w:rsidR="00344936" w:rsidRPr="00B02939" w:rsidRDefault="00344936" w:rsidP="00344936">
      <w:pPr>
        <w:pStyle w:val="NormalHanging12a"/>
        <w:rPr>
          <w:rStyle w:val="BoldItalic"/>
        </w:rPr>
      </w:pPr>
      <w:r w:rsidRPr="00B02939">
        <w:rPr>
          <w:rStyle w:val="BoldItalic"/>
        </w:rPr>
        <w:t>Pristupačnost i digitalna pismenost</w:t>
      </w:r>
    </w:p>
    <w:p w:rsidR="00344936" w:rsidRPr="00B02939" w:rsidRDefault="00344936" w:rsidP="00344936">
      <w:pPr>
        <w:pStyle w:val="NormalHanging12a"/>
      </w:pPr>
      <w:r w:rsidRPr="00B02939">
        <w:t>29.</w:t>
      </w:r>
      <w:r w:rsidRPr="00B02939">
        <w:tab/>
        <w:t xml:space="preserve">naglašava da virtualni svjetovi mogu pružiti mogućnosti za pružanje javnih usluga od općeg interesa na širu korist građana; naglašava, međutim, da se mora osigurati uključivanje i pristupačnost za sve korisnike u EU-u u pogledu troškova i upotrebe hardvera te razumijevanja softvera; napominje da je pristupačnost posebno važna kad je riječ o omogućavanju ranjivim skupinama stanovništva, primjerice starijim osobama, osobama s invaliditetom, djeci i osobama koje žive u ruralnim i udaljenim područjima da steknu osnovne digitalne vještine kako bi mogli sudjelovati u virtualnim svjetovima i </w:t>
      </w:r>
      <w:r w:rsidRPr="00B02939">
        <w:lastRenderedPageBreak/>
        <w:t>da bi se njome trebali uzeti u obzir aspekti kao što su zemljopisni položaj, spol, razina obrazovanja i socioekonomski položaj;</w:t>
      </w:r>
    </w:p>
    <w:p w:rsidR="00344936" w:rsidRPr="00B02939" w:rsidRDefault="00344936" w:rsidP="00344936">
      <w:pPr>
        <w:pStyle w:val="NormalHanging12a"/>
      </w:pPr>
      <w:r w:rsidRPr="00B02939">
        <w:t>30.</w:t>
      </w:r>
      <w:r w:rsidRPr="00B02939">
        <w:tab/>
        <w:t>u tom kontekstu dodaje da je digitalna pismenost iznimno važna za osiguravanje sigurnog i društveno korisnog uvođenja virtualnih svjetova te njihove informirane i odgovorne upotrebe, izbjegavanje ovisnosti korisnika, predrasuda i diskriminatornih praksi, za borbu protiv dezinformacija, manipulacije i zlostavljanja u virtualnom okruženju te za promicanje demokratske kontrole;</w:t>
      </w:r>
    </w:p>
    <w:p w:rsidR="00344936" w:rsidRPr="00B02939" w:rsidRDefault="00344936" w:rsidP="00344936">
      <w:pPr>
        <w:pStyle w:val="NormalHanging12a"/>
      </w:pPr>
      <w:r w:rsidRPr="00B02939">
        <w:t>31.</w:t>
      </w:r>
      <w:r w:rsidRPr="00B02939">
        <w:tab/>
        <w:t>ističe potrebu za uvođenjem djelotvornih obrazovnih mjera za osiguravanje opće pismenosti građana u pogledu virtualnih svjetova i usavršavanje stručnjaka, osobito učitelja, u različitim područjima te poticanje i promicanje razvoja europskih talenata i tehnologija uz privlačenje većeg broja ljudi, među ostalim više žena, u područje znanosti, tehnologije, inženjerstva i matematike;</w:t>
      </w:r>
    </w:p>
    <w:p w:rsidR="00344936" w:rsidRPr="00B02939" w:rsidRDefault="00344936" w:rsidP="00344936">
      <w:pPr>
        <w:pStyle w:val="NormalHanging12a"/>
      </w:pPr>
      <w:r w:rsidRPr="00B02939">
        <w:t>32.</w:t>
      </w:r>
      <w:r w:rsidRPr="00B02939">
        <w:tab/>
        <w:t>preporučuje da se u skladu s preporukama panela građana i građanki dodatno razvije „virtualni paket instrumenata” namijenjen široj javnosti, kako je navedeno u komunikaciji Komisije, kako bi se građanima pomoglo da bolje razumiju kako upravljati svojim virtualnim identitetima, virtualnim djelima, virtualnom imovinom i svojim podacima te kako bi se doprinijelo sveobuhvatnoj strategiji EU-a za virtualne svjetove koja je istodobno održiva i usmjerena na čovjeka;</w:t>
      </w:r>
    </w:p>
    <w:p w:rsidR="00344936" w:rsidRPr="00B02939" w:rsidRDefault="00344936" w:rsidP="00344936">
      <w:pPr>
        <w:pStyle w:val="NormalHanging12a"/>
      </w:pPr>
      <w:r w:rsidRPr="00B02939">
        <w:t>33.</w:t>
      </w:r>
      <w:r w:rsidRPr="00B02939">
        <w:tab/>
        <w:t>pozdravlja, kako je utvrdila i Komisija, pozitivni doprinos zajednice otvorenog koda u EU-u razvoju ključnih značajki virtualnih svjetova, primjerice u vezi s upotrebom tehnologije decentraliziranog vođenja evidencije transakcija i drugih tehnologija nužnih za autentičnost i sigurnost virtualnih predmeta i identiteta te upravljanje njima;</w:t>
      </w:r>
    </w:p>
    <w:p w:rsidR="00344936" w:rsidRPr="00B02939" w:rsidRDefault="00344936" w:rsidP="00344936">
      <w:pPr>
        <w:pStyle w:val="NormalHanging12a"/>
        <w:jc w:val="center"/>
      </w:pPr>
      <w:r w:rsidRPr="00B02939">
        <w:t>°</w:t>
      </w:r>
    </w:p>
    <w:p w:rsidR="00344936" w:rsidRPr="00B02939" w:rsidRDefault="00344936" w:rsidP="00344936">
      <w:pPr>
        <w:pStyle w:val="NormalHanging12a"/>
        <w:jc w:val="center"/>
      </w:pPr>
      <w:r w:rsidRPr="00B02939">
        <w:t>°</w:t>
      </w:r>
      <w:r w:rsidRPr="00B02939">
        <w:tab/>
        <w:t>°</w:t>
      </w:r>
    </w:p>
    <w:p w:rsidR="00344936" w:rsidRPr="00B02939" w:rsidRDefault="00050490" w:rsidP="00344936">
      <w:pPr>
        <w:pStyle w:val="NormalHanging12a"/>
      </w:pPr>
      <w:r>
        <w:t>34</w:t>
      </w:r>
      <w:bookmarkStart w:id="8" w:name="_GoBack"/>
      <w:bookmarkEnd w:id="8"/>
      <w:r w:rsidR="00344936" w:rsidRPr="00B02939">
        <w:t>.</w:t>
      </w:r>
      <w:r w:rsidR="00344936" w:rsidRPr="00B02939">
        <w:tab/>
        <w:t>nalaže svojoj predsjednici da ovu Rezoluciju proslijedi Vijeću i Komisiji.</w:t>
      </w:r>
    </w:p>
    <w:sectPr w:rsidR="00344936" w:rsidRPr="00B02939" w:rsidSect="008864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76F5" w:rsidRPr="00886420" w:rsidRDefault="00D776F5">
      <w:r w:rsidRPr="00886420">
        <w:separator/>
      </w:r>
    </w:p>
  </w:endnote>
  <w:endnote w:type="continuationSeparator" w:id="0">
    <w:p w:rsidR="00D776F5" w:rsidRPr="00886420" w:rsidRDefault="00D776F5">
      <w:r w:rsidRPr="0088642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642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642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642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76F5" w:rsidRPr="00886420" w:rsidRDefault="00D776F5">
      <w:r w:rsidRPr="00886420">
        <w:separator/>
      </w:r>
    </w:p>
  </w:footnote>
  <w:footnote w:type="continuationSeparator" w:id="0">
    <w:p w:rsidR="00D776F5" w:rsidRPr="00886420" w:rsidRDefault="00D776F5">
      <w:r w:rsidRPr="00886420">
        <w:continuationSeparator/>
      </w:r>
    </w:p>
  </w:footnote>
  <w:footnote w:id="1">
    <w:p w:rsidR="00344936" w:rsidRPr="00886420" w:rsidRDefault="00344936" w:rsidP="00886420">
      <w:pPr>
        <w:pStyle w:val="FootnoteText"/>
        <w:ind w:left="567" w:hanging="567"/>
        <w:rPr>
          <w:sz w:val="24"/>
          <w:lang w:val="hr-HR"/>
        </w:rPr>
      </w:pPr>
      <w:r w:rsidRPr="00886420">
        <w:rPr>
          <w:rStyle w:val="FootnoteReference"/>
          <w:sz w:val="24"/>
          <w:lang w:val="hr-HR"/>
        </w:rPr>
        <w:footnoteRef/>
      </w:r>
      <w:r w:rsidR="00886420" w:rsidRPr="00886420">
        <w:rPr>
          <w:sz w:val="24"/>
          <w:lang w:val="hr-HR"/>
        </w:rPr>
        <w:t xml:space="preserve"> </w:t>
      </w:r>
      <w:r w:rsidR="00886420" w:rsidRPr="00886420">
        <w:rPr>
          <w:sz w:val="24"/>
          <w:lang w:val="hr-HR"/>
        </w:rPr>
        <w:tab/>
      </w:r>
      <w:r w:rsidRPr="00C84D3F">
        <w:rPr>
          <w:sz w:val="24"/>
          <w:lang w:val="hr-HR"/>
        </w:rPr>
        <w:t>SL L 77, 27.3.1996., str. 20.</w:t>
      </w:r>
    </w:p>
  </w:footnote>
  <w:footnote w:id="2">
    <w:p w:rsidR="00344936" w:rsidRPr="00886420" w:rsidRDefault="00344936" w:rsidP="00886420">
      <w:pPr>
        <w:pStyle w:val="FootnoteText"/>
        <w:ind w:left="567" w:hanging="567"/>
        <w:rPr>
          <w:sz w:val="24"/>
          <w:lang w:val="hr-HR"/>
        </w:rPr>
      </w:pPr>
      <w:r w:rsidRPr="00886420">
        <w:rPr>
          <w:rStyle w:val="FootnoteReference"/>
          <w:sz w:val="24"/>
          <w:lang w:val="hr-HR"/>
        </w:rPr>
        <w:footnoteRef/>
      </w:r>
      <w:r w:rsidR="00886420" w:rsidRPr="00886420">
        <w:rPr>
          <w:sz w:val="24"/>
          <w:lang w:val="hr-HR"/>
        </w:rPr>
        <w:t xml:space="preserve"> </w:t>
      </w:r>
      <w:r w:rsidR="00886420" w:rsidRPr="00886420">
        <w:rPr>
          <w:sz w:val="24"/>
          <w:lang w:val="hr-HR"/>
        </w:rPr>
        <w:tab/>
      </w:r>
      <w:r w:rsidRPr="00C84D3F">
        <w:rPr>
          <w:sz w:val="24"/>
          <w:lang w:val="hr-HR"/>
        </w:rPr>
        <w:t>SL L 149, 11.6.2005., str. 22.</w:t>
      </w:r>
    </w:p>
  </w:footnote>
  <w:footnote w:id="3">
    <w:p w:rsidR="00344936" w:rsidRPr="00886420" w:rsidRDefault="00344936" w:rsidP="00886420">
      <w:pPr>
        <w:pStyle w:val="FootnoteText"/>
        <w:ind w:left="567" w:hanging="567"/>
        <w:rPr>
          <w:sz w:val="24"/>
          <w:lang w:val="hr-HR"/>
        </w:rPr>
      </w:pPr>
      <w:r w:rsidRPr="00886420">
        <w:rPr>
          <w:rStyle w:val="FootnoteReference"/>
          <w:sz w:val="24"/>
          <w:lang w:val="hr-HR"/>
        </w:rPr>
        <w:footnoteRef/>
      </w:r>
      <w:r w:rsidR="00886420" w:rsidRPr="00886420">
        <w:rPr>
          <w:sz w:val="24"/>
          <w:lang w:val="hr-HR"/>
        </w:rPr>
        <w:t xml:space="preserve"> </w:t>
      </w:r>
      <w:r w:rsidR="00886420" w:rsidRPr="00886420">
        <w:rPr>
          <w:sz w:val="24"/>
          <w:lang w:val="hr-HR"/>
        </w:rPr>
        <w:tab/>
      </w:r>
      <w:r w:rsidR="001F3CE7">
        <w:rPr>
          <w:sz w:val="24"/>
          <w:lang w:val="hr-HR"/>
        </w:rPr>
        <w:t>SL L 199, 31.7.</w:t>
      </w:r>
      <w:r w:rsidRPr="00C84D3F">
        <w:rPr>
          <w:sz w:val="24"/>
          <w:lang w:val="hr-HR"/>
        </w:rPr>
        <w:t>2007., str. 40.</w:t>
      </w:r>
    </w:p>
  </w:footnote>
  <w:footnote w:id="4">
    <w:p w:rsidR="00344936" w:rsidRPr="00886420" w:rsidRDefault="00344936" w:rsidP="00886420">
      <w:pPr>
        <w:pStyle w:val="FootnoteText"/>
        <w:ind w:left="567" w:hanging="567"/>
        <w:rPr>
          <w:sz w:val="24"/>
          <w:lang w:val="hr-HR"/>
        </w:rPr>
      </w:pPr>
      <w:r w:rsidRPr="00886420">
        <w:rPr>
          <w:rStyle w:val="FootnoteReference"/>
          <w:sz w:val="24"/>
          <w:lang w:val="hr-HR"/>
        </w:rPr>
        <w:footnoteRef/>
      </w:r>
      <w:r w:rsidR="00886420" w:rsidRPr="00886420">
        <w:rPr>
          <w:sz w:val="24"/>
          <w:lang w:val="hr-HR"/>
        </w:rPr>
        <w:t xml:space="preserve"> </w:t>
      </w:r>
      <w:r w:rsidR="00886420" w:rsidRPr="00886420">
        <w:rPr>
          <w:sz w:val="24"/>
          <w:lang w:val="hr-HR"/>
        </w:rPr>
        <w:tab/>
      </w:r>
      <w:r w:rsidR="001F3CE7">
        <w:rPr>
          <w:sz w:val="24"/>
          <w:lang w:val="hr-HR"/>
        </w:rPr>
        <w:t>SL L 177, 4.7.</w:t>
      </w:r>
      <w:r w:rsidRPr="00C84D3F">
        <w:rPr>
          <w:sz w:val="24"/>
          <w:lang w:val="hr-HR"/>
        </w:rPr>
        <w:t>2008., str. 6.</w:t>
      </w:r>
    </w:p>
  </w:footnote>
  <w:footnote w:id="5">
    <w:p w:rsidR="00344936" w:rsidRPr="00886420" w:rsidRDefault="00344936" w:rsidP="00886420">
      <w:pPr>
        <w:pStyle w:val="FootnoteText"/>
        <w:ind w:left="567" w:hanging="567"/>
        <w:rPr>
          <w:sz w:val="24"/>
          <w:lang w:val="hr-HR"/>
        </w:rPr>
      </w:pPr>
      <w:r w:rsidRPr="00886420">
        <w:rPr>
          <w:rStyle w:val="FootnoteReference"/>
          <w:sz w:val="24"/>
          <w:lang w:val="hr-HR"/>
        </w:rPr>
        <w:footnoteRef/>
      </w:r>
      <w:r w:rsidR="00886420" w:rsidRPr="00886420">
        <w:rPr>
          <w:sz w:val="24"/>
          <w:lang w:val="hr-HR"/>
        </w:rPr>
        <w:t xml:space="preserve"> </w:t>
      </w:r>
      <w:r w:rsidR="00886420" w:rsidRPr="00886420">
        <w:rPr>
          <w:sz w:val="24"/>
          <w:lang w:val="hr-HR"/>
        </w:rPr>
        <w:tab/>
      </w:r>
      <w:r w:rsidR="001F3CE7">
        <w:rPr>
          <w:sz w:val="24"/>
          <w:lang w:val="hr-HR"/>
        </w:rPr>
        <w:t>SL L 111, 5.5.</w:t>
      </w:r>
      <w:r w:rsidRPr="00C84D3F">
        <w:rPr>
          <w:sz w:val="24"/>
          <w:lang w:val="hr-HR"/>
        </w:rPr>
        <w:t>2009., str. 16.</w:t>
      </w:r>
    </w:p>
  </w:footnote>
  <w:footnote w:id="6">
    <w:p w:rsidR="00344936" w:rsidRPr="00886420" w:rsidRDefault="00344936" w:rsidP="00886420">
      <w:pPr>
        <w:pStyle w:val="FootnoteText"/>
        <w:ind w:left="567" w:hanging="567"/>
        <w:rPr>
          <w:sz w:val="24"/>
          <w:lang w:val="hr-HR"/>
        </w:rPr>
      </w:pPr>
      <w:r w:rsidRPr="00886420">
        <w:rPr>
          <w:rStyle w:val="FootnoteReference"/>
          <w:sz w:val="24"/>
          <w:lang w:val="hr-HR"/>
        </w:rPr>
        <w:footnoteRef/>
      </w:r>
      <w:r w:rsidR="00886420" w:rsidRPr="00886420">
        <w:rPr>
          <w:sz w:val="24"/>
          <w:lang w:val="hr-HR"/>
        </w:rPr>
        <w:t xml:space="preserve"> </w:t>
      </w:r>
      <w:r w:rsidR="00886420" w:rsidRPr="00886420">
        <w:rPr>
          <w:sz w:val="24"/>
          <w:lang w:val="hr-HR"/>
        </w:rPr>
        <w:tab/>
      </w:r>
      <w:r w:rsidR="001F3CE7">
        <w:rPr>
          <w:sz w:val="24"/>
          <w:lang w:val="hr-HR"/>
        </w:rPr>
        <w:t>SL L 351, 20.12.</w:t>
      </w:r>
      <w:r w:rsidRPr="00C84D3F">
        <w:rPr>
          <w:sz w:val="24"/>
          <w:lang w:val="hr-HR"/>
        </w:rPr>
        <w:t>2012., str. 1.</w:t>
      </w:r>
    </w:p>
  </w:footnote>
  <w:footnote w:id="7">
    <w:p w:rsidR="00344936" w:rsidRPr="00886420" w:rsidRDefault="00344936" w:rsidP="00886420">
      <w:pPr>
        <w:pStyle w:val="FootnoteText"/>
        <w:ind w:left="567" w:hanging="567"/>
        <w:rPr>
          <w:sz w:val="24"/>
          <w:lang w:val="hr-HR"/>
        </w:rPr>
      </w:pPr>
      <w:r w:rsidRPr="00886420">
        <w:rPr>
          <w:rStyle w:val="FootnoteReference"/>
          <w:sz w:val="24"/>
          <w:lang w:val="hr-HR"/>
        </w:rPr>
        <w:footnoteRef/>
      </w:r>
      <w:r w:rsidR="00886420" w:rsidRPr="00886420">
        <w:rPr>
          <w:sz w:val="24"/>
          <w:lang w:val="hr-HR"/>
        </w:rPr>
        <w:t xml:space="preserve"> </w:t>
      </w:r>
      <w:r w:rsidR="00886420" w:rsidRPr="00886420">
        <w:rPr>
          <w:sz w:val="24"/>
          <w:lang w:val="hr-HR"/>
        </w:rPr>
        <w:tab/>
      </w:r>
      <w:r w:rsidR="001F3CE7">
        <w:rPr>
          <w:sz w:val="24"/>
          <w:lang w:val="hr-HR"/>
        </w:rPr>
        <w:t>SL L 257, 28.8.</w:t>
      </w:r>
      <w:r w:rsidRPr="00C84D3F">
        <w:rPr>
          <w:sz w:val="24"/>
          <w:lang w:val="hr-HR"/>
        </w:rPr>
        <w:t>2014., str. 73.</w:t>
      </w:r>
    </w:p>
  </w:footnote>
  <w:footnote w:id="8">
    <w:p w:rsidR="00344936" w:rsidRPr="00886420" w:rsidRDefault="00344936" w:rsidP="00886420">
      <w:pPr>
        <w:pStyle w:val="FootnoteText"/>
        <w:ind w:left="567" w:hanging="567"/>
        <w:rPr>
          <w:sz w:val="24"/>
          <w:lang w:val="hr-HR"/>
        </w:rPr>
      </w:pPr>
      <w:r w:rsidRPr="00886420">
        <w:rPr>
          <w:rStyle w:val="FootnoteReference"/>
          <w:sz w:val="24"/>
          <w:lang w:val="hr-HR"/>
        </w:rPr>
        <w:footnoteRef/>
      </w:r>
      <w:r w:rsidR="00886420" w:rsidRPr="00886420">
        <w:rPr>
          <w:sz w:val="24"/>
          <w:lang w:val="hr-HR"/>
        </w:rPr>
        <w:t xml:space="preserve"> </w:t>
      </w:r>
      <w:r w:rsidR="00886420" w:rsidRPr="00886420">
        <w:rPr>
          <w:sz w:val="24"/>
          <w:lang w:val="hr-HR"/>
        </w:rPr>
        <w:tab/>
      </w:r>
      <w:r w:rsidRPr="00C84D3F">
        <w:rPr>
          <w:sz w:val="24"/>
          <w:lang w:val="hr-HR"/>
        </w:rPr>
        <w:t xml:space="preserve">SL L </w:t>
      </w:r>
      <w:r w:rsidR="001F3CE7">
        <w:rPr>
          <w:sz w:val="24"/>
          <w:lang w:val="hr-HR"/>
        </w:rPr>
        <w:t>157, 15.6.</w:t>
      </w:r>
      <w:r w:rsidRPr="00C84D3F">
        <w:rPr>
          <w:sz w:val="24"/>
          <w:lang w:val="hr-HR"/>
        </w:rPr>
        <w:t>2016., str. 1.</w:t>
      </w:r>
    </w:p>
  </w:footnote>
  <w:footnote w:id="9">
    <w:p w:rsidR="00344936" w:rsidRPr="00886420" w:rsidRDefault="00344936" w:rsidP="00886420">
      <w:pPr>
        <w:pStyle w:val="FootnoteText"/>
        <w:ind w:left="567" w:hanging="567"/>
        <w:rPr>
          <w:sz w:val="24"/>
          <w:lang w:val="hr-HR"/>
        </w:rPr>
      </w:pPr>
      <w:r w:rsidRPr="00886420">
        <w:rPr>
          <w:rStyle w:val="FootnoteReference"/>
          <w:sz w:val="24"/>
          <w:lang w:val="hr-HR"/>
        </w:rPr>
        <w:footnoteRef/>
      </w:r>
      <w:r w:rsidR="00886420" w:rsidRPr="00886420">
        <w:rPr>
          <w:sz w:val="24"/>
          <w:lang w:val="hr-HR"/>
        </w:rPr>
        <w:t xml:space="preserve"> </w:t>
      </w:r>
      <w:r w:rsidR="00886420" w:rsidRPr="00886420">
        <w:rPr>
          <w:sz w:val="24"/>
          <w:lang w:val="hr-HR"/>
        </w:rPr>
        <w:tab/>
      </w:r>
      <w:r w:rsidR="001F3CE7">
        <w:rPr>
          <w:sz w:val="24"/>
          <w:lang w:val="hr-HR"/>
        </w:rPr>
        <w:t>SL L 119, 4.5.</w:t>
      </w:r>
      <w:r w:rsidRPr="00C84D3F">
        <w:rPr>
          <w:sz w:val="24"/>
          <w:lang w:val="hr-HR"/>
        </w:rPr>
        <w:t>2016., str. 1.</w:t>
      </w:r>
    </w:p>
  </w:footnote>
  <w:footnote w:id="10">
    <w:p w:rsidR="00344936" w:rsidRPr="00886420" w:rsidRDefault="00344936" w:rsidP="00886420">
      <w:pPr>
        <w:pStyle w:val="FootnoteText"/>
        <w:ind w:left="567" w:hanging="567"/>
        <w:rPr>
          <w:sz w:val="24"/>
          <w:lang w:val="hr-HR"/>
        </w:rPr>
      </w:pPr>
      <w:r w:rsidRPr="00886420">
        <w:rPr>
          <w:rStyle w:val="FootnoteReference"/>
          <w:sz w:val="24"/>
          <w:lang w:val="hr-HR"/>
        </w:rPr>
        <w:footnoteRef/>
      </w:r>
      <w:r w:rsidR="00886420" w:rsidRPr="00886420">
        <w:rPr>
          <w:sz w:val="24"/>
          <w:lang w:val="hr-HR"/>
        </w:rPr>
        <w:t xml:space="preserve"> </w:t>
      </w:r>
      <w:r w:rsidR="00886420" w:rsidRPr="00886420">
        <w:rPr>
          <w:sz w:val="24"/>
          <w:lang w:val="hr-HR"/>
        </w:rPr>
        <w:tab/>
      </w:r>
      <w:r w:rsidR="001F3CE7">
        <w:rPr>
          <w:sz w:val="24"/>
          <w:lang w:val="hr-HR"/>
        </w:rPr>
        <w:t>SL L 119, 4.5.</w:t>
      </w:r>
      <w:r w:rsidRPr="00C84D3F">
        <w:rPr>
          <w:sz w:val="24"/>
          <w:lang w:val="hr-HR"/>
        </w:rPr>
        <w:t>2016., str. 89.</w:t>
      </w:r>
    </w:p>
  </w:footnote>
  <w:footnote w:id="11">
    <w:p w:rsidR="00344936" w:rsidRPr="00886420" w:rsidRDefault="00344936" w:rsidP="00886420">
      <w:pPr>
        <w:pStyle w:val="FootnoteText"/>
        <w:ind w:left="567" w:hanging="567"/>
        <w:rPr>
          <w:sz w:val="24"/>
          <w:lang w:val="hr-HR"/>
        </w:rPr>
      </w:pPr>
      <w:r w:rsidRPr="00886420">
        <w:rPr>
          <w:rStyle w:val="FootnoteReference"/>
          <w:sz w:val="24"/>
          <w:lang w:val="hr-HR"/>
        </w:rPr>
        <w:footnoteRef/>
      </w:r>
      <w:r w:rsidR="00886420" w:rsidRPr="00886420">
        <w:rPr>
          <w:sz w:val="24"/>
          <w:lang w:val="hr-HR"/>
        </w:rPr>
        <w:t xml:space="preserve"> </w:t>
      </w:r>
      <w:r w:rsidR="00886420" w:rsidRPr="00886420">
        <w:rPr>
          <w:sz w:val="24"/>
          <w:lang w:val="hr-HR"/>
        </w:rPr>
        <w:tab/>
      </w:r>
      <w:r w:rsidR="001F3CE7">
        <w:rPr>
          <w:sz w:val="24"/>
          <w:lang w:val="hr-HR"/>
        </w:rPr>
        <w:t>SL L 327, 2.12.</w:t>
      </w:r>
      <w:r w:rsidRPr="00C84D3F">
        <w:rPr>
          <w:sz w:val="24"/>
          <w:lang w:val="hr-HR"/>
        </w:rPr>
        <w:t>2016., str. 1.</w:t>
      </w:r>
    </w:p>
  </w:footnote>
  <w:footnote w:id="12">
    <w:p w:rsidR="00344936" w:rsidRPr="00886420" w:rsidRDefault="00344936" w:rsidP="00886420">
      <w:pPr>
        <w:pStyle w:val="FootnoteText"/>
        <w:ind w:left="567" w:hanging="567"/>
        <w:rPr>
          <w:sz w:val="24"/>
          <w:lang w:val="hr-HR"/>
        </w:rPr>
      </w:pPr>
      <w:r w:rsidRPr="00886420">
        <w:rPr>
          <w:rStyle w:val="FootnoteReference"/>
          <w:sz w:val="24"/>
          <w:lang w:val="hr-HR"/>
        </w:rPr>
        <w:footnoteRef/>
      </w:r>
      <w:r w:rsidR="00886420" w:rsidRPr="00886420">
        <w:rPr>
          <w:sz w:val="24"/>
          <w:lang w:val="hr-HR"/>
        </w:rPr>
        <w:t xml:space="preserve"> </w:t>
      </w:r>
      <w:r w:rsidR="00886420" w:rsidRPr="00886420">
        <w:rPr>
          <w:sz w:val="24"/>
          <w:lang w:val="hr-HR"/>
        </w:rPr>
        <w:tab/>
      </w:r>
      <w:r w:rsidR="001F3CE7">
        <w:rPr>
          <w:sz w:val="24"/>
          <w:lang w:val="hr-HR"/>
        </w:rPr>
        <w:t>SL L 154, 16.6.</w:t>
      </w:r>
      <w:r w:rsidRPr="00C84D3F">
        <w:rPr>
          <w:sz w:val="24"/>
          <w:lang w:val="hr-HR"/>
        </w:rPr>
        <w:t>2017., str. 1.</w:t>
      </w:r>
    </w:p>
  </w:footnote>
  <w:footnote w:id="13">
    <w:p w:rsidR="00344936" w:rsidRPr="00886420" w:rsidRDefault="00344936" w:rsidP="00886420">
      <w:pPr>
        <w:pStyle w:val="FootnoteText"/>
        <w:ind w:left="567" w:hanging="567"/>
        <w:rPr>
          <w:sz w:val="24"/>
          <w:lang w:val="hr-HR"/>
        </w:rPr>
      </w:pPr>
      <w:r w:rsidRPr="00886420">
        <w:rPr>
          <w:rStyle w:val="FootnoteReference"/>
          <w:sz w:val="24"/>
          <w:lang w:val="hr-HR"/>
        </w:rPr>
        <w:footnoteRef/>
      </w:r>
      <w:r w:rsidR="00886420" w:rsidRPr="00886420">
        <w:rPr>
          <w:sz w:val="24"/>
          <w:lang w:val="hr-HR"/>
        </w:rPr>
        <w:t xml:space="preserve"> </w:t>
      </w:r>
      <w:r w:rsidR="00886420" w:rsidRPr="00886420">
        <w:rPr>
          <w:sz w:val="24"/>
          <w:lang w:val="hr-HR"/>
        </w:rPr>
        <w:tab/>
      </w:r>
      <w:r w:rsidR="001F3CE7">
        <w:rPr>
          <w:sz w:val="24"/>
          <w:lang w:val="hr-HR"/>
        </w:rPr>
        <w:t>SL L 295, 21.11.</w:t>
      </w:r>
      <w:r w:rsidRPr="00C84D3F">
        <w:rPr>
          <w:sz w:val="24"/>
          <w:lang w:val="hr-HR"/>
        </w:rPr>
        <w:t>2018., str. 39.</w:t>
      </w:r>
    </w:p>
  </w:footnote>
  <w:footnote w:id="14">
    <w:p w:rsidR="00344936" w:rsidRPr="00886420" w:rsidRDefault="00344936" w:rsidP="00886420">
      <w:pPr>
        <w:pStyle w:val="FootnoteText"/>
        <w:ind w:left="567" w:hanging="567"/>
        <w:rPr>
          <w:sz w:val="24"/>
          <w:lang w:val="hr-HR"/>
        </w:rPr>
      </w:pPr>
      <w:r w:rsidRPr="00886420">
        <w:rPr>
          <w:rStyle w:val="FootnoteReference"/>
          <w:sz w:val="24"/>
          <w:lang w:val="hr-HR"/>
        </w:rPr>
        <w:footnoteRef/>
      </w:r>
      <w:r w:rsidR="00886420" w:rsidRPr="00886420">
        <w:rPr>
          <w:sz w:val="24"/>
          <w:lang w:val="hr-HR"/>
        </w:rPr>
        <w:t xml:space="preserve"> </w:t>
      </w:r>
      <w:r w:rsidR="00886420" w:rsidRPr="00886420">
        <w:rPr>
          <w:sz w:val="24"/>
          <w:lang w:val="hr-HR"/>
        </w:rPr>
        <w:tab/>
      </w:r>
      <w:r w:rsidR="001F3CE7">
        <w:rPr>
          <w:sz w:val="24"/>
          <w:lang w:val="hr-HR"/>
        </w:rPr>
        <w:t>SL L 303, 28.11.</w:t>
      </w:r>
      <w:r w:rsidRPr="00C84D3F">
        <w:rPr>
          <w:sz w:val="24"/>
          <w:lang w:val="hr-HR"/>
        </w:rPr>
        <w:t>2018., str. 59.</w:t>
      </w:r>
    </w:p>
  </w:footnote>
  <w:footnote w:id="15">
    <w:p w:rsidR="00344936" w:rsidRPr="00886420" w:rsidRDefault="00344936" w:rsidP="00886420">
      <w:pPr>
        <w:pStyle w:val="FootnoteText"/>
        <w:ind w:left="567" w:hanging="567"/>
        <w:rPr>
          <w:sz w:val="24"/>
          <w:lang w:val="hr-HR"/>
        </w:rPr>
      </w:pPr>
      <w:r w:rsidRPr="00886420">
        <w:rPr>
          <w:rStyle w:val="FootnoteReference"/>
          <w:sz w:val="24"/>
          <w:lang w:val="hr-HR"/>
        </w:rPr>
        <w:footnoteRef/>
      </w:r>
      <w:r w:rsidR="00886420" w:rsidRPr="00886420">
        <w:rPr>
          <w:sz w:val="24"/>
          <w:lang w:val="hr-HR"/>
        </w:rPr>
        <w:t xml:space="preserve"> </w:t>
      </w:r>
      <w:r w:rsidR="00886420" w:rsidRPr="00886420">
        <w:rPr>
          <w:sz w:val="24"/>
          <w:lang w:val="hr-HR"/>
        </w:rPr>
        <w:tab/>
      </w:r>
      <w:r w:rsidR="001F3CE7">
        <w:rPr>
          <w:sz w:val="24"/>
          <w:lang w:val="hr-HR"/>
        </w:rPr>
        <w:t>SL L 130, 17.5.</w:t>
      </w:r>
      <w:r w:rsidRPr="00C84D3F">
        <w:rPr>
          <w:sz w:val="24"/>
          <w:lang w:val="hr-HR"/>
        </w:rPr>
        <w:t>2019., str. 92.</w:t>
      </w:r>
    </w:p>
  </w:footnote>
  <w:footnote w:id="16">
    <w:p w:rsidR="00344936" w:rsidRPr="00886420" w:rsidRDefault="00344936" w:rsidP="00886420">
      <w:pPr>
        <w:pStyle w:val="FootnoteText"/>
        <w:ind w:left="567" w:hanging="567"/>
        <w:rPr>
          <w:sz w:val="24"/>
          <w:lang w:val="hr-HR"/>
        </w:rPr>
      </w:pPr>
      <w:r w:rsidRPr="00886420">
        <w:rPr>
          <w:rStyle w:val="FootnoteReference"/>
          <w:sz w:val="24"/>
          <w:lang w:val="hr-HR"/>
        </w:rPr>
        <w:footnoteRef/>
      </w:r>
      <w:r w:rsidR="00886420" w:rsidRPr="00886420">
        <w:rPr>
          <w:sz w:val="24"/>
          <w:lang w:val="hr-HR"/>
        </w:rPr>
        <w:t xml:space="preserve"> </w:t>
      </w:r>
      <w:r w:rsidR="00886420" w:rsidRPr="00886420">
        <w:rPr>
          <w:sz w:val="24"/>
          <w:lang w:val="hr-HR"/>
        </w:rPr>
        <w:tab/>
      </w:r>
      <w:r w:rsidR="001F3CE7">
        <w:rPr>
          <w:sz w:val="24"/>
          <w:lang w:val="hr-HR"/>
        </w:rPr>
        <w:t>SL L 151, 7.6.</w:t>
      </w:r>
      <w:r w:rsidRPr="00C84D3F">
        <w:rPr>
          <w:sz w:val="24"/>
          <w:lang w:val="hr-HR"/>
        </w:rPr>
        <w:t>2019., str. 70.</w:t>
      </w:r>
    </w:p>
  </w:footnote>
  <w:footnote w:id="17">
    <w:p w:rsidR="00344936" w:rsidRPr="00886420" w:rsidRDefault="00344936" w:rsidP="00886420">
      <w:pPr>
        <w:pStyle w:val="FootnoteText"/>
        <w:ind w:left="567" w:hanging="567"/>
        <w:rPr>
          <w:sz w:val="24"/>
          <w:lang w:val="hr-HR"/>
        </w:rPr>
      </w:pPr>
      <w:r w:rsidRPr="00886420">
        <w:rPr>
          <w:rStyle w:val="FootnoteReference"/>
          <w:sz w:val="24"/>
          <w:lang w:val="hr-HR"/>
        </w:rPr>
        <w:footnoteRef/>
      </w:r>
      <w:r w:rsidR="00886420" w:rsidRPr="00886420">
        <w:rPr>
          <w:sz w:val="24"/>
          <w:lang w:val="hr-HR"/>
        </w:rPr>
        <w:t xml:space="preserve"> </w:t>
      </w:r>
      <w:r w:rsidR="00886420" w:rsidRPr="00886420">
        <w:rPr>
          <w:sz w:val="24"/>
          <w:lang w:val="hr-HR"/>
        </w:rPr>
        <w:tab/>
      </w:r>
      <w:r w:rsidR="001F3CE7">
        <w:rPr>
          <w:sz w:val="24"/>
          <w:lang w:val="hr-HR"/>
        </w:rPr>
        <w:t>SL L 172, 26.6.</w:t>
      </w:r>
      <w:r w:rsidRPr="00C84D3F">
        <w:rPr>
          <w:sz w:val="24"/>
          <w:lang w:val="hr-HR"/>
        </w:rPr>
        <w:t>2019., str. 56.</w:t>
      </w:r>
    </w:p>
  </w:footnote>
  <w:footnote w:id="18">
    <w:p w:rsidR="00344936" w:rsidRPr="00886420" w:rsidRDefault="00344936" w:rsidP="00886420">
      <w:pPr>
        <w:pStyle w:val="FootnoteText"/>
        <w:ind w:left="567" w:hanging="567"/>
        <w:rPr>
          <w:sz w:val="24"/>
          <w:lang w:val="hr-HR"/>
        </w:rPr>
      </w:pPr>
      <w:r w:rsidRPr="00886420">
        <w:rPr>
          <w:rStyle w:val="FootnoteReference"/>
          <w:sz w:val="24"/>
          <w:lang w:val="hr-HR"/>
        </w:rPr>
        <w:footnoteRef/>
      </w:r>
      <w:r w:rsidR="00886420" w:rsidRPr="00886420">
        <w:rPr>
          <w:sz w:val="24"/>
          <w:lang w:val="hr-HR"/>
        </w:rPr>
        <w:t xml:space="preserve"> </w:t>
      </w:r>
      <w:r w:rsidR="00886420" w:rsidRPr="00886420">
        <w:rPr>
          <w:sz w:val="24"/>
          <w:lang w:val="hr-HR"/>
        </w:rPr>
        <w:tab/>
      </w:r>
      <w:r w:rsidR="001F3CE7">
        <w:rPr>
          <w:sz w:val="24"/>
          <w:lang w:val="hr-HR"/>
        </w:rPr>
        <w:t>SL L 186, 11.7.</w:t>
      </w:r>
      <w:r w:rsidRPr="00C84D3F">
        <w:rPr>
          <w:sz w:val="24"/>
          <w:lang w:val="hr-HR"/>
        </w:rPr>
        <w:t>2019., str. 57.</w:t>
      </w:r>
    </w:p>
  </w:footnote>
  <w:footnote w:id="19">
    <w:p w:rsidR="00344936" w:rsidRPr="00886420" w:rsidRDefault="00344936" w:rsidP="00886420">
      <w:pPr>
        <w:pStyle w:val="FootnoteText"/>
        <w:ind w:left="567" w:hanging="567"/>
        <w:rPr>
          <w:sz w:val="24"/>
          <w:lang w:val="hr-HR"/>
        </w:rPr>
      </w:pPr>
      <w:r w:rsidRPr="00886420">
        <w:rPr>
          <w:rStyle w:val="FootnoteReference"/>
          <w:sz w:val="24"/>
          <w:lang w:val="hr-HR"/>
        </w:rPr>
        <w:footnoteRef/>
      </w:r>
      <w:r w:rsidR="00886420" w:rsidRPr="00886420">
        <w:rPr>
          <w:sz w:val="24"/>
          <w:lang w:val="hr-HR"/>
        </w:rPr>
        <w:t xml:space="preserve"> </w:t>
      </w:r>
      <w:r w:rsidR="00886420" w:rsidRPr="00886420">
        <w:rPr>
          <w:sz w:val="24"/>
          <w:lang w:val="hr-HR"/>
        </w:rPr>
        <w:tab/>
      </w:r>
      <w:r w:rsidR="001F3CE7">
        <w:rPr>
          <w:sz w:val="24"/>
          <w:lang w:val="hr-HR"/>
        </w:rPr>
        <w:t>SL L 152, 3.6.</w:t>
      </w:r>
      <w:r w:rsidRPr="00C84D3F">
        <w:rPr>
          <w:sz w:val="24"/>
          <w:lang w:val="hr-HR"/>
        </w:rPr>
        <w:t>2022., str. 1.</w:t>
      </w:r>
    </w:p>
  </w:footnote>
  <w:footnote w:id="20">
    <w:p w:rsidR="00344936" w:rsidRPr="00886420" w:rsidRDefault="00344936" w:rsidP="00886420">
      <w:pPr>
        <w:pStyle w:val="FootnoteText"/>
        <w:ind w:left="567" w:hanging="567"/>
        <w:rPr>
          <w:sz w:val="24"/>
          <w:lang w:val="hr-HR"/>
        </w:rPr>
      </w:pPr>
      <w:r w:rsidRPr="00886420">
        <w:rPr>
          <w:rStyle w:val="FootnoteReference"/>
          <w:sz w:val="24"/>
          <w:lang w:val="hr-HR"/>
        </w:rPr>
        <w:footnoteRef/>
      </w:r>
      <w:r w:rsidR="00886420" w:rsidRPr="00886420">
        <w:rPr>
          <w:sz w:val="24"/>
          <w:lang w:val="hr-HR"/>
        </w:rPr>
        <w:t xml:space="preserve"> </w:t>
      </w:r>
      <w:r w:rsidR="00886420" w:rsidRPr="00886420">
        <w:rPr>
          <w:sz w:val="24"/>
          <w:lang w:val="hr-HR"/>
        </w:rPr>
        <w:tab/>
      </w:r>
      <w:r w:rsidR="001F3CE7">
        <w:rPr>
          <w:sz w:val="24"/>
          <w:lang w:val="hr-HR"/>
        </w:rPr>
        <w:t>SL L 265, 12.10.</w:t>
      </w:r>
      <w:r w:rsidRPr="00C84D3F">
        <w:rPr>
          <w:sz w:val="24"/>
          <w:lang w:val="hr-HR"/>
        </w:rPr>
        <w:t>2022., str. 1.</w:t>
      </w:r>
    </w:p>
  </w:footnote>
  <w:footnote w:id="21">
    <w:p w:rsidR="00344936" w:rsidRPr="00886420" w:rsidRDefault="00344936" w:rsidP="00886420">
      <w:pPr>
        <w:pStyle w:val="FootnoteText"/>
        <w:ind w:left="567" w:hanging="567"/>
        <w:rPr>
          <w:sz w:val="24"/>
          <w:lang w:val="hr-HR"/>
        </w:rPr>
      </w:pPr>
      <w:r w:rsidRPr="00886420">
        <w:rPr>
          <w:rStyle w:val="FootnoteReference"/>
          <w:sz w:val="24"/>
          <w:lang w:val="hr-HR"/>
        </w:rPr>
        <w:footnoteRef/>
      </w:r>
      <w:r w:rsidR="00886420" w:rsidRPr="00886420">
        <w:rPr>
          <w:sz w:val="24"/>
          <w:lang w:val="hr-HR"/>
        </w:rPr>
        <w:t xml:space="preserve"> </w:t>
      </w:r>
      <w:r w:rsidR="00886420" w:rsidRPr="00886420">
        <w:rPr>
          <w:sz w:val="24"/>
          <w:lang w:val="hr-HR"/>
        </w:rPr>
        <w:tab/>
      </w:r>
      <w:r w:rsidR="001F3CE7">
        <w:rPr>
          <w:sz w:val="24"/>
          <w:lang w:val="hr-HR"/>
        </w:rPr>
        <w:t>SL L 277, 27.10.</w:t>
      </w:r>
      <w:r w:rsidRPr="00C84D3F">
        <w:rPr>
          <w:sz w:val="24"/>
          <w:lang w:val="hr-HR"/>
        </w:rPr>
        <w:t>2022., str. 1.</w:t>
      </w:r>
    </w:p>
  </w:footnote>
  <w:footnote w:id="22">
    <w:p w:rsidR="00344936" w:rsidRPr="00886420" w:rsidRDefault="00344936" w:rsidP="00886420">
      <w:pPr>
        <w:pStyle w:val="FootnoteText"/>
        <w:ind w:left="567" w:hanging="567"/>
        <w:rPr>
          <w:sz w:val="24"/>
          <w:lang w:val="hr-HR"/>
        </w:rPr>
      </w:pPr>
      <w:r w:rsidRPr="00886420">
        <w:rPr>
          <w:rStyle w:val="FootnoteReference"/>
          <w:sz w:val="24"/>
          <w:lang w:val="hr-HR"/>
        </w:rPr>
        <w:footnoteRef/>
      </w:r>
      <w:r w:rsidR="00886420" w:rsidRPr="00886420">
        <w:rPr>
          <w:sz w:val="24"/>
          <w:lang w:val="hr-HR"/>
        </w:rPr>
        <w:t xml:space="preserve"> </w:t>
      </w:r>
      <w:r w:rsidR="00886420" w:rsidRPr="00886420">
        <w:rPr>
          <w:sz w:val="24"/>
          <w:lang w:val="hr-HR"/>
        </w:rPr>
        <w:tab/>
      </w:r>
      <w:r w:rsidR="001F3CE7">
        <w:rPr>
          <w:sz w:val="24"/>
          <w:lang w:val="hr-HR"/>
        </w:rPr>
        <w:t>SL L 135, 23.5.</w:t>
      </w:r>
      <w:r w:rsidRPr="00C84D3F">
        <w:rPr>
          <w:sz w:val="24"/>
          <w:lang w:val="hr-HR"/>
        </w:rPr>
        <w:t>2023., str. 1.</w:t>
      </w:r>
    </w:p>
  </w:footnote>
  <w:footnote w:id="23">
    <w:p w:rsidR="00344936" w:rsidRPr="00886420" w:rsidRDefault="00344936" w:rsidP="00886420">
      <w:pPr>
        <w:pStyle w:val="FootnoteText"/>
        <w:ind w:left="567" w:hanging="567"/>
        <w:rPr>
          <w:sz w:val="24"/>
          <w:lang w:val="hr-HR"/>
        </w:rPr>
      </w:pPr>
      <w:r w:rsidRPr="00886420">
        <w:rPr>
          <w:rStyle w:val="FootnoteReference"/>
          <w:sz w:val="24"/>
          <w:lang w:val="hr-HR"/>
        </w:rPr>
        <w:footnoteRef/>
      </w:r>
      <w:r w:rsidR="00886420" w:rsidRPr="00886420">
        <w:rPr>
          <w:sz w:val="24"/>
          <w:lang w:val="hr-HR"/>
        </w:rPr>
        <w:t xml:space="preserve"> </w:t>
      </w:r>
      <w:r w:rsidR="00886420" w:rsidRPr="00886420">
        <w:rPr>
          <w:sz w:val="24"/>
          <w:lang w:val="hr-HR"/>
        </w:rPr>
        <w:tab/>
      </w:r>
      <w:r w:rsidR="001F3CE7">
        <w:rPr>
          <w:sz w:val="24"/>
          <w:lang w:val="hr-HR"/>
        </w:rPr>
        <w:t>SL L 150, 9.6.</w:t>
      </w:r>
      <w:r w:rsidRPr="00C84D3F">
        <w:rPr>
          <w:sz w:val="24"/>
          <w:lang w:val="hr-HR"/>
        </w:rPr>
        <w:t>2023., str. 40.</w:t>
      </w:r>
    </w:p>
  </w:footnote>
  <w:footnote w:id="24">
    <w:p w:rsidR="00344936" w:rsidRPr="00886420" w:rsidRDefault="00344936" w:rsidP="00886420">
      <w:pPr>
        <w:pStyle w:val="FootnoteText"/>
        <w:ind w:left="567" w:hanging="567"/>
        <w:rPr>
          <w:sz w:val="24"/>
          <w:lang w:val="hr-HR"/>
        </w:rPr>
      </w:pPr>
      <w:r w:rsidRPr="00886420">
        <w:rPr>
          <w:rStyle w:val="FootnoteReference"/>
          <w:sz w:val="24"/>
          <w:lang w:val="hr-HR"/>
        </w:rPr>
        <w:footnoteRef/>
      </w:r>
      <w:r w:rsidR="00886420" w:rsidRPr="00886420">
        <w:rPr>
          <w:sz w:val="24"/>
          <w:lang w:val="hr-HR"/>
        </w:rPr>
        <w:t xml:space="preserve"> </w:t>
      </w:r>
      <w:r w:rsidR="00886420" w:rsidRPr="00886420">
        <w:rPr>
          <w:sz w:val="24"/>
          <w:lang w:val="hr-HR"/>
        </w:rPr>
        <w:tab/>
      </w:r>
      <w:r w:rsidRPr="00C84D3F">
        <w:rPr>
          <w:sz w:val="24"/>
          <w:lang w:val="hr-HR"/>
        </w:rPr>
        <w:t>SL C 404, 6.10.2021., str. 129.</w:t>
      </w:r>
    </w:p>
  </w:footnote>
  <w:footnote w:id="25">
    <w:p w:rsidR="00344936" w:rsidRPr="00886420" w:rsidRDefault="00344936" w:rsidP="00886420">
      <w:pPr>
        <w:pStyle w:val="FootnoteText"/>
        <w:ind w:left="567" w:hanging="567"/>
        <w:rPr>
          <w:sz w:val="24"/>
          <w:lang w:val="hr-HR"/>
        </w:rPr>
      </w:pPr>
      <w:r w:rsidRPr="00886420">
        <w:rPr>
          <w:rStyle w:val="FootnoteReference"/>
          <w:sz w:val="24"/>
          <w:lang w:val="hr-HR"/>
        </w:rPr>
        <w:footnoteRef/>
      </w:r>
      <w:r w:rsidR="00886420" w:rsidRPr="00886420">
        <w:rPr>
          <w:sz w:val="24"/>
          <w:lang w:val="hr-HR"/>
        </w:rPr>
        <w:t xml:space="preserve"> </w:t>
      </w:r>
      <w:r w:rsidR="00886420" w:rsidRPr="00886420">
        <w:rPr>
          <w:sz w:val="24"/>
          <w:lang w:val="hr-HR"/>
        </w:rPr>
        <w:tab/>
      </w:r>
      <w:r w:rsidRPr="00C84D3F">
        <w:rPr>
          <w:sz w:val="24"/>
          <w:lang w:val="hr-HR"/>
        </w:rPr>
        <w:t>SL C 205, 20.5.2022., str. 26.</w:t>
      </w:r>
    </w:p>
  </w:footnote>
  <w:footnote w:id="26">
    <w:p w:rsidR="00344936" w:rsidRPr="00886420" w:rsidRDefault="00344936" w:rsidP="00886420">
      <w:pPr>
        <w:pStyle w:val="FootnoteText"/>
        <w:ind w:left="567" w:hanging="567"/>
        <w:rPr>
          <w:sz w:val="24"/>
          <w:lang w:val="hr-HR"/>
        </w:rPr>
      </w:pPr>
      <w:r w:rsidRPr="00886420">
        <w:rPr>
          <w:rStyle w:val="FootnoteReference"/>
          <w:sz w:val="24"/>
          <w:lang w:val="hr-HR"/>
        </w:rPr>
        <w:footnoteRef/>
      </w:r>
      <w:r w:rsidR="00886420" w:rsidRPr="00886420">
        <w:rPr>
          <w:sz w:val="24"/>
          <w:lang w:val="hr-HR"/>
        </w:rPr>
        <w:t xml:space="preserve"> </w:t>
      </w:r>
      <w:r w:rsidR="00886420" w:rsidRPr="00886420">
        <w:rPr>
          <w:sz w:val="24"/>
          <w:lang w:val="hr-HR"/>
        </w:rPr>
        <w:tab/>
      </w:r>
      <w:r w:rsidRPr="00886420">
        <w:rPr>
          <w:sz w:val="24"/>
          <w:lang w:val="hr-HR"/>
        </w:rPr>
        <w:t>SL C 303, 14.12.2007., str. 1.</w:t>
      </w:r>
    </w:p>
  </w:footnote>
  <w:footnote w:id="27">
    <w:p w:rsidR="00344936" w:rsidRPr="00886420" w:rsidRDefault="00344936" w:rsidP="00886420">
      <w:pPr>
        <w:pStyle w:val="FootnoteText"/>
        <w:ind w:left="567" w:hanging="567"/>
        <w:rPr>
          <w:sz w:val="24"/>
          <w:lang w:val="hr-HR"/>
        </w:rPr>
      </w:pPr>
      <w:r w:rsidRPr="00886420">
        <w:rPr>
          <w:rStyle w:val="FootnoteReference"/>
          <w:sz w:val="24"/>
          <w:lang w:val="hr-HR"/>
        </w:rPr>
        <w:footnoteRef/>
      </w:r>
      <w:r w:rsidR="00886420" w:rsidRPr="00886420">
        <w:rPr>
          <w:sz w:val="24"/>
          <w:shd w:val="clear" w:color="auto" w:fill="FFFFFF"/>
          <w:lang w:val="hr-HR"/>
        </w:rPr>
        <w:t xml:space="preserve"> </w:t>
      </w:r>
      <w:r w:rsidR="00886420" w:rsidRPr="00886420">
        <w:rPr>
          <w:sz w:val="24"/>
          <w:shd w:val="clear" w:color="auto" w:fill="FFFFFF"/>
          <w:lang w:val="hr-HR"/>
        </w:rPr>
        <w:tab/>
      </w:r>
      <w:r w:rsidRPr="00886420">
        <w:rPr>
          <w:sz w:val="24"/>
          <w:shd w:val="clear" w:color="auto" w:fill="FFFFFF"/>
          <w:lang w:val="hr-HR"/>
        </w:rPr>
        <w:t>Uredba (EU) 2016/679 Europskog parlamenta i Vijeća od 27. travnja 2016. o zaštiti pojedinaca u vezi s obradom osobnih podataka i o slobodnom kretanju takvih podataka te o stavljanju izvan snage Direktive 95/46/EZ (SL L 119, 4.5.2016., str. 1.).</w:t>
      </w:r>
    </w:p>
  </w:footnote>
  <w:footnote w:id="28">
    <w:p w:rsidR="00344936" w:rsidRPr="00886420" w:rsidRDefault="00344936" w:rsidP="00886420">
      <w:pPr>
        <w:pStyle w:val="FootnoteText"/>
        <w:ind w:left="567" w:hanging="567"/>
        <w:rPr>
          <w:sz w:val="24"/>
          <w:lang w:val="hr-HR"/>
        </w:rPr>
      </w:pPr>
      <w:r w:rsidRPr="00886420">
        <w:rPr>
          <w:rStyle w:val="FootnoteReference"/>
          <w:sz w:val="24"/>
          <w:lang w:val="hr-HR"/>
        </w:rPr>
        <w:footnoteRef/>
      </w:r>
      <w:r w:rsidR="00886420" w:rsidRPr="00886420">
        <w:rPr>
          <w:sz w:val="24"/>
          <w:shd w:val="clear" w:color="auto" w:fill="FFFFFF"/>
          <w:lang w:val="hr-HR"/>
        </w:rPr>
        <w:t xml:space="preserve"> </w:t>
      </w:r>
      <w:r w:rsidR="00886420" w:rsidRPr="00886420">
        <w:rPr>
          <w:sz w:val="24"/>
          <w:shd w:val="clear" w:color="auto" w:fill="FFFFFF"/>
          <w:lang w:val="hr-HR"/>
        </w:rPr>
        <w:tab/>
      </w:r>
      <w:r w:rsidRPr="00886420">
        <w:rPr>
          <w:sz w:val="24"/>
          <w:shd w:val="clear" w:color="auto" w:fill="FFFFFF"/>
          <w:lang w:val="hr-HR"/>
        </w:rPr>
        <w:t xml:space="preserve">Direktiva 2011/83/EU Europskog parlamenta i Vijeća od 25. listopada 2011. o pravima potrošača, izmjeni Direktive Vijeća 93/13/EEZ i Direktive 1999/44/EZ Europskog parlamenta i Vijeća te o stavljanju izvan snage Direktive Vijeća 85/577/EEZ i Direktive 97/7/EZ Europskog parlamenta i Vijeća </w:t>
      </w:r>
      <w:r w:rsidR="00C84D3F">
        <w:rPr>
          <w:sz w:val="24"/>
          <w:shd w:val="clear" w:color="auto" w:fill="FFFFFF"/>
          <w:lang w:val="hr-HR"/>
        </w:rPr>
        <w:t>(</w:t>
      </w:r>
      <w:r w:rsidRPr="00886420">
        <w:rPr>
          <w:sz w:val="24"/>
          <w:shd w:val="clear" w:color="auto" w:fill="FFFFFF"/>
          <w:lang w:val="hr-HR"/>
        </w:rPr>
        <w:t>SL L 304, 22.11.2011., str. 64.</w:t>
      </w:r>
      <w:r w:rsidR="00C84D3F">
        <w:rPr>
          <w:sz w:val="24"/>
          <w:shd w:val="clear" w:color="auto" w:fill="FFFFFF"/>
          <w:lang w:val="hr-HR"/>
        </w:rPr>
        <w:t>).</w:t>
      </w:r>
    </w:p>
  </w:footnote>
  <w:footnote w:id="29">
    <w:p w:rsidR="00344936" w:rsidRPr="00886420" w:rsidRDefault="00344936" w:rsidP="00886420">
      <w:pPr>
        <w:pStyle w:val="FootnoteText"/>
        <w:ind w:left="567" w:hanging="567"/>
        <w:rPr>
          <w:sz w:val="24"/>
          <w:lang w:val="hr-HR"/>
        </w:rPr>
      </w:pPr>
      <w:r w:rsidRPr="00886420">
        <w:rPr>
          <w:rStyle w:val="FootnoteReference"/>
          <w:sz w:val="24"/>
          <w:lang w:val="hr-HR"/>
        </w:rPr>
        <w:footnoteRef/>
      </w:r>
      <w:r w:rsidR="00886420" w:rsidRPr="00886420">
        <w:rPr>
          <w:sz w:val="24"/>
          <w:shd w:val="clear" w:color="auto" w:fill="FFFFFF"/>
          <w:lang w:val="hr-HR"/>
        </w:rPr>
        <w:t xml:space="preserve"> </w:t>
      </w:r>
      <w:r w:rsidR="00886420" w:rsidRPr="00886420">
        <w:rPr>
          <w:sz w:val="24"/>
          <w:shd w:val="clear" w:color="auto" w:fill="FFFFFF"/>
          <w:lang w:val="hr-HR"/>
        </w:rPr>
        <w:tab/>
      </w:r>
      <w:r w:rsidRPr="00886420">
        <w:rPr>
          <w:sz w:val="24"/>
          <w:shd w:val="clear" w:color="auto" w:fill="FFFFFF"/>
          <w:lang w:val="hr-HR"/>
        </w:rPr>
        <w:t xml:space="preserve">Direktiva Vijeća 93/13/EEZ od 5. travnja 1993. o nepoštenim uvjetima u potrošačkim ugovorima </w:t>
      </w:r>
      <w:r w:rsidR="00C84D3F">
        <w:rPr>
          <w:sz w:val="24"/>
          <w:shd w:val="clear" w:color="auto" w:fill="FFFFFF"/>
          <w:lang w:val="hr-HR"/>
        </w:rPr>
        <w:t>(</w:t>
      </w:r>
      <w:r w:rsidRPr="00886420">
        <w:rPr>
          <w:sz w:val="24"/>
          <w:shd w:val="clear" w:color="auto" w:fill="FFFFFF"/>
          <w:lang w:val="hr-HR"/>
        </w:rPr>
        <w:t>SL L 95, 21.4.1993., str. 29.</w:t>
      </w:r>
      <w:r w:rsidR="00C84D3F">
        <w:rPr>
          <w:sz w:val="24"/>
          <w:shd w:val="clear" w:color="auto" w:fill="FFFFFF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642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642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642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42/2023"/>
    <w:docVar w:name="dvlangue" w:val="HR"/>
    <w:docVar w:name="dvnumam" w:val="0"/>
    <w:docVar w:name="dvpe" w:val="753.772"/>
    <w:docVar w:name="dvrapporteur" w:val="Izvjestitelji: "/>
    <w:docVar w:name="dvtitre" w:val="Rezolucija Europskog parlamenta od .... 2024. o implikacijama razvoja virtualnih svjetova za politike – pitanja iz područja građanskog prava, prava društava, trgovačkog prava i prava intelektualnog vlasništva(2023/2062(INI))"/>
  </w:docVars>
  <w:rsids>
    <w:rsidRoot w:val="00D776F5"/>
    <w:rsid w:val="00002272"/>
    <w:rsid w:val="00050490"/>
    <w:rsid w:val="00064002"/>
    <w:rsid w:val="000677B9"/>
    <w:rsid w:val="000831BA"/>
    <w:rsid w:val="000A42CC"/>
    <w:rsid w:val="000E7DD9"/>
    <w:rsid w:val="0010095E"/>
    <w:rsid w:val="00100D1E"/>
    <w:rsid w:val="00125B37"/>
    <w:rsid w:val="00187494"/>
    <w:rsid w:val="001F32AE"/>
    <w:rsid w:val="001F3CE7"/>
    <w:rsid w:val="002767FF"/>
    <w:rsid w:val="002B18FE"/>
    <w:rsid w:val="002B5493"/>
    <w:rsid w:val="00343214"/>
    <w:rsid w:val="00344936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6420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2939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4D3F"/>
    <w:rsid w:val="00C941CB"/>
    <w:rsid w:val="00CC2357"/>
    <w:rsid w:val="00CF071A"/>
    <w:rsid w:val="00D058B8"/>
    <w:rsid w:val="00D56C11"/>
    <w:rsid w:val="00D776F5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AC7430"/>
  <w15:chartTrackingRefBased/>
  <w15:docId w15:val="{65BC8B00-0545-4227-BC82-1360B4DB1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qFormat/>
    <w:rsid w:val="00344936"/>
    <w:pPr>
      <w:spacing w:after="240"/>
      <w:ind w:left="567" w:hanging="567"/>
    </w:pPr>
  </w:style>
  <w:style w:type="paragraph" w:customStyle="1" w:styleId="EPComma">
    <w:name w:val="EPComma"/>
    <w:basedOn w:val="Normal"/>
    <w:rsid w:val="00344936"/>
    <w:pPr>
      <w:spacing w:before="480" w:after="240"/>
    </w:pPr>
  </w:style>
  <w:style w:type="character" w:styleId="Hyperlink">
    <w:name w:val="Hyperlink"/>
    <w:basedOn w:val="DefaultParagraphFont"/>
    <w:unhideWhenUsed/>
    <w:rsid w:val="00344936"/>
    <w:rPr>
      <w:color w:val="0563C1" w:themeColor="hyperlink"/>
      <w:u w:val="single"/>
    </w:rPr>
  </w:style>
  <w:style w:type="character" w:customStyle="1" w:styleId="BoldItalic">
    <w:name w:val="BoldItalic"/>
    <w:uiPriority w:val="1"/>
    <w:rsid w:val="00344936"/>
    <w:rPr>
      <w:b/>
      <w:i/>
      <w:u w:val="none"/>
    </w:rPr>
  </w:style>
  <w:style w:type="character" w:customStyle="1" w:styleId="NormalHanging12aChar">
    <w:name w:val="NormalHanging12a Char"/>
    <w:basedOn w:val="DefaultParagraphFont"/>
    <w:link w:val="NormalHanging12a"/>
    <w:rsid w:val="00344936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876E89-FC45-44DB-A804-73BE39BF6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3664</Words>
  <Characters>22849</Characters>
  <Application>Microsoft Office Word</Application>
  <DocSecurity>0</DocSecurity>
  <Lines>190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RAONIĆ Ena</cp:lastModifiedBy>
  <cp:revision>2</cp:revision>
  <cp:lastPrinted>2004-11-19T15:42:00Z</cp:lastPrinted>
  <dcterms:created xsi:type="dcterms:W3CDTF">2024-02-19T09:44:00Z</dcterms:created>
  <dcterms:modified xsi:type="dcterms:W3CDTF">2024-02-19T09:44:00Z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A9-0442/2023</vt:lpwstr>
  </property>
  <property fmtid="{D5CDD505-2E9C-101B-9397-08002B2CF9AE}" pid="4" name="&lt;Type&gt;">
    <vt:lpwstr>RR</vt:lpwstr>
  </property>
</Properties>
</file>