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E1F96" w:rsidTr="0010095E">
        <w:trPr>
          <w:trHeight w:hRule="exact" w:val="1418"/>
        </w:trPr>
        <w:tc>
          <w:tcPr>
            <w:tcW w:w="6804" w:type="dxa"/>
            <w:shd w:val="clear" w:color="auto" w:fill="auto"/>
            <w:vAlign w:val="center"/>
          </w:tcPr>
          <w:p w:rsidR="00751A4A" w:rsidRPr="00CE1F96" w:rsidRDefault="00003DA7" w:rsidP="0010095E">
            <w:pPr>
              <w:pStyle w:val="EPName"/>
            </w:pPr>
            <w:r w:rsidRPr="00CE1F96">
              <w:t>Europos Parlamentas</w:t>
            </w:r>
          </w:p>
          <w:p w:rsidR="00751A4A" w:rsidRPr="00CE1F96" w:rsidRDefault="00817416" w:rsidP="00756632">
            <w:pPr>
              <w:pStyle w:val="EPTerm"/>
              <w:rPr>
                <w:rStyle w:val="HideTWBExt"/>
                <w:noProof w:val="0"/>
                <w:vanish w:val="0"/>
                <w:color w:val="auto"/>
              </w:rPr>
            </w:pPr>
            <w:r w:rsidRPr="00CE1F96">
              <w:t>2019-2024</w:t>
            </w:r>
          </w:p>
        </w:tc>
        <w:tc>
          <w:tcPr>
            <w:tcW w:w="2268" w:type="dxa"/>
            <w:shd w:val="clear" w:color="auto" w:fill="auto"/>
          </w:tcPr>
          <w:p w:rsidR="00751A4A" w:rsidRPr="00CE1F96" w:rsidRDefault="00187494" w:rsidP="0010095E">
            <w:pPr>
              <w:pStyle w:val="EPLogo"/>
            </w:pPr>
            <w:r w:rsidRPr="00CE1F9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E1F96" w:rsidRDefault="00D058B8" w:rsidP="004C5D52">
      <w:pPr>
        <w:pStyle w:val="LineTop"/>
      </w:pPr>
    </w:p>
    <w:p w:rsidR="00680577" w:rsidRPr="00CE1F96" w:rsidRDefault="00003DA7" w:rsidP="00680577">
      <w:pPr>
        <w:pStyle w:val="EPBodyTA1"/>
      </w:pPr>
      <w:r w:rsidRPr="00CE1F96">
        <w:t>PRIIMTI TEKSTAI</w:t>
      </w:r>
    </w:p>
    <w:p w:rsidR="00D058B8" w:rsidRPr="00CE1F96" w:rsidRDefault="00D058B8" w:rsidP="00D058B8">
      <w:pPr>
        <w:pStyle w:val="LineBottom"/>
      </w:pPr>
    </w:p>
    <w:p w:rsidR="00003DA7" w:rsidRPr="00CE1F96" w:rsidRDefault="00003DA7" w:rsidP="00003DA7">
      <w:pPr>
        <w:pStyle w:val="ATHeading1"/>
      </w:pPr>
      <w:bookmarkStart w:id="0" w:name="TANumber"/>
      <w:r w:rsidRPr="00CE1F96">
        <w:t>P9_TA(2024)00</w:t>
      </w:r>
      <w:r w:rsidR="007D2563">
        <w:t>29</w:t>
      </w:r>
      <w:bookmarkEnd w:id="0"/>
    </w:p>
    <w:p w:rsidR="00003DA7" w:rsidRPr="00CE1F96" w:rsidRDefault="00003DA7" w:rsidP="00003DA7">
      <w:pPr>
        <w:pStyle w:val="ATHeading2"/>
      </w:pPr>
      <w:bookmarkStart w:id="1" w:name="title"/>
      <w:r w:rsidRPr="00CE1F96">
        <w:t>Virtualiųjų pasaulių plėtros poveikis politikai. Civilinės, įmonių, komercinės ir intelektinės nuosavybės teisės klausimai</w:t>
      </w:r>
      <w:bookmarkEnd w:id="1"/>
    </w:p>
    <w:p w:rsidR="00003DA7" w:rsidRPr="00CE1F96" w:rsidRDefault="00003DA7" w:rsidP="00003DA7">
      <w:pPr>
        <w:rPr>
          <w:i/>
          <w:vanish/>
        </w:rPr>
      </w:pPr>
      <w:r w:rsidRPr="00CE1F96">
        <w:rPr>
          <w:i/>
        </w:rPr>
        <w:fldChar w:fldCharType="begin"/>
      </w:r>
      <w:r w:rsidRPr="00CE1F96">
        <w:rPr>
          <w:i/>
        </w:rPr>
        <w:instrText xml:space="preserve"> TC"(</w:instrText>
      </w:r>
      <w:bookmarkStart w:id="2" w:name="DocNumber"/>
      <w:r w:rsidRPr="00CE1F96">
        <w:rPr>
          <w:i/>
        </w:rPr>
        <w:instrText>A9-0442/2023</w:instrText>
      </w:r>
      <w:bookmarkEnd w:id="2"/>
      <w:r w:rsidRPr="00CE1F96">
        <w:rPr>
          <w:i/>
        </w:rPr>
        <w:instrText xml:space="preserve"> - Pranešėjai: Axel Voss, Ibán García Del Blanco)"\l3 \n&gt; \* MERGEFORMAT </w:instrText>
      </w:r>
      <w:r w:rsidRPr="00CE1F96">
        <w:rPr>
          <w:i/>
        </w:rPr>
        <w:fldChar w:fldCharType="end"/>
      </w:r>
    </w:p>
    <w:p w:rsidR="00003DA7" w:rsidRPr="00CE1F96" w:rsidRDefault="00003DA7" w:rsidP="00003DA7">
      <w:pPr>
        <w:rPr>
          <w:vanish/>
        </w:rPr>
      </w:pPr>
      <w:bookmarkStart w:id="3" w:name="Commission"/>
      <w:r w:rsidRPr="00CE1F96">
        <w:rPr>
          <w:vanish/>
        </w:rPr>
        <w:t>Teisės reikalų komitetas</w:t>
      </w:r>
      <w:bookmarkEnd w:id="3"/>
    </w:p>
    <w:p w:rsidR="00003DA7" w:rsidRPr="00CE1F96" w:rsidRDefault="00003DA7" w:rsidP="00003DA7">
      <w:pPr>
        <w:rPr>
          <w:vanish/>
        </w:rPr>
      </w:pPr>
      <w:bookmarkStart w:id="4" w:name="PE"/>
      <w:r w:rsidRPr="00CE1F96">
        <w:rPr>
          <w:vanish/>
        </w:rPr>
        <w:t>PE753.772</w:t>
      </w:r>
      <w:bookmarkEnd w:id="4"/>
    </w:p>
    <w:p w:rsidR="00003DA7" w:rsidRPr="00CE1F96" w:rsidRDefault="00003DA7" w:rsidP="007D2563">
      <w:pPr>
        <w:pStyle w:val="ATHeading3"/>
      </w:pPr>
      <w:bookmarkStart w:id="5" w:name="Sujet"/>
      <w:r w:rsidRPr="00CE1F96">
        <w:t xml:space="preserve">2024 m. sausio 17 d. Europos Parlamento rezoliucija </w:t>
      </w:r>
      <w:r w:rsidR="00094430">
        <w:t>„</w:t>
      </w:r>
      <w:r w:rsidRPr="00CE1F96">
        <w:t>Virtualiųjų pasaulių plėtros poveikis politikai. Civilinės, įmonių, komercinės ir intelektinės nuosavybės teisės klausima</w:t>
      </w:r>
      <w:r w:rsidR="00094430">
        <w:t>i“</w:t>
      </w:r>
      <w:bookmarkEnd w:id="5"/>
      <w:r w:rsidRPr="00CE1F96">
        <w:t xml:space="preserve"> </w:t>
      </w:r>
      <w:bookmarkStart w:id="6" w:name="References"/>
      <w:r w:rsidRPr="00CE1F96">
        <w:t>(2023/2062(INI))</w:t>
      </w:r>
      <w:bookmarkEnd w:id="6"/>
    </w:p>
    <w:p w:rsidR="001F0A91" w:rsidRPr="00CE1F96" w:rsidRDefault="001F0A91" w:rsidP="001F0A91">
      <w:pPr>
        <w:pStyle w:val="EPComma"/>
      </w:pPr>
      <w:bookmarkStart w:id="7" w:name="TextBodyBegin"/>
      <w:bookmarkEnd w:id="7"/>
      <w:r w:rsidRPr="00CE1F96">
        <w:rPr>
          <w:i/>
        </w:rPr>
        <w:t>Europos Parlamentas</w:t>
      </w:r>
      <w:r w:rsidRPr="00CE1F96">
        <w:t>,</w:t>
      </w:r>
    </w:p>
    <w:p w:rsidR="001F0A91" w:rsidRPr="00CE1F96" w:rsidRDefault="001F0A91" w:rsidP="001F0A91">
      <w:pPr>
        <w:pStyle w:val="NormalHanging12a"/>
      </w:pPr>
      <w:r w:rsidRPr="00CE1F96">
        <w:t>–</w:t>
      </w:r>
      <w:r w:rsidRPr="00CE1F96">
        <w:tab/>
        <w:t>atsižvelgdamas į Sutartį dėl Europos Sąjungos veikimo, ypač į jos 4, 16, 26, 81, 114 ir 118 straipsnius,</w:t>
      </w:r>
    </w:p>
    <w:p w:rsidR="001F0A91" w:rsidRPr="00CE1F96" w:rsidRDefault="001F0A91" w:rsidP="001F0A91">
      <w:pPr>
        <w:pStyle w:val="NormalHanging12a"/>
      </w:pPr>
      <w:r w:rsidRPr="00CE1F96">
        <w:t>–</w:t>
      </w:r>
      <w:r w:rsidRPr="00CE1F96">
        <w:tab/>
        <w:t>atsižvelgdamas į 1886 m. Berno konvenciją dėl literatūros ir meno kūrinių apsaugos,</w:t>
      </w:r>
    </w:p>
    <w:p w:rsidR="001F0A91" w:rsidRPr="00CE1F96" w:rsidRDefault="001F0A91" w:rsidP="001F0A91">
      <w:pPr>
        <w:pStyle w:val="NormalHanging12a"/>
      </w:pPr>
      <w:r w:rsidRPr="00CE1F96">
        <w:t>–</w:t>
      </w:r>
      <w:r w:rsidRPr="00CE1F96">
        <w:tab/>
        <w:t>atsižvelgdamas į Nicos sutartį dėl tarptautinės prekių ir paslaugų ženklų registravimo klasifikacijos, iš dalies pakeistą 1979 m. rugsėjo 28 d. ir atnaujintą dvyliktajame leidime (12-2023),</w:t>
      </w:r>
    </w:p>
    <w:p w:rsidR="001F0A91" w:rsidRPr="00CE1F96" w:rsidRDefault="001F0A91" w:rsidP="001F0A91">
      <w:pPr>
        <w:pStyle w:val="NormalHanging12a"/>
      </w:pPr>
      <w:r w:rsidRPr="00CE1F96">
        <w:t>–</w:t>
      </w:r>
      <w:r w:rsidRPr="00CE1F96">
        <w:tab/>
        <w:t>atsižvelgdamas į 1996 m. Pasaulinės intelektinės nuosavybės organizacijos (PINO) autorių teisių sutartį ir 1996 m. PINO atlikimų ir fonogramų sutartį,</w:t>
      </w:r>
    </w:p>
    <w:p w:rsidR="001F0A91" w:rsidRPr="00CE1F96" w:rsidRDefault="001F0A91" w:rsidP="001F0A91">
      <w:pPr>
        <w:pStyle w:val="NormalHanging12a"/>
      </w:pPr>
      <w:r w:rsidRPr="00CE1F96">
        <w:t>–</w:t>
      </w:r>
      <w:r w:rsidRPr="00CE1F96">
        <w:tab/>
        <w:t>atsižvelgdamas į 1996 m. kovo 11 d. Europos Parlamento ir Tarybos direktyvą 96/9/EB dėl duomenų bazių teisinės apsaugos</w:t>
      </w:r>
      <w:r w:rsidRPr="00CE1F96">
        <w:rPr>
          <w:rStyle w:val="FootnoteReference"/>
        </w:rPr>
        <w:footnoteReference w:id="1"/>
      </w:r>
      <w:r w:rsidRPr="00CE1F96">
        <w:t>,</w:t>
      </w:r>
    </w:p>
    <w:p w:rsidR="001F0A91" w:rsidRPr="00CE1F96" w:rsidRDefault="001F0A91" w:rsidP="001F0A91">
      <w:pPr>
        <w:pStyle w:val="NormalHanging12a"/>
      </w:pPr>
      <w:r w:rsidRPr="00CE1F96">
        <w:t>–</w:t>
      </w:r>
      <w:r w:rsidRPr="00CE1F96">
        <w:tab/>
        <w:t>atsižvelgdamas į 2005 m. gegužės 11 d. Europos Parlamento ir Tarybos direktyvą 2005/29/EB dėl nesąžiningos įmonių komercinės veiklos vartotojų atžvilgiu vidaus rinkoje ir iš dalies keičiančią Tarybos direktyvą 84/450/EEB, Europos Parlamento ir Tarybos direktyvas 97/7/EB, 98/27/EB bei 2002/65/EB ir Europos Parlamento ir Tarybos reglamentą (EB) Nr. 2006/2004 (Nesąžiningos komercinės veiklos direktyva)</w:t>
      </w:r>
      <w:r w:rsidRPr="00CE1F96">
        <w:rPr>
          <w:rStyle w:val="FootnoteReference"/>
        </w:rPr>
        <w:footnoteReference w:id="2"/>
      </w:r>
      <w:r w:rsidRPr="00CE1F96">
        <w:t>,</w:t>
      </w:r>
    </w:p>
    <w:p w:rsidR="001F0A91" w:rsidRPr="00CE1F96" w:rsidRDefault="001F0A91" w:rsidP="001F0A91">
      <w:pPr>
        <w:pStyle w:val="NormalHanging12a"/>
      </w:pPr>
      <w:r w:rsidRPr="00CE1F96">
        <w:t>–</w:t>
      </w:r>
      <w:r w:rsidRPr="00CE1F96">
        <w:tab/>
        <w:t>atsižvelgdamas į 2007 m. liepos 11 d. Europos Parlamento ir Tarybos reglamentą (EB) Nr. 864/2007 dėl nesutartinėms prievolėms taikytinos teisės („Roma II“)</w:t>
      </w:r>
      <w:r w:rsidRPr="00CE1F96">
        <w:rPr>
          <w:rStyle w:val="FootnoteReference"/>
        </w:rPr>
        <w:footnoteReference w:id="3"/>
      </w:r>
      <w:r w:rsidRPr="00CE1F96">
        <w:t>,</w:t>
      </w:r>
    </w:p>
    <w:p w:rsidR="001F0A91" w:rsidRPr="00CE1F96" w:rsidRDefault="001F0A91" w:rsidP="001F0A91">
      <w:pPr>
        <w:pStyle w:val="NormalHanging12a"/>
      </w:pPr>
      <w:r w:rsidRPr="00CE1F96">
        <w:lastRenderedPageBreak/>
        <w:t>–</w:t>
      </w:r>
      <w:r w:rsidRPr="00CE1F96">
        <w:tab/>
        <w:t>atsižvelgdamas į 2008 m. birželio 17 d. Europos Parlamento ir Tarybos reglamentą (EB) Nr. 593/2008 dėl sutartinėms prievolėms taikytinos teisės („Roma I“)</w:t>
      </w:r>
      <w:r w:rsidRPr="00CE1F96">
        <w:rPr>
          <w:rStyle w:val="FootnoteReference"/>
        </w:rPr>
        <w:footnoteReference w:id="4"/>
      </w:r>
      <w:r w:rsidRPr="00CE1F96">
        <w:t>,</w:t>
      </w:r>
    </w:p>
    <w:p w:rsidR="001F0A91" w:rsidRPr="00CE1F96" w:rsidRDefault="001F0A91" w:rsidP="001F0A91">
      <w:pPr>
        <w:pStyle w:val="NormalHanging12a"/>
      </w:pPr>
      <w:r w:rsidRPr="00CE1F96">
        <w:t>–</w:t>
      </w:r>
      <w:r w:rsidRPr="00CE1F96">
        <w:tab/>
        <w:t>atsižvelgdamas į 2009 m. balandžio 23 d. Europos Parlamento ir Tarybos direktyvą 2009/24/EB dėl kompiuterių programų teisinės apsaugos</w:t>
      </w:r>
      <w:r w:rsidRPr="00CE1F96">
        <w:rPr>
          <w:rStyle w:val="FootnoteReference"/>
        </w:rPr>
        <w:footnoteReference w:id="5"/>
      </w:r>
      <w:r w:rsidRPr="00CE1F96">
        <w:t>,</w:t>
      </w:r>
    </w:p>
    <w:p w:rsidR="001F0A91" w:rsidRPr="00CE1F96" w:rsidRDefault="001F0A91" w:rsidP="001F0A91">
      <w:pPr>
        <w:pStyle w:val="NormalHanging12a"/>
      </w:pPr>
      <w:r w:rsidRPr="00CE1F96">
        <w:t>–</w:t>
      </w:r>
      <w:r w:rsidRPr="00CE1F96">
        <w:tab/>
        <w:t>atsižvelgdamas į 2012 m. gruodžio 12 d. Europos Parlamento ir Tarybos reglamentą (ES) Nr. 1215/2012 dėl jurisdikcijos ir teismo sprendimų civilinėse ir komercinėse bylose pripažinimo ir vykdymo (nauja redakcija)</w:t>
      </w:r>
      <w:r w:rsidRPr="00CE1F96">
        <w:rPr>
          <w:rStyle w:val="FootnoteReference"/>
        </w:rPr>
        <w:footnoteReference w:id="6"/>
      </w:r>
      <w:r w:rsidRPr="00CE1F96">
        <w:t xml:space="preserve"> (Reglamentas „Briuselis I“),</w:t>
      </w:r>
    </w:p>
    <w:p w:rsidR="001F0A91" w:rsidRPr="00CE1F96" w:rsidRDefault="001F0A91" w:rsidP="001F0A91">
      <w:pPr>
        <w:pStyle w:val="NormalHanging12a"/>
      </w:pPr>
      <w:r w:rsidRPr="00CE1F96">
        <w:t>–</w:t>
      </w:r>
      <w:r w:rsidRPr="00CE1F96">
        <w:tab/>
        <w:t>atsižvelgdamas į 2014 m. liepos 23 d. Europos Parlamento ir Tarybos reglamentą (ES) Nr. 910/2014 dėl elektroninės atpažinties ir elektroninių operacijų patikimumo užtikrinimo paslaugų vidaus rinkoje, kuriuo panaikinama Direktyva 1999/93/EB</w:t>
      </w:r>
      <w:r w:rsidRPr="00CE1F96">
        <w:rPr>
          <w:rStyle w:val="FootnoteReference"/>
        </w:rPr>
        <w:footnoteReference w:id="7"/>
      </w:r>
      <w:r w:rsidRPr="00CE1F96">
        <w:t>,</w:t>
      </w:r>
    </w:p>
    <w:p w:rsidR="001F0A91" w:rsidRPr="00CE1F96" w:rsidRDefault="001F0A91" w:rsidP="001F0A91">
      <w:pPr>
        <w:pStyle w:val="NormalHanging12a"/>
      </w:pPr>
      <w:r w:rsidRPr="00CE1F96">
        <w:t>–</w:t>
      </w:r>
      <w:r w:rsidRPr="00CE1F96">
        <w:tab/>
        <w:t>atsižvelgdamas į 2016 m. birželio 8 d. Europos Parlamento ir Tarybos direktyva (ES) 2016/943 dėl neatskleistos praktinės patirties ir verslo informacijos (komercinių paslapčių) apsaugos nuo neteisėto jų gavimo, naudojimo ir atskleidimo</w:t>
      </w:r>
      <w:r w:rsidRPr="00CE1F96">
        <w:rPr>
          <w:rStyle w:val="FootnoteReference"/>
        </w:rPr>
        <w:footnoteReference w:id="8"/>
      </w:r>
      <w:r w:rsidRPr="00CE1F96">
        <w:t>,</w:t>
      </w:r>
    </w:p>
    <w:p w:rsidR="001F0A91" w:rsidRPr="00CE1F96" w:rsidRDefault="001F0A91" w:rsidP="001F0A91">
      <w:pPr>
        <w:pStyle w:val="NormalHanging12a"/>
      </w:pPr>
      <w:r w:rsidRPr="00CE1F96">
        <w:t>–</w:t>
      </w:r>
      <w:r w:rsidRPr="00CE1F96">
        <w:tab/>
        <w:t>atsižvelgdamas į 2016 m. balandžio 27 d. Europos Parlamento ir Tarybos reglamentą (ES) 2016/679 dėl fizinių asmenų apsaugos tvarkant asmens duomenis ir dėl laisvo tokių duomenų judėjimo ir kuriuo panaikinama Direktyva 95/46/EB</w:t>
      </w:r>
      <w:r w:rsidRPr="00CE1F96">
        <w:rPr>
          <w:rStyle w:val="FootnoteReference"/>
        </w:rPr>
        <w:footnoteReference w:id="9"/>
      </w:r>
      <w:r w:rsidRPr="00CE1F96">
        <w:t>,</w:t>
      </w:r>
    </w:p>
    <w:p w:rsidR="001F0A91" w:rsidRPr="00CE1F96" w:rsidRDefault="001F0A91" w:rsidP="001F0A91">
      <w:pPr>
        <w:pStyle w:val="NormalHanging12a"/>
      </w:pPr>
      <w:r w:rsidRPr="00CE1F96">
        <w:t>–</w:t>
      </w:r>
      <w:r w:rsidRPr="00CE1F96">
        <w:tab/>
        <w:t>atsižvelgdamas į 2016 m. balandžio 27 d. Europos Parlamento ir Tarybos direktyvą (ES) 2016/680 dėl fizinių asmenų apsaugos kompetentingoms institucijoms tvarkant asmens duomenis nusikalstamų veikų prevencijos, tyrimo, atskleidimo ar baudžiamojo persekiojimo už jas arba bausmių vykdymo tikslais ir dėl laisvo tokių duomenų judėjimo</w:t>
      </w:r>
      <w:r w:rsidRPr="00CE1F96">
        <w:rPr>
          <w:rStyle w:val="FootnoteReference"/>
        </w:rPr>
        <w:footnoteReference w:id="10"/>
      </w:r>
      <w:r w:rsidRPr="00CE1F96">
        <w:t>,</w:t>
      </w:r>
    </w:p>
    <w:p w:rsidR="001F0A91" w:rsidRPr="00CE1F96" w:rsidRDefault="001F0A91" w:rsidP="001F0A91">
      <w:pPr>
        <w:pStyle w:val="NormalHanging12a"/>
      </w:pPr>
      <w:r w:rsidRPr="00CE1F96">
        <w:t>–</w:t>
      </w:r>
      <w:r w:rsidRPr="00CE1F96">
        <w:tab/>
        <w:t>atsižvelgdamas į 2016 m. spalio 26 d. Europos Parlamento ir Tarybos direktyvą (ES) 2016/2102 dėl viešojo sektoriaus institucijų interneto svetainių ir mobiliųjų programų prieinamumo</w:t>
      </w:r>
      <w:r w:rsidRPr="00CE1F96">
        <w:rPr>
          <w:rStyle w:val="FootnoteReference"/>
        </w:rPr>
        <w:footnoteReference w:id="11"/>
      </w:r>
      <w:r w:rsidRPr="00CE1F96">
        <w:t>,</w:t>
      </w:r>
    </w:p>
    <w:p w:rsidR="001F0A91" w:rsidRPr="00CE1F96" w:rsidRDefault="001F0A91" w:rsidP="001F0A91">
      <w:pPr>
        <w:pStyle w:val="NormalHanging12a"/>
      </w:pPr>
      <w:r w:rsidRPr="00CE1F96">
        <w:t>–</w:t>
      </w:r>
      <w:r w:rsidRPr="00CE1F96">
        <w:tab/>
        <w:t>atsižvelgdamas į 2017 m. birželio 14 d. Europos Parlamento ir Tarybos reglamentą (ES) 2017/1001 dėl Europos Sąjungos prekių ženklo</w:t>
      </w:r>
      <w:r w:rsidRPr="00CE1F96">
        <w:rPr>
          <w:rStyle w:val="FootnoteReference"/>
        </w:rPr>
        <w:footnoteReference w:id="12"/>
      </w:r>
      <w:r w:rsidRPr="00CE1F96">
        <w:t>,</w:t>
      </w:r>
    </w:p>
    <w:p w:rsidR="001F0A91" w:rsidRPr="00CE1F96" w:rsidRDefault="001F0A91" w:rsidP="001F0A91">
      <w:pPr>
        <w:pStyle w:val="NormalHanging12a"/>
      </w:pPr>
      <w:r w:rsidRPr="00CE1F96">
        <w:t>–</w:t>
      </w:r>
      <w:r w:rsidRPr="00CE1F96">
        <w:tab/>
        <w:t>atsižvelgdamas į 2018 m. spalio 23 d. Europos Parlamento ir Tarybos reglamentą (ES) 2018/1725 dėl fizinių asmenų apsaugos Sąjungos institucijoms, organams, tarnyboms ir agentūroms tvarkant asmens duomenis ir dėl laisvo tokių duomenų judėjimo, kuriuo panaikinamas Reglamentas (EB) Nr. 45/2001 ir Sprendimas Nr. 1247/2002/EB</w:t>
      </w:r>
      <w:r w:rsidRPr="00CE1F96">
        <w:rPr>
          <w:rStyle w:val="FootnoteReference"/>
        </w:rPr>
        <w:footnoteReference w:id="13"/>
      </w:r>
      <w:r w:rsidRPr="00CE1F96">
        <w:t>,</w:t>
      </w:r>
    </w:p>
    <w:p w:rsidR="001F0A91" w:rsidRPr="00CE1F96" w:rsidRDefault="001F0A91" w:rsidP="001F0A91">
      <w:pPr>
        <w:pStyle w:val="NormalHanging12a"/>
      </w:pPr>
      <w:r w:rsidRPr="00CE1F96">
        <w:t>–</w:t>
      </w:r>
      <w:r w:rsidRPr="00CE1F96">
        <w:tab/>
        <w:t xml:space="preserve">atsižvelgdamas į 2018 m. lapkričio 14 d. Europos Parlamento ir Tarybos reglamentą </w:t>
      </w:r>
      <w:r w:rsidRPr="00CE1F96">
        <w:lastRenderedPageBreak/>
        <w:t>(ES) 2018/1807 dėl laisvo ne asmens duomenų judėjimo Europos Sąjungoje pagrindų</w:t>
      </w:r>
      <w:r w:rsidRPr="00CE1F96">
        <w:rPr>
          <w:rStyle w:val="FootnoteReference"/>
        </w:rPr>
        <w:footnoteReference w:id="14"/>
      </w:r>
      <w:r w:rsidRPr="00CE1F96">
        <w:t>,</w:t>
      </w:r>
    </w:p>
    <w:p w:rsidR="001F0A91" w:rsidRPr="00CE1F96" w:rsidRDefault="001F0A91" w:rsidP="001F0A91">
      <w:pPr>
        <w:pStyle w:val="NormalHanging12a"/>
      </w:pPr>
      <w:r w:rsidRPr="00CE1F96">
        <w:t>–</w:t>
      </w:r>
      <w:r w:rsidRPr="00CE1F96">
        <w:tab/>
        <w:t>atsižvelgdamas į 2019 m. balandžio 17 d. Europos Parlamento ir Tarybos direktyvą (ES) 2019/790 dėl autorių teisių ir gretutinių teisių bendrojoje skaitmeninėje rinkoje, kuria iš dalies keičiamos direktyvos 96/9/EB ir 2001/29/EB</w:t>
      </w:r>
      <w:r w:rsidRPr="00CE1F96">
        <w:rPr>
          <w:rStyle w:val="FootnoteReference"/>
        </w:rPr>
        <w:footnoteReference w:id="15"/>
      </w:r>
      <w:r w:rsidRPr="00CE1F96">
        <w:t xml:space="preserve"> (Autorių teisių direktyva),</w:t>
      </w:r>
    </w:p>
    <w:p w:rsidR="001F0A91" w:rsidRPr="00CE1F96" w:rsidRDefault="001F0A91" w:rsidP="001F0A91">
      <w:pPr>
        <w:pStyle w:val="NormalHanging12a"/>
      </w:pPr>
      <w:r w:rsidRPr="00CE1F96">
        <w:t>–</w:t>
      </w:r>
      <w:r w:rsidRPr="00CE1F96">
        <w:tab/>
        <w:t>atsižvelgdamas į 2019 m. balandžio 17 d. Europos Parlamento ir Tarybos direktyvą (ES) 2019/882 dėl gaminių ir paslaugų prieinamumo reikalavimų</w:t>
      </w:r>
      <w:r w:rsidRPr="00CE1F96">
        <w:rPr>
          <w:rStyle w:val="FootnoteReference"/>
        </w:rPr>
        <w:footnoteReference w:id="16"/>
      </w:r>
      <w:r w:rsidRPr="00CE1F96">
        <w:t>,</w:t>
      </w:r>
    </w:p>
    <w:p w:rsidR="001F0A91" w:rsidRPr="00CE1F96" w:rsidRDefault="001F0A91" w:rsidP="001F0A91">
      <w:pPr>
        <w:pStyle w:val="NormalHanging12a"/>
      </w:pPr>
      <w:r w:rsidRPr="00CE1F96">
        <w:t>–</w:t>
      </w:r>
      <w:r w:rsidRPr="00CE1F96">
        <w:tab/>
        <w:t>atsižvelgdamas į 2019 m. birželio 20 d. Europos Parlamento ir Tarybos direktyvą (ES) 2019/1024 dėl atvirųjų duomenų ir viešojo sektoriaus informacijos pakartotinio naudojimo</w:t>
      </w:r>
      <w:r w:rsidRPr="00CE1F96">
        <w:rPr>
          <w:rStyle w:val="FootnoteReference"/>
        </w:rPr>
        <w:footnoteReference w:id="17"/>
      </w:r>
      <w:r w:rsidRPr="00CE1F96">
        <w:t>,</w:t>
      </w:r>
    </w:p>
    <w:p w:rsidR="001F0A91" w:rsidRPr="00CE1F96" w:rsidRDefault="001F0A91" w:rsidP="001F0A91">
      <w:pPr>
        <w:pStyle w:val="NormalHanging12a"/>
      </w:pPr>
      <w:r w:rsidRPr="00CE1F96">
        <w:t>–</w:t>
      </w:r>
      <w:r w:rsidRPr="00CE1F96">
        <w:tab/>
        <w:t>atsižvelgdamas į 2019 m. birželio 20 d. Europos Parlamento ir Tarybos reglamentą (ES) 2019/1150 dėl verslo klientams teikiamų internetinių tarpininkavimo paslaugų sąžiningumo ir skaidrumo didinimo</w:t>
      </w:r>
      <w:r w:rsidRPr="00CE1F96">
        <w:rPr>
          <w:rStyle w:val="FootnoteReference"/>
        </w:rPr>
        <w:footnoteReference w:id="18"/>
      </w:r>
      <w:r w:rsidRPr="00CE1F96">
        <w:t>,</w:t>
      </w:r>
    </w:p>
    <w:p w:rsidR="001F0A91" w:rsidRPr="00CE1F96" w:rsidRDefault="001F0A91" w:rsidP="001F0A91">
      <w:pPr>
        <w:pStyle w:val="NormalHanging12a"/>
      </w:pPr>
      <w:r w:rsidRPr="00CE1F96">
        <w:t>–</w:t>
      </w:r>
      <w:r w:rsidRPr="00CE1F96">
        <w:tab/>
        <w:t>atsižvelgdamas į pasiūlymą dėl Europos Parlamento ir Tarybos reglamento, kuriuo nustatomos suderintos dirbtinio intelekto taisyklės (Dirbtinio intelekto aktas) ir iš dalies keičiami tam tikri Sąjungos teisėkūros procedūra priimti aktai (COM(2021)0206),</w:t>
      </w:r>
    </w:p>
    <w:p w:rsidR="001F0A91" w:rsidRPr="00CE1F96" w:rsidRDefault="001F0A91" w:rsidP="001F0A91">
      <w:pPr>
        <w:pStyle w:val="NormalHanging12a"/>
      </w:pPr>
      <w:r w:rsidRPr="00CE1F96">
        <w:t>–</w:t>
      </w:r>
      <w:r w:rsidRPr="00CE1F96">
        <w:tab/>
        <w:t>atsižvelgdamas į pasiūlymą dėl Europos Parlamento ir Tarybos reglamento, kuriuo dėl Europos skaitmeninės tapatybės sistemos nustatymo iš dalies keičiamas Reglamentas (ES) Nr. 910/2014 (COM(2021)0281),</w:t>
      </w:r>
    </w:p>
    <w:p w:rsidR="001F0A91" w:rsidRPr="00CE1F96" w:rsidRDefault="001F0A91" w:rsidP="001F0A91">
      <w:pPr>
        <w:pStyle w:val="NormalHanging12a"/>
      </w:pPr>
      <w:r w:rsidRPr="00CE1F96">
        <w:t>–</w:t>
      </w:r>
      <w:r w:rsidRPr="00CE1F96">
        <w:tab/>
        <w:t>atsižvelgdamas į pasiūlymą dėl Europos Parlamento ir Tarybos reglamento dėl suderintų sąžiningos prieigos prie duomenų ir jų naudojimo taisyklių (Duomenų aktas) (C</w:t>
      </w:r>
      <w:r w:rsidR="00D33C99">
        <w:t>OM(2022)</w:t>
      </w:r>
      <w:r w:rsidRPr="00CE1F96">
        <w:t>0068</w:t>
      </w:r>
      <w:r w:rsidR="00D33C99">
        <w:t>)</w:t>
      </w:r>
      <w:r w:rsidRPr="00CE1F96">
        <w:t>),</w:t>
      </w:r>
    </w:p>
    <w:p w:rsidR="001F0A91" w:rsidRPr="00CE1F96" w:rsidRDefault="001F0A91" w:rsidP="001F0A91">
      <w:pPr>
        <w:pStyle w:val="NormalHanging12a"/>
      </w:pPr>
      <w:r w:rsidRPr="00CE1F96">
        <w:t>–</w:t>
      </w:r>
      <w:r w:rsidRPr="00CE1F96">
        <w:tab/>
        <w:t>atsižvelgdamas į pasiūlymą dėl Europos Parlamento ir Tarybos direktyvos dėl atsakomybės už gaminius su trūkumais (COM(2022)0495),</w:t>
      </w:r>
    </w:p>
    <w:p w:rsidR="001F0A91" w:rsidRPr="00CE1F96" w:rsidRDefault="001F0A91" w:rsidP="001F0A91">
      <w:pPr>
        <w:pStyle w:val="NormalHanging12a"/>
      </w:pPr>
      <w:r w:rsidRPr="00CE1F96">
        <w:t>–</w:t>
      </w:r>
      <w:r w:rsidRPr="00CE1F96">
        <w:tab/>
        <w:t>atsižvelgdamas į pasiūlymą dėl Europos Parlamento ir Tarybos direktyvos dėl nesutartinės civilinės atsakomybės taisyklių pritaikymo dirbtiniam intelektui (Atsakomybės už dirbtinį intelektą direktyva) (COM(2022)0496),</w:t>
      </w:r>
    </w:p>
    <w:p w:rsidR="001F0A91" w:rsidRPr="00CE1F96" w:rsidRDefault="001F0A91" w:rsidP="001F0A91">
      <w:pPr>
        <w:pStyle w:val="NormalHanging12a"/>
      </w:pPr>
      <w:r w:rsidRPr="00CE1F96">
        <w:t>–</w:t>
      </w:r>
      <w:r w:rsidRPr="00CE1F96">
        <w:tab/>
        <w:t>atsižvelgdamas į 2022 m. gegužės 30 d. Europos Parlamento ir Tarybos reglamentą (ES) 2022/868 dėl Europos duomenų valdymo, kuriuo iš dalies keičiamas Reglamentas (ES) 2018/1724 (Duomenų valdymo aktas)</w:t>
      </w:r>
      <w:r w:rsidRPr="00CE1F96">
        <w:rPr>
          <w:rStyle w:val="FootnoteReference"/>
        </w:rPr>
        <w:footnoteReference w:id="19"/>
      </w:r>
      <w:r w:rsidRPr="00CE1F96">
        <w:t>,</w:t>
      </w:r>
    </w:p>
    <w:p w:rsidR="001F0A91" w:rsidRPr="00CE1F96" w:rsidRDefault="001F0A91" w:rsidP="001F0A91">
      <w:pPr>
        <w:pStyle w:val="NormalHanging12a"/>
      </w:pPr>
      <w:r w:rsidRPr="00CE1F96">
        <w:t>–</w:t>
      </w:r>
      <w:r w:rsidRPr="00CE1F96">
        <w:tab/>
        <w:t>atsižvelgdamas į 2022 m. rugsėjo 14 d. Europos Parlamento ir Tarybos reglamentą (ES) 2022/1925 dėl atvirų konkurencijai ir sąžiningų skaitmeninio sektoriaus rinkų, kuriuo iš dalies keičiamos direktyvos (ES) 2019/1937 ir (ES) 2020/1828 (Skaitmeninių rinkų aktas)</w:t>
      </w:r>
      <w:r w:rsidRPr="00CE1F96">
        <w:rPr>
          <w:rStyle w:val="FootnoteReference"/>
        </w:rPr>
        <w:footnoteReference w:id="20"/>
      </w:r>
      <w:r w:rsidRPr="00CE1F96">
        <w:t>,</w:t>
      </w:r>
    </w:p>
    <w:p w:rsidR="001F0A91" w:rsidRPr="00CE1F96" w:rsidRDefault="001F0A91" w:rsidP="001F0A91">
      <w:pPr>
        <w:pStyle w:val="NormalHanging12a"/>
      </w:pPr>
      <w:r w:rsidRPr="00CE1F96">
        <w:lastRenderedPageBreak/>
        <w:t>–</w:t>
      </w:r>
      <w:r w:rsidRPr="00CE1F96">
        <w:tab/>
        <w:t>atsižvelgdamas į 2022 m. spalio 19 d. Europos Parlamento ir Tarybos reglamentą (ES) 2022/2065 dėl bendrosios skaitmeninių paslaugų rinkos, kuriuo iš dalies keičiama Direktyva 2000/31/EB (Skaitmeninių paslaugų aktas)</w:t>
      </w:r>
      <w:r w:rsidRPr="00CE1F96">
        <w:rPr>
          <w:rStyle w:val="FootnoteReference"/>
        </w:rPr>
        <w:footnoteReference w:id="21"/>
      </w:r>
      <w:r w:rsidRPr="00CE1F96">
        <w:t>,</w:t>
      </w:r>
    </w:p>
    <w:p w:rsidR="001F0A91" w:rsidRPr="00CE1F96" w:rsidRDefault="001F0A91" w:rsidP="001F0A91">
      <w:pPr>
        <w:pStyle w:val="NormalHanging12a"/>
      </w:pPr>
      <w:r w:rsidRPr="00CE1F96">
        <w:t>–</w:t>
      </w:r>
      <w:r w:rsidRPr="00CE1F96">
        <w:tab/>
        <w:t>atsižvelgdamas į 2023 m. gegužės 10 d. Europos Parlamento ir Tarybos reglamentą (ES) 2023/988 dėl bendros gaminių saugos, kuriuo iš dalies keičiami Europos Parlamento ir Tarybos reglamentas (ES) Nr. 1025/2012 bei Europos Parlamento ir Tarybos direktyva (ES) 2020/1828 ir panaikinamos Europos Parlamento ir Tarybos direktyva 2001/95/EB bei Tarybos direktyva 87/357/EEB</w:t>
      </w:r>
      <w:r w:rsidRPr="00CE1F96">
        <w:rPr>
          <w:rStyle w:val="FootnoteReference"/>
        </w:rPr>
        <w:footnoteReference w:id="22"/>
      </w:r>
      <w:r w:rsidRPr="00CE1F96">
        <w:t>,</w:t>
      </w:r>
    </w:p>
    <w:p w:rsidR="001F0A91" w:rsidRPr="00CE1F96" w:rsidRDefault="001F0A91" w:rsidP="001F0A91">
      <w:pPr>
        <w:pStyle w:val="NormalHanging12a"/>
      </w:pPr>
      <w:r w:rsidRPr="00CE1F96">
        <w:t>–</w:t>
      </w:r>
      <w:r w:rsidRPr="00CE1F96">
        <w:tab/>
        <w:t>atsižvelgdamas į 2023 m. gegužės 31 d. Europos Parlamento ir Tarybos reglamentą (ES) 2023/1114 dėl kriptoturto rinkų, kuriuo iš dalies keičiami reglamentai (ES) Nr. 1093/2010 bei (ES) Nr. 1095/2010 ir direktyvos 2013/36/ES bei (ES) 2019/1937</w:t>
      </w:r>
      <w:r w:rsidRPr="00CE1F96">
        <w:rPr>
          <w:rStyle w:val="FootnoteReference"/>
        </w:rPr>
        <w:footnoteReference w:id="23"/>
      </w:r>
      <w:r w:rsidRPr="00CE1F96">
        <w:t>,</w:t>
      </w:r>
    </w:p>
    <w:p w:rsidR="001F0A91" w:rsidRPr="00CE1F96" w:rsidRDefault="001F0A91" w:rsidP="001F0A91">
      <w:pPr>
        <w:pStyle w:val="NormalHanging12a"/>
      </w:pPr>
      <w:r w:rsidRPr="00CE1F96">
        <w:t>–</w:t>
      </w:r>
      <w:r w:rsidRPr="00CE1F96">
        <w:tab/>
        <w:t>atsižvelgdamas į savo 2020 m. spalio 20 d. rezoliuciją dėl intelektinės nuosavybės teisių plėtojant dirbtinio intelekto technologijas (A9-0176/2020)</w:t>
      </w:r>
      <w:r w:rsidRPr="00CE1F96">
        <w:rPr>
          <w:rStyle w:val="FootnoteReference"/>
        </w:rPr>
        <w:footnoteReference w:id="24"/>
      </w:r>
      <w:r w:rsidRPr="00CE1F96">
        <w:t>,</w:t>
      </w:r>
    </w:p>
    <w:p w:rsidR="001F0A91" w:rsidRPr="00CE1F96" w:rsidRDefault="001F0A91" w:rsidP="001F0A91">
      <w:pPr>
        <w:pStyle w:val="NormalHanging12a"/>
      </w:pPr>
      <w:r w:rsidRPr="00CE1F96">
        <w:t>–</w:t>
      </w:r>
      <w:r w:rsidRPr="00CE1F96">
        <w:tab/>
        <w:t>atsižvelgdamas į Komisijos komunikatą Europos Parlamentui, Tarybai, Europos ekonomikos ir socialinių reikalų komitetui ir Regionų komitetui „Viso ES inovacinio potencialo išnaudojimas. Intelektinės nuosavybės veiksmų planas ES ekonomikai gaivinti ir jos atsparumui didinti“ (COM(2020)0760),</w:t>
      </w:r>
    </w:p>
    <w:p w:rsidR="001F0A91" w:rsidRPr="00CE1F96" w:rsidRDefault="001F0A91" w:rsidP="001F0A91">
      <w:pPr>
        <w:pStyle w:val="NormalHanging12a"/>
      </w:pPr>
      <w:r w:rsidRPr="00CE1F96">
        <w:t>–</w:t>
      </w:r>
      <w:r w:rsidRPr="00CE1F96">
        <w:tab/>
        <w:t>atsižvelgdamas į savo 2021 m. lapkričio 11 d. rezoliuciją dėl intelektinės nuosavybės veiksmų plano ES ekonomikai gaivinti ir jos atsparumui didinti</w:t>
      </w:r>
      <w:r w:rsidRPr="00CE1F96">
        <w:rPr>
          <w:rStyle w:val="FootnoteReference"/>
        </w:rPr>
        <w:footnoteReference w:id="25"/>
      </w:r>
      <w:r w:rsidRPr="00CE1F96">
        <w:t>,</w:t>
      </w:r>
    </w:p>
    <w:p w:rsidR="001F0A91" w:rsidRPr="00CE1F96" w:rsidRDefault="001F0A91" w:rsidP="001F0A91">
      <w:pPr>
        <w:pStyle w:val="NormalHanging12a"/>
      </w:pPr>
      <w:r w:rsidRPr="00CE1F96">
        <w:t>–</w:t>
      </w:r>
      <w:r w:rsidRPr="00CE1F96">
        <w:tab/>
        <w:t>atsižvelgdamas į 2023 m. liepos 11 d. Komisijos komunikatą „ES ketvirtosios kartos saityno ir virtualiųjų pasaulių iniciatyva: gera naujos technologinės pertvarkos pradžia“,</w:t>
      </w:r>
    </w:p>
    <w:p w:rsidR="001F0A91" w:rsidRPr="00CE1F96" w:rsidRDefault="001F0A91" w:rsidP="001F0A91">
      <w:pPr>
        <w:pStyle w:val="NormalHanging12a"/>
        <w:rPr>
          <w:b/>
          <w:i/>
        </w:rPr>
      </w:pPr>
      <w:r w:rsidRPr="00CE1F96">
        <w:rPr>
          <w:b/>
          <w:i/>
        </w:rPr>
        <w:t>–</w:t>
      </w:r>
      <w:r w:rsidRPr="00CE1F96">
        <w:rPr>
          <w:b/>
          <w:i/>
        </w:rPr>
        <w:tab/>
      </w:r>
      <w:r w:rsidRPr="00CE1F96">
        <w:t>atsižvelgdamas į 2022 m. gegužės 11 d. Komisijos komunikatą „Skaitmeninis dešimtmetis vaikams ir jaunimui: nauja Europos strategija dėl vaikams geresnio interneto (VGI+)“ (COM(2022)0212)</w:t>
      </w:r>
      <w:r w:rsidR="00D33C99">
        <w:t>)</w:t>
      </w:r>
      <w:bookmarkStart w:id="8" w:name="_GoBack"/>
      <w:bookmarkEnd w:id="8"/>
      <w:r w:rsidRPr="00CE1F96">
        <w:t>,</w:t>
      </w:r>
    </w:p>
    <w:p w:rsidR="001F0A91" w:rsidRPr="00CE1F96" w:rsidRDefault="001F0A91" w:rsidP="001F0A91">
      <w:pPr>
        <w:pStyle w:val="NormalHanging12a"/>
      </w:pPr>
      <w:r w:rsidRPr="00CE1F96">
        <w:t>–</w:t>
      </w:r>
      <w:r w:rsidRPr="00CE1F96">
        <w:tab/>
        <w:t>atsižvelgdamas į Darbo tvarkos taisyklių 54 straipsnį,</w:t>
      </w:r>
    </w:p>
    <w:p w:rsidR="001F0A91" w:rsidRPr="00CE1F96" w:rsidRDefault="001F0A91" w:rsidP="001F0A91">
      <w:pPr>
        <w:pStyle w:val="NormalHanging12a"/>
      </w:pPr>
      <w:r w:rsidRPr="00CE1F96">
        <w:t>–</w:t>
      </w:r>
      <w:r w:rsidRPr="00CE1F96">
        <w:tab/>
        <w:t>atsižvelgdamas į Teisės reikalų komiteto pranešimą (A9-0442/2023),</w:t>
      </w:r>
    </w:p>
    <w:p w:rsidR="001F0A91" w:rsidRPr="00CE1F96" w:rsidRDefault="001F0A91" w:rsidP="001F0A91">
      <w:pPr>
        <w:pStyle w:val="NormalHanging12a"/>
      </w:pPr>
      <w:r w:rsidRPr="00CE1F96">
        <w:t>A.</w:t>
      </w:r>
      <w:r w:rsidRPr="00CE1F96">
        <w:tab/>
        <w:t>kadangi virtualieji pasauliai dar nėra plačiai naudojami, nors jų diegimas įvairiais naudojimo atvejais įvairiuose sektoriuose padidino bendrą informuotumą ir atkreipė valdžios institucijų dėmesį;</w:t>
      </w:r>
    </w:p>
    <w:p w:rsidR="001F0A91" w:rsidRPr="00CE1F96" w:rsidRDefault="001F0A91" w:rsidP="001F0A91">
      <w:pPr>
        <w:pStyle w:val="NormalHanging12a"/>
      </w:pPr>
      <w:r w:rsidRPr="00CE1F96">
        <w:t>B.</w:t>
      </w:r>
      <w:r w:rsidRPr="00CE1F96">
        <w:tab/>
        <w:t>kadangi labai svarbu, kad ir toliau skatintume ir plėtotume naujas technologijas, pripažindami jų transformuojamąjį potencialą tokiose srityse kaip švietimas, kultūra, sveikatos priežiūra, žaidimai ir daugelis kitų, kartu šalindami riziką, kurią jos gali kelti;</w:t>
      </w:r>
    </w:p>
    <w:p w:rsidR="001F0A91" w:rsidRPr="00CE1F96" w:rsidRDefault="001F0A91" w:rsidP="001F0A91">
      <w:pPr>
        <w:pStyle w:val="NormalHanging12a"/>
      </w:pPr>
      <w:r w:rsidRPr="00CE1F96">
        <w:t>C.</w:t>
      </w:r>
      <w:r w:rsidRPr="00CE1F96">
        <w:tab/>
        <w:t xml:space="preserve">kadangi ekspertai teigia, kad vis dar gali prireikti 10–15 metų, jog būtų išnaudotas visas virtualiųjų pasaulių potencialas, ir kad jų plėtra ateinančiais metais gali turėti didelį poveikį skaitmeninei aplinkai, atnešdama ir galimybių, ir pavojų, į kuriuos reikia </w:t>
      </w:r>
      <w:r w:rsidRPr="00CE1F96">
        <w:lastRenderedPageBreak/>
        <w:t>atsižvelgti;</w:t>
      </w:r>
    </w:p>
    <w:p w:rsidR="001F0A91" w:rsidRPr="00CE1F96" w:rsidRDefault="001F0A91" w:rsidP="001F0A91">
      <w:pPr>
        <w:pStyle w:val="NormalHanging12a"/>
      </w:pPr>
      <w:r w:rsidRPr="00CE1F96">
        <w:t>D.</w:t>
      </w:r>
      <w:r w:rsidRPr="00CE1F96">
        <w:tab/>
        <w:t>kadangi skaitmeninis suverenumas yra priemonė skatinti Europos lyderystės ir strateginio savarankiškumo sampratą ir yra itin svarbus siekiant garantuoti ES gebėjimą formuoti teisės aktus skaitmeninės aplinkos srityje ir užtikrinti jų vykdymą, taip pasiekiant, kad virtualieji pasauliai būtų etiški, tvarūs ir orientuoti į žmogų, bei apsaugant ES pagrindines teises ir vertybes;</w:t>
      </w:r>
    </w:p>
    <w:p w:rsidR="001F0A91" w:rsidRPr="00CE1F96" w:rsidRDefault="001F0A91" w:rsidP="001F0A91">
      <w:pPr>
        <w:pStyle w:val="NormalHanging12a"/>
      </w:pPr>
      <w:r w:rsidRPr="00CE1F96">
        <w:rPr>
          <w:rStyle w:val="BoldItalic"/>
        </w:rPr>
        <w:t>Apibrėžtys</w:t>
      </w:r>
    </w:p>
    <w:p w:rsidR="001F0A91" w:rsidRPr="00CE1F96" w:rsidRDefault="001F0A91" w:rsidP="001F0A91">
      <w:pPr>
        <w:pStyle w:val="NormalHanging12a"/>
      </w:pPr>
      <w:r w:rsidRPr="00CE1F96">
        <w:t>1.</w:t>
      </w:r>
      <w:r w:rsidRPr="00CE1F96">
        <w:tab/>
        <w:t>pažymi, kad šiuo metu trūksta aiškių sąvokų „metavisata“ ir „virtualusis pasaulis“ apibrėžčių;</w:t>
      </w:r>
    </w:p>
    <w:p w:rsidR="001F0A91" w:rsidRPr="00CE1F96" w:rsidRDefault="001F0A91" w:rsidP="001F0A91">
      <w:pPr>
        <w:pStyle w:val="NormalHanging12a"/>
      </w:pPr>
      <w:r w:rsidRPr="00CE1F96">
        <w:t>2.</w:t>
      </w:r>
      <w:r w:rsidRPr="00CE1F96">
        <w:tab/>
        <w:t>atsižvelgdamas į tai, palankiai vertina į Komisijos komunikatą įtrauktą pasiūlymą dėl apibrėžties, kurioje daugiausia dėmesio skiriama pagrindinėms virtualiųjų pasaulių savybėms: „virtualieji pasauliai yra nuolatinė imersijos aplinka, pagrįsta technologijomis, įskaitant 3D ir išplėstinę realybę (XR), kuri leidžia derinti fizinį ir skaitmeninį pasaulius tikruoju laiku įvairiais tikslais, pavyzdžiui, projektuojant, modeliuojant, bendradarbiaujant, mokantis, bendraujant, vykdant sandorius ar teikiant pramogų paslaugas“; atkreipia dėmesį į tai, kad didelė dalis technologijų, vadinamų „virtualiaisiais pasauliais“, egzistuoja jau daug metų; pabrėžia, kad būsima Europos strategija turėtų būti grindžiama moksliniais tyrimais, moksliniais įrodymais ir aktualumu visuomenei;</w:t>
      </w:r>
    </w:p>
    <w:p w:rsidR="001F0A91" w:rsidRPr="00CE1F96" w:rsidRDefault="001F0A91" w:rsidP="001F0A91">
      <w:pPr>
        <w:pStyle w:val="NormalHanging12a"/>
      </w:pPr>
      <w:r w:rsidRPr="00CE1F96">
        <w:t>3.</w:t>
      </w:r>
      <w:r w:rsidRPr="00CE1F96">
        <w:tab/>
        <w:t>pabrėžia, kad labai svarbu skatinti standartizavimą ir sąveikumą, kad būtų visapusiškai plėtojama tarpusavyje sujungtų virtualiųjų pasaulių ekosistema;</w:t>
      </w:r>
    </w:p>
    <w:p w:rsidR="001F0A91" w:rsidRPr="00CE1F96" w:rsidRDefault="001F0A91" w:rsidP="001F0A91">
      <w:pPr>
        <w:pStyle w:val="NormalHanging12a"/>
        <w:rPr>
          <w:rStyle w:val="BoldItalic"/>
        </w:rPr>
      </w:pPr>
      <w:r w:rsidRPr="00CE1F96">
        <w:rPr>
          <w:rStyle w:val="BoldItalic"/>
        </w:rPr>
        <w:t>Tinkama etikos ir teisinė sistema</w:t>
      </w:r>
    </w:p>
    <w:p w:rsidR="001F0A91" w:rsidRPr="00CE1F96" w:rsidRDefault="001F0A91" w:rsidP="001F0A91">
      <w:pPr>
        <w:pStyle w:val="NormalHanging12a"/>
      </w:pPr>
      <w:r w:rsidRPr="00CE1F96">
        <w:t>4.</w:t>
      </w:r>
      <w:r w:rsidRPr="00CE1F96">
        <w:tab/>
        <w:t>pabrėžia, kad ES prieinami virtualieji pasauliai turėtų būti grindžiami etinėmis vertybėmis, principais ir pagrindinėmis teisėmis, įtvirtintais Europos Sąjungos pagrindinių teisių chartijoje</w:t>
      </w:r>
      <w:r w:rsidRPr="00CE1F96">
        <w:rPr>
          <w:vertAlign w:val="superscript"/>
        </w:rPr>
        <w:footnoteReference w:id="26"/>
      </w:r>
      <w:r w:rsidRPr="00CE1F96">
        <w:t xml:space="preserve"> ir galiojančiuose ES teisės aktuose, t. y. dėl duomenų privatumo, saugumo ir saugos standartų, dalijimosi duomenimis, turinio moderavimo, kovos su priekabiavimu ir neapykantą kurstančia kalba, kibernetinio saugumo, darbuotojų teisių, vartotojų ir vaikų apsaugos, prieinamumo reikalavimų, intelektinės nuosavybės teisių gerbimo, praktinės patirties ir komercinių paslapčių apsaugos, neleistino elgesio ir sukčiavimo internete prevencijos, taip pat dėl konkurencingų ir sąžiningų rinkų;</w:t>
      </w:r>
    </w:p>
    <w:p w:rsidR="001F0A91" w:rsidRPr="00CE1F96" w:rsidRDefault="001F0A91" w:rsidP="001F0A91">
      <w:pPr>
        <w:pStyle w:val="NormalHanging12a"/>
      </w:pPr>
      <w:r w:rsidRPr="00CE1F96">
        <w:t>5.</w:t>
      </w:r>
      <w:r w:rsidRPr="00CE1F96">
        <w:tab/>
        <w:t>primena, kad virtualieji pasauliai turėtų būti kuriami ir diegiami laikantis bendrojo principo, kad tai, kas neteisėta realiame gyvenime, turėtų būti neteisėta internete, užtikrinant, kad būtų visapusiškai gerbiamos žmonių, ypatingą dėmesį skiriant vaikams, kaip naudotojų, vartotojų, darbuotojų, investuotojų, teisių turėtojų ir kūrėjų, teisės;</w:t>
      </w:r>
    </w:p>
    <w:p w:rsidR="001F0A91" w:rsidRPr="00CE1F96" w:rsidRDefault="001F0A91" w:rsidP="001F0A91">
      <w:pPr>
        <w:pStyle w:val="NormalHanging12a"/>
      </w:pPr>
      <w:r w:rsidRPr="00CE1F96">
        <w:t>6.</w:t>
      </w:r>
      <w:r w:rsidRPr="00CE1F96">
        <w:tab/>
        <w:t>atkreipia dėmesį į tai, kad įvairiems virtualiųjų pasaulių aspektams jau taikomi šie konkretūs teisės aktai: Skaitmeninių paslaugų aktas; Skaitmeninių rinkų aktas; Duomenų valdymo aktas; Duomenų aktas; siūlomas DI aktas; Bendrasis duomenų apsaugos reglamentas</w:t>
      </w:r>
      <w:r w:rsidRPr="00CE1F96">
        <w:rPr>
          <w:rStyle w:val="FootnoteReference"/>
        </w:rPr>
        <w:footnoteReference w:id="27"/>
      </w:r>
      <w:r w:rsidRPr="00CE1F96">
        <w:t xml:space="preserve"> (BDAR); Reglamentas dėl bendros gaminių saugos; </w:t>
      </w:r>
      <w:r w:rsidRPr="00CE1F96">
        <w:lastRenderedPageBreak/>
        <w:t>Nesąžiningos komercinės veiklos direktyva; Kriptoturto rinkų reglamentas; Europos skaitmeninė tapatybė; Direktyva dėl autorių teisių bendrojoje skaitmeninėje rinkoje; Reglamentas dėl ES prekių ženklo; Direktyva dėl komercinių paslapčių apsaugos; Europos prieinamumo aktas; ir Saityno prieinamumo direktyva;</w:t>
      </w:r>
    </w:p>
    <w:p w:rsidR="001F0A91" w:rsidRPr="00CE1F96" w:rsidRDefault="001F0A91" w:rsidP="001F0A91">
      <w:pPr>
        <w:pStyle w:val="NormalHanging12a"/>
      </w:pPr>
      <w:r w:rsidRPr="00CE1F96">
        <w:t>7.</w:t>
      </w:r>
      <w:r w:rsidRPr="00CE1F96">
        <w:tab/>
        <w:t>pabrėžia, kad svarbu reguliariai stebėti, kaip laikomasi galiojančių teisinių priemonių, ir užtikrinti veiksmingą jų vykdymą; ragina Komisiją, bendradarbiaujant su įvairiais suinteresuotaisiais subjektais, įskaitant pilietinės visuomenės ir vartotojų apsaugos organizacijų atstovus ir akademinę bendruomenę, parengti gaires ir geriausią praktiką, paaiškinant, kokios teisinės pareigos ir atsakomybės pagal taikytiną ES teisę tenka kiekvienam su virtualiaisiais pasauliais susijusiam suinteresuotajam subjektui, pvz., platformų operatoriams, paslaugų teikėjams, kūrėjams ir naudotojams;</w:t>
      </w:r>
    </w:p>
    <w:p w:rsidR="001F0A91" w:rsidRPr="00CE1F96" w:rsidRDefault="001F0A91" w:rsidP="001F0A91">
      <w:pPr>
        <w:pStyle w:val="NormalHanging12a"/>
      </w:pPr>
      <w:r w:rsidRPr="00CE1F96">
        <w:t>8.</w:t>
      </w:r>
      <w:r w:rsidRPr="00CE1F96">
        <w:tab/>
        <w:t>pabrėžia, kad labai svarbu, jog Komisija reguliariai atliktų galiojančių taikomų teisinių priemonių tinkamumo patikras, konkrečiai dėl galimų Nesąžiningos komercinės veiklos direktyvos, Vartotojų teisių direktyvos</w:t>
      </w:r>
      <w:r w:rsidRPr="00CE1F96">
        <w:rPr>
          <w:rStyle w:val="FootnoteReference"/>
        </w:rPr>
        <w:footnoteReference w:id="28"/>
      </w:r>
      <w:r w:rsidRPr="00CE1F96">
        <w:t xml:space="preserve"> ir Nesąžiningų sutarčių sąlygų direktyvos</w:t>
      </w:r>
      <w:r w:rsidRPr="00CE1F96">
        <w:rPr>
          <w:rStyle w:val="FootnoteReference"/>
        </w:rPr>
        <w:footnoteReference w:id="29"/>
      </w:r>
      <w:r w:rsidRPr="00CE1F96">
        <w:t xml:space="preserve"> peržiūrų, ir pabrėžia, kad visuose būsimuose teisės aktuose dėl virtualiųjų pasaulių turėtų būti vengiama dubliavimosi ar nenuoseklumo, kartu prireikus užpildant spragas;</w:t>
      </w:r>
    </w:p>
    <w:p w:rsidR="001F0A91" w:rsidRPr="00CE1F96" w:rsidRDefault="001F0A91" w:rsidP="001F0A91">
      <w:pPr>
        <w:pStyle w:val="NormalHanging12a"/>
      </w:pPr>
      <w:r w:rsidRPr="00CE1F96">
        <w:t>9.</w:t>
      </w:r>
      <w:r w:rsidRPr="00CE1F96">
        <w:tab/>
        <w:t>pažymi, kad vis dėlto kai kurie reglamentavimo klausimai jau yra akivaizdūs privatinės tarptautinės, civilinės ir intelektinės nuosavybės teisės srityse, kaip nurodyta tolesniuose skirsniuose;</w:t>
      </w:r>
    </w:p>
    <w:p w:rsidR="001F0A91" w:rsidRPr="00CE1F96" w:rsidRDefault="001F0A91" w:rsidP="001F0A91">
      <w:pPr>
        <w:pStyle w:val="NormalHanging12a"/>
      </w:pPr>
      <w:r w:rsidRPr="00CE1F96">
        <w:t>10.</w:t>
      </w:r>
      <w:r w:rsidRPr="00CE1F96">
        <w:tab/>
        <w:t>pabrėžia, kad neseniai atlikti moksliniai tyrimai parodė, jog virtualiosios realybės jutiklių duomenys yra tokie pat unikalūs kaip pirštų atspaudų skenavimas ir gali būti naudojami įgyjant išsamios informacijos apie naudotojų asmenybę ir nustatant įvairius požymius, pvz., amžių, lytį, pajamas, etninę kilmę, negalios statusą, psichologinę būklę ir emocijas; mano, kad tai kelia didelių etinių ir teisinių problemų, ypač susijusių su tiksline vartotojų elgesiu grindžiama reklama, kurias reikėtų spręsti; pabrėžia, kad vienas iš šių etinių klausimų, susijusių su didžiulio kiekio asmens duomenų, įskaitant tokius neskelbtinus naudotojų duomenis kaip biometriniai ir elgsenos duomenys, informacija apie emocines reakcijas ir haptinė informacija, rinkimu, yra užtikrinti, kad naudotojai žinotų apie tai, kokie duomenys renkami, ir kad sutikimas rinkti tokius duomenis būtų gautas ne tik patekimo į virtualųjį pasaulį metu, bet ir kiekvienu naudojimo atveju, laikantis Bendrajame duomenų apsaugos reglamente nustatytų principų, pvz., integruotosios privatumo apsaugos ir tikslo apribojimo principų;</w:t>
      </w:r>
    </w:p>
    <w:p w:rsidR="001F0A91" w:rsidRPr="00CE1F96" w:rsidRDefault="001F0A91" w:rsidP="001F0A91">
      <w:pPr>
        <w:pStyle w:val="NormalHanging12a"/>
      </w:pPr>
      <w:r w:rsidRPr="00CE1F96">
        <w:t>11.</w:t>
      </w:r>
      <w:r w:rsidRPr="00CE1F96">
        <w:tab/>
        <w:t>pabrėžia, kad tais atvejais, kai pagal Sąjungos ar nacionalinę teisę, t. y. atsakomybės nustatymo tikslais, nereikalaujama nustatyti naudotojo tapatybės ir tai techniškai įmanoma ir pagrįsta, virtualiuosiuose pasauliuose turėtų būti leidžiama paslaugomis naudotis anonimiškai, taip suteikiant privatumo apsaugą, ir veiksmingai užkertamas kelias neteisėtam duomenų atskleidimui, tapatybės vagystėms ir kitoms piktnaudžiavimo internetu surinktais asmens duomenimis formoms;</w:t>
      </w:r>
    </w:p>
    <w:p w:rsidR="001F0A91" w:rsidRPr="00CE1F96" w:rsidRDefault="001F0A91" w:rsidP="001F0A91">
      <w:pPr>
        <w:pStyle w:val="NormalHanging12a"/>
      </w:pPr>
      <w:r w:rsidRPr="00CE1F96">
        <w:t>12.</w:t>
      </w:r>
      <w:r w:rsidRPr="00CE1F96">
        <w:tab/>
        <w:t xml:space="preserve">atsižvelgdamas į tai, pažymi, kad Komisijos komunikate pasiūlyti veiksmai, kuriais </w:t>
      </w:r>
      <w:r w:rsidRPr="00CE1F96">
        <w:lastRenderedPageBreak/>
        <w:t>siekiama didinti informuotumą, gerinti skaitmeninius įgūdžius ir raštingumą ir didinti naudotojų prieigą prie pagrindinių technologijų, visų pirma sudarant palankesnes sąlygas naudotis sparčiojo interneto infrastruktūra ir tinkama įranga, yra labai svarbūs siekiant išvengti skaitmeninės atskirties ir turėtų būti kuo greičiau įgyvendinti, kad būtų skatinama įtrauki ir konkurencinga skaitmeninė visuomenė ir užtikrinama, kad vykstant šiai sparčiai technologinei plėtrai nė vienas nebūtų paliktas nuošalyje;</w:t>
      </w:r>
    </w:p>
    <w:p w:rsidR="001F0A91" w:rsidRPr="00CE1F96" w:rsidRDefault="001F0A91" w:rsidP="001F0A91">
      <w:pPr>
        <w:pStyle w:val="NormalHanging12a"/>
      </w:pPr>
      <w:r w:rsidRPr="00CE1F96">
        <w:rPr>
          <w:rStyle w:val="BoldItalic"/>
        </w:rPr>
        <w:t>Tarptautinė privatinė teisė</w:t>
      </w:r>
    </w:p>
    <w:p w:rsidR="001F0A91" w:rsidRPr="00CE1F96" w:rsidRDefault="001F0A91" w:rsidP="001F0A91">
      <w:pPr>
        <w:pStyle w:val="NormalHanging12a"/>
      </w:pPr>
      <w:r w:rsidRPr="00CE1F96">
        <w:t>13.</w:t>
      </w:r>
      <w:r w:rsidRPr="00CE1F96">
        <w:tab/>
        <w:t>pabrėžia, kad kai kurie tradiciniai teritoriniai principai, susiję su taikytina teise ir jurisdikcija, gali pasirodyti netinkami virtualiesiems pasauliams, kurių neteritoriškumą lemia decentralizuotų technologijų, pvz., blokų grandinės, naudojimas, ir dėl to gali kilti problemų, susijusių su ES teisės taikymo užtikrinimu ir vartotojų bei įmonių teisių apsauga;</w:t>
      </w:r>
    </w:p>
    <w:p w:rsidR="001F0A91" w:rsidRPr="00CE1F96" w:rsidRDefault="001F0A91" w:rsidP="001F0A91">
      <w:pPr>
        <w:pStyle w:val="NormalHanging12a"/>
      </w:pPr>
      <w:r w:rsidRPr="00CE1F96">
        <w:t>14.</w:t>
      </w:r>
      <w:r w:rsidRPr="00CE1F96">
        <w:tab/>
        <w:t>konkrečiau, pažymi, kad, atsižvelgiant į tai, jog virtualieji pasauliai yra prieinami visiems bet kurioje pasaulio vietoje, Europos Sąjungos Teisingumo Teismo nustatytas vadinamasis mozaikinis kriterijus, pagal kurį nukentėjusysis subjektas gali reikalauti atlyginti žalą šalių, kuriose buvo padaryta bent dalis žalos, teismuose, gali negalioti; vis dėlto primena, kad Teismas nustatė papildomą kriterijų, pagal kurį nukentėjusieji subjektai gali reikalauti atlyginti žalą per šalies, kurioje yra jų pagrindinių interesų vieta, teismus, ir patvirtina, kad būtų galima apsvarstyti galimybę šį kriterijų kodifikuoti Reglamente „Briuselis I“;</w:t>
      </w:r>
    </w:p>
    <w:p w:rsidR="001F0A91" w:rsidRPr="00CE1F96" w:rsidRDefault="001F0A91" w:rsidP="001F0A91">
      <w:pPr>
        <w:pStyle w:val="NormalHanging12a"/>
      </w:pPr>
      <w:r w:rsidRPr="00CE1F96">
        <w:t>15.</w:t>
      </w:r>
      <w:r w:rsidRPr="00CE1F96">
        <w:tab/>
        <w:t>pažymi, kad „vartotojo“ apibrėžtis reglamente „Briuselis I“ šiuo metu grindžiama tiesioginiais sutartiniais santykiais, kurių nėra, pvz., tarp nepakeičiamojo žetono (NFT) emitento ir pirkėjo, kai nepakeičiamasis žetonas išleidžiamas į antrinę rinką; pažymi, kad dėl to ginčo su emitentu atveju galutinis pirkėjas netektų teisės į jurisdikcijos nustatymo tvarką, kuri pagal Reglamentą „Briuselis I“ suteikiama vartotojams;</w:t>
      </w:r>
    </w:p>
    <w:p w:rsidR="001F0A91" w:rsidRPr="00CE1F96" w:rsidRDefault="001F0A91" w:rsidP="001F0A91">
      <w:pPr>
        <w:pStyle w:val="NormalHanging12a"/>
      </w:pPr>
      <w:r w:rsidRPr="00CE1F96">
        <w:t>16.</w:t>
      </w:r>
      <w:r w:rsidRPr="00CE1F96">
        <w:tab/>
        <w:t>ragina Komisiją atsižvelgti į šias ir kitas galimas problemines situacijas ir įvertinti ES galiojančių tarptautinės privatinės teisės nuostatų tinkamumą, prireikus siūlant atitinkamus pakeitimus, siekiant užtikrinti, kad piliečiams ir įmonėms nereikėtų sistemingai bylinėtis užsienio teismuose arba pagal užsienio teisės aktus tam, kad apgintų savo teises, taip užtikrinant, kad jų teisės pagal ES reglamentavimo sistemą būtų visiškai garantuojamos, kartu turint omenyje palankesnio teisinio reglamentavimo ieškojimo riziką, ypač iš ne ES įmonių pusės;</w:t>
      </w:r>
    </w:p>
    <w:p w:rsidR="001F0A91" w:rsidRPr="00CE1F96" w:rsidRDefault="001F0A91" w:rsidP="001F0A91">
      <w:pPr>
        <w:pStyle w:val="NormalHanging12a"/>
      </w:pPr>
      <w:r w:rsidRPr="00CE1F96">
        <w:rPr>
          <w:rStyle w:val="BoldItalic"/>
        </w:rPr>
        <w:t>Civilinė teisė</w:t>
      </w:r>
    </w:p>
    <w:p w:rsidR="001F0A91" w:rsidRPr="00CE1F96" w:rsidRDefault="001F0A91" w:rsidP="001F0A91">
      <w:pPr>
        <w:pStyle w:val="NormalHanging12a"/>
      </w:pPr>
      <w:r w:rsidRPr="00CE1F96">
        <w:t>17.</w:t>
      </w:r>
      <w:r w:rsidRPr="00CE1F96">
        <w:tab/>
        <w:t>pažymi, kad tikimasi, jog per ateinantį dešimtmetį komercinių sandorių skaičius ir ekonominė svarba virtualiuosiuose pasauliuose didės; atsižvelgdamas į tai pabrėžia, jog reikia užtikrinti, kad virtualių prekių tiekėjai ir paslaugų teikėjai būtų identifikuojami ir laikomi atsakingais už bet kokią jų produktų daromą žalą;</w:t>
      </w:r>
    </w:p>
    <w:p w:rsidR="001F0A91" w:rsidRPr="00CE1F96" w:rsidRDefault="001F0A91" w:rsidP="001F0A91">
      <w:pPr>
        <w:pStyle w:val="NormalHanging12a"/>
      </w:pPr>
      <w:r w:rsidRPr="00CE1F96">
        <w:t>18.</w:t>
      </w:r>
      <w:r w:rsidRPr="00CE1F96">
        <w:tab/>
        <w:t>atkreipia dėmesį į susirūpinimą, kurį kelia reklamos metodai, naudojami parduodant vadinamąjį virtualų nekilnojamąjį turtą, pvz., pastatą ar žemės sklypą virtualiajame pasaulyje kaip NFT, nes naudotojai gali būti suklaidinti ir manyti, kad jie iš tikrųjų įgyja nuosavybės teises, nors praktiškai gauna tik licenciją naudotis virtualia žeme; pabrėžia, kad svarbu užtikrinti, jog taikomos sąlygos būtų skaidrios, aiškios, teisingos ir lengvai suprantamos, ypač atsižvelgiant į tai, kad paaiškėjo, jog naudotojai dažnai neskaito sąlygų dėl painaus ir techninio jų pobūdžio;</w:t>
      </w:r>
    </w:p>
    <w:p w:rsidR="001F0A91" w:rsidRPr="00CE1F96" w:rsidRDefault="001F0A91" w:rsidP="001F0A91">
      <w:pPr>
        <w:pStyle w:val="NormalHanging12a"/>
      </w:pPr>
      <w:r w:rsidRPr="00CE1F96">
        <w:lastRenderedPageBreak/>
        <w:t>19.</w:t>
      </w:r>
      <w:r w:rsidRPr="00CE1F96">
        <w:tab/>
        <w:t>primena, kad atsakomybės taisyklės turėtų būti visapusiškai taikomos virtualiesiems pasauliams, ir pabrėžia, kad svarbu nustatyti veiksmingas priemones, kuriomis būtų užkirstas kelias bet kokios formos žalingam elgesiui, būtų kovojama su tokiu elgesiu ir remiantis pagrindinėmis teisėmis būtų užtikrinamas teisės aktų vykdymas virtualiuosiuose pasauliuose, įskaitant, kai tinkama ir nedarant poveikio teisei naudotis teisminėmis teisių gynimo priemonėmis, pranešimo ir ginčų sprendimo mechanizmų sukūrimą;</w:t>
      </w:r>
    </w:p>
    <w:p w:rsidR="001F0A91" w:rsidRPr="00CE1F96" w:rsidRDefault="001F0A91" w:rsidP="001F0A91">
      <w:pPr>
        <w:pStyle w:val="NormalHanging12a"/>
      </w:pPr>
      <w:r w:rsidRPr="00CE1F96">
        <w:t>20.</w:t>
      </w:r>
      <w:r w:rsidRPr="00CE1F96">
        <w:tab/>
        <w:t>yra susirūpinęs dėl to, kad naudojant pseudoportretus ir decentralizuotas sistemas, pvz., grindžiamas blokų grandinės technologija, gali būti labai sunku reikalauti, kad žalą sukėlę asmenys būtų atskaitingi; mano, kad labai svarbu įgyvendinti veiksmingas tapatybės valdymo sistemas, kad būtų galima tinkamai ir laiku jas identifikuoti ir kovoti su suklastotomis tapatybėmis, taip pat atsižvelgiant į ypatumus, susijusius su decentralizuotų autonominių organizacijų valdymu ir kolektyvine atsakomybe; atsižvelgdamas į tai, palankiai vertina Komisijos ketinimą išnagrinėti galimos decentralizuotoms autonominėms organizacijoms skirtos teisinės sistemos pridėtinę vertę;</w:t>
      </w:r>
    </w:p>
    <w:p w:rsidR="001F0A91" w:rsidRPr="00CE1F96" w:rsidRDefault="001F0A91" w:rsidP="001F0A91">
      <w:pPr>
        <w:pStyle w:val="NormalHanging12a"/>
      </w:pPr>
      <w:r w:rsidRPr="00CE1F96">
        <w:t>21.</w:t>
      </w:r>
      <w:r w:rsidRPr="00CE1F96">
        <w:tab/>
        <w:t>primena, kad pseudoportretai neturi juridinio asmens statuso, todėl visi su jų veiksnumu, teisėmis, pareigomis ir atsakomybe susiję klausimai turi būti sprendžiami nurodant jais besinaudojančius fizinius ar juridinius asmenis; mano, kad, kadangi virtualieji pasauliai vystosi ir tampa vis sudėtingesni, reikėtų apsvarstyti galimybę pseudoportretams suteikti specialų teisinį statusą; mano, kad turėtų būti galima identifikuoti pseudoportretą arba asmenį, kuris tuo pseudoportretu naudojasi, ir turėtų būti taikomas principas „pažink savo verslo klientą“;</w:t>
      </w:r>
    </w:p>
    <w:p w:rsidR="001F0A91" w:rsidRPr="00CE1F96" w:rsidRDefault="001F0A91" w:rsidP="001F0A91">
      <w:pPr>
        <w:pStyle w:val="NormalHanging12a"/>
      </w:pPr>
      <w:r w:rsidRPr="00CE1F96">
        <w:rPr>
          <w:rStyle w:val="BoldItalic"/>
        </w:rPr>
        <w:t>Intelektinės nuosavybės teisė</w:t>
      </w:r>
    </w:p>
    <w:p w:rsidR="001F0A91" w:rsidRPr="00CE1F96" w:rsidRDefault="001F0A91" w:rsidP="001F0A91">
      <w:pPr>
        <w:pStyle w:val="NormalHanging12a"/>
      </w:pPr>
      <w:r w:rsidRPr="00CE1F96">
        <w:t>22.</w:t>
      </w:r>
      <w:r w:rsidRPr="00CE1F96">
        <w:tab/>
        <w:t>pabrėžia, kad ES intelektinės ir pramoninės nuosavybės teisių, įskaitant autorių teises, prekių ženklus, patentus, dizainą ir komercines paslaptis, apsaugos teisės aktai visapusiškai taikomi virtualiesiems pasauliams; vis dėlto pabrėžia, kad virtualiųjų pasaulių plėtra kelia naujų iššūkių, susijusių su intelektinės nuosavybės teisių užtikrinimu, pažeidėjų nustatymu ir klausimais kolizinių normų dėl taikytinos teisės ir jurisdikcijos srityje;</w:t>
      </w:r>
    </w:p>
    <w:p w:rsidR="001F0A91" w:rsidRPr="00CE1F96" w:rsidRDefault="001F0A91" w:rsidP="001F0A91">
      <w:pPr>
        <w:pStyle w:val="NormalHanging12a"/>
      </w:pPr>
      <w:r w:rsidRPr="00CE1F96">
        <w:t>23.</w:t>
      </w:r>
      <w:r w:rsidRPr="00CE1F96">
        <w:tab/>
        <w:t>primena, kad platformų operatoriai, paslaugų teikėjai ir virtualiųjų pasaulių naudotojai privalo gerbti išimtines teisių turėtojų teises ir jų teisę į teisingą atlyginimą; pabrėžia, kad intelektinės nuosavybės teisių saugomo turinio, įskaitant skaitmenine forma elektroninėje laikmenoje, pvz., NFT, naudojimui reikia gauti leidimą licencijuojant arba perleidžiant teises, išskyrus atvejus, kai jam taikoma kokia nors intelektinės nuosavybės teisių apsaugos išimtis ar apribojimas (pvz., asmeninės kopijos, švietimo, mokslinių tyrimų, citavimo, recenzijos, parodijos ar pastišo tikslais); šiuo atžvilgiu pakartoja, kad svarbu, jog teikėjai užtikrintų licencijų, įskaitant teritorines licencijas, taikymo srities skaidrumą, siekiant užtikrinti, kad naudotojai galėtų nustatyti, kokiems intelektinės nuosavybės teisių saugomo turinio naudojimo būdams virtualiuosiuose pasauliuose taikomos jų turimos licencijos, ir kad kūrėjai bei teisių turėtojai galėtų gauti tikslias ir tinkamas ataskaitas apie konkretų saugomų kūrinių panaudojimą;</w:t>
      </w:r>
    </w:p>
    <w:p w:rsidR="001F0A91" w:rsidRPr="00CE1F96" w:rsidRDefault="001F0A91" w:rsidP="001F0A91">
      <w:pPr>
        <w:pStyle w:val="NormalHanging12a"/>
      </w:pPr>
      <w:r w:rsidRPr="00CE1F96">
        <w:t>24.</w:t>
      </w:r>
      <w:r w:rsidRPr="00CE1F96">
        <w:tab/>
        <w:t xml:space="preserve">palankiai vertina tai, kad atnaujinta dvyliktoji Nicos klasifikacija, pagal kurią leidžiama registruoti prekių ženklus pagal klases, apimančias jų naudojimą virtualiuosiuose pasauliuose; ragina atidžiai stebėti konkretų šios klasifikacijos taikymą; vis dėlto yra susirūpinęs dėl su prekių ženklais susietų nepakeičiamųjų žetonų naudojimo be jų </w:t>
      </w:r>
      <w:r w:rsidRPr="00CE1F96">
        <w:lastRenderedPageBreak/>
        <w:t>savininkų leidimo ir ragina įgyvendinti veiksmingas priemones šiems ir kitiems pažeidimų atvejams spręsti; atsižvelgdamas į tai, palankiai vertina Komisijos pasiūlymą parengti kovos su klastojimu priemonių rinkinį;</w:t>
      </w:r>
    </w:p>
    <w:p w:rsidR="001F0A91" w:rsidRPr="00CE1F96" w:rsidRDefault="001F0A91" w:rsidP="001F0A91">
      <w:pPr>
        <w:pStyle w:val="NormalHanging12a"/>
      </w:pPr>
      <w:r w:rsidRPr="00CE1F96">
        <w:t>25.</w:t>
      </w:r>
      <w:r w:rsidRPr="00CE1F96">
        <w:tab/>
        <w:t>pripažįsta, kad galima taikyti Skaitmeninių paslaugų akte nustatytas atsakomybės taisykles ir Autorių teisių direktyvos 17 straipsnyje nustatytą specialią tvarką, skirtą naudotojų sukurto turinio įkėlimui; vis dėlto mano, kad reikia išsamiau išaiškinti, kaip esamos taisyklės turėtų būti taikomos internetinėms dalijimosi turiniu paslaugoms, kurias teikiant turinys tampa prieinamas virtualiuosiuose pasauliuose, ir kaip jos turėtų būti įgyvendinamos;</w:t>
      </w:r>
    </w:p>
    <w:p w:rsidR="001F0A91" w:rsidRPr="00CE1F96" w:rsidRDefault="001F0A91" w:rsidP="001F0A91">
      <w:pPr>
        <w:pStyle w:val="NormalHanging12a"/>
      </w:pPr>
      <w:r w:rsidRPr="00CE1F96">
        <w:t>26.</w:t>
      </w:r>
      <w:r w:rsidRPr="00CE1F96">
        <w:tab/>
        <w:t>pabrėžia, kad nepakeičiamieji žetonai nesuteikia jokių intelektinės nuosavybės teisių į skaitmeninį turtą, ir atkreipia dėmesį, kad reikia didesnio aiškumo ir skaidrumo, kad būtų išvengta sukčiavimo ir to, kad dažnai painiojama teisė į patį žetoną ir teisė į juo žymimą saugomą turinį;</w:t>
      </w:r>
    </w:p>
    <w:p w:rsidR="001F0A91" w:rsidRPr="00CE1F96" w:rsidRDefault="001F0A91" w:rsidP="001F0A91">
      <w:pPr>
        <w:pStyle w:val="NormalHanging12a"/>
      </w:pPr>
      <w:r w:rsidRPr="00CE1F96">
        <w:t>27.</w:t>
      </w:r>
      <w:r w:rsidRPr="00CE1F96">
        <w:tab/>
        <w:t xml:space="preserve">pažymi, kad nepakečiamieji žetonai ir kiti blokų grandine grindžiami sprendimai padeda atliekant internetinius sandorius nuolat perparduoti turtą, kurio pagrindas – autorių teisių saugomi kūriniai, ir mano, kad reikia užtikrinti tinkamą ir proporcingą atlygį autoriams už kiekvieną tokio turto perpardavimą; </w:t>
      </w:r>
    </w:p>
    <w:p w:rsidR="001F0A91" w:rsidRPr="00CE1F96" w:rsidRDefault="001F0A91" w:rsidP="001F0A91">
      <w:pPr>
        <w:pStyle w:val="NormalHanging12a"/>
      </w:pPr>
      <w:r w:rsidRPr="00CE1F96">
        <w:t>28.</w:t>
      </w:r>
      <w:r w:rsidRPr="00CE1F96">
        <w:tab/>
        <w:t>primena, kad pagal dabartines taisykles dirbtinio intelekto sistemų savarankiškai sugeneruotiems išvediniams negali būti taikoma autorių teisių apsauga, nes originalumo principas yra susietas su fiziniu asmeniu, o sąvoka „intelektinė kūryba“ neatsiejama nuo autoriaus asmenybės; taip pat primena skirtumą tarp žmogaus kūrinių, kuriems sukurti naudojamas dirbtinis intelektas, ir dirbtinio intelekto savarankiškai sugeneruotų išvedinių; primena, kad, nors dabartinė intelektinės nuosavybės sistema ir toliau taikoma kūriniams, kuriems sukurti naudojamas dirbtinis intelektas, dėl dirbtinio intelekto savarankiškai sugeneruotų išvedinių kyla naujų reguliavimo iššūkių intelektinės nuosavybės teisių apsaugos srityje, pvz., dėl nuosavybės, autorystės, išradimo, tinkamo atlygio ir su galima rinkos koncentracija susijusių klausimų; palankiai vertina Komisijos intelektinės nuosavybės veiksmų plane nustatytą įsipareigojimą dalyvauti suinteresuotųjų subjektų diskusijose apie tai, kaip spręsti problemas, kylančias dėl išradimų ir kūrinių, sukurtų naudojant dirbtinį intelektą; ragina Komisiją apsvarstyti galimybę išplėsti šio dialogo aprėptį, kad ji apimtų daugumą su dirbtiniu intelektu susijusių klausimų, įskaitant generatyvinį DI;</w:t>
      </w:r>
    </w:p>
    <w:p w:rsidR="001F0A91" w:rsidRPr="00CE1F96" w:rsidRDefault="001F0A91" w:rsidP="001F0A91">
      <w:pPr>
        <w:pStyle w:val="NormalHanging12a"/>
        <w:rPr>
          <w:rStyle w:val="BoldItalic"/>
        </w:rPr>
      </w:pPr>
      <w:r w:rsidRPr="00CE1F96">
        <w:rPr>
          <w:rStyle w:val="BoldItalic"/>
        </w:rPr>
        <w:t>Prieinamumas ir skaitmeninis raštingumas</w:t>
      </w:r>
    </w:p>
    <w:p w:rsidR="001F0A91" w:rsidRPr="00CE1F96" w:rsidRDefault="001F0A91" w:rsidP="001F0A91">
      <w:pPr>
        <w:pStyle w:val="NormalHanging12a"/>
      </w:pPr>
      <w:r w:rsidRPr="00CE1F96">
        <w:t>29.</w:t>
      </w:r>
      <w:r w:rsidRPr="00CE1F96">
        <w:tab/>
        <w:t>pabrėžia, kad virtualieji pasauliai gali pasiūlyti galimybių teikti bendrojo intereso viešąsias paslaugas platesnei piliečių naudai; vis dėlto pabrėžia, kad turi būti užtikrintas visų ES naudotojų įtraukimas ir jiems suteikiamas prieinamumas tiek aparatinės įrangos sąnaudų ir naudojimo, tiek programinės įrangos supratimo požiūriu; pažymi, kad prieinamumas yra ypač svarbus siekiant užtikrinti, kad pažeidžiamos gyventojų grupės, pvz., vyresnio amžiaus asmenys, asmenys su negalia, vaikai ir kaimo bei atokiose vietovėse gyvenantys asmenys, įgytų būtinų skaitmeninių įgūdžių, kad galėtų dalyvauti virtualiuosiuose pasauliuose, ir turėtų būti atsižvelgiama į tokius aspektus kaip geografinė padėtis, lytis, išsilavinimas ir socialinė bei ekonominė padėtis;</w:t>
      </w:r>
    </w:p>
    <w:p w:rsidR="001F0A91" w:rsidRPr="00CE1F96" w:rsidRDefault="001F0A91" w:rsidP="001F0A91">
      <w:pPr>
        <w:pStyle w:val="NormalHanging12a"/>
      </w:pPr>
      <w:r w:rsidRPr="00CE1F96">
        <w:t>30.</w:t>
      </w:r>
      <w:r w:rsidRPr="00CE1F96">
        <w:tab/>
        <w:t xml:space="preserve">atsižvelgdamas į tai, priduria, kad skaitmeninis raštingumas yra itin svarbus siekiant užtikrinti saugų ir socialiniu požiūriu naudingą virtualiųjų pasaulių įsisavinimą ir informacija pagrįstą bei atsakingą naudojimą, išvengti naudotojų priklausomybę </w:t>
      </w:r>
      <w:r w:rsidRPr="00CE1F96">
        <w:lastRenderedPageBreak/>
        <w:t>skatinančių, šališkų ir diskriminacinių praktikų, spręsti dezinformacijos, manipuliacijos ir piktnaudžiavimo virtualiojoje aplinkoje problemas ir skatinti demokratinę kontrolę;</w:t>
      </w:r>
    </w:p>
    <w:p w:rsidR="001F0A91" w:rsidRPr="00CE1F96" w:rsidRDefault="001F0A91" w:rsidP="001F0A91">
      <w:pPr>
        <w:pStyle w:val="NormalHanging12a"/>
      </w:pPr>
      <w:r w:rsidRPr="00CE1F96">
        <w:t>31.</w:t>
      </w:r>
      <w:r w:rsidRPr="00CE1F96">
        <w:tab/>
        <w:t>pabrėžia, kad reikia įdiegti veiksmingas švietimo priemones, kad būtų užtikrinamas platus piliečių raštingumas virtualiojo pasaulio srityje ir keliama įvairių sričių specialistų, t. y. mokytojų, kvalifikacija, taip pat skatinamas ir remiamas Europos talentų ugdymas ir technologijų plėtra, kartu pritraukiant daugiau žmonių, taip pat ir daugiau moterų, į gamtos mokslų, technologijų, inžinerijos ir matematikos sritis;</w:t>
      </w:r>
    </w:p>
    <w:p w:rsidR="001F0A91" w:rsidRPr="00CE1F96" w:rsidRDefault="001F0A91" w:rsidP="001F0A91">
      <w:pPr>
        <w:pStyle w:val="NormalHanging12a"/>
      </w:pPr>
      <w:r w:rsidRPr="00CE1F96">
        <w:t>32.</w:t>
      </w:r>
      <w:r w:rsidRPr="00CE1F96">
        <w:tab/>
        <w:t>rekomenduoja toliau plėtoti plačiajai visuomenei skirtą virtualiųjų pasaulių priemonių rinkinį, kaip nurodyta Komisijos komunikate, atsižvelgiant į piliečių forumo rekomendacijas, siekiant padėti piliečiams geriau suprasti, kaip valdyti savo virtualią tapatybę, virtualius kūrinius, virtualų turtą ir duomenis, ir prisidėti prie visapusiškos ES virtualiųjų pasaulių strategijos, kuri būtų tvari ir orientuota į žmogų;</w:t>
      </w:r>
    </w:p>
    <w:p w:rsidR="001F0A91" w:rsidRPr="00CE1F96" w:rsidRDefault="001F0A91" w:rsidP="001F0A91">
      <w:pPr>
        <w:pStyle w:val="NormalHanging12a"/>
      </w:pPr>
      <w:r w:rsidRPr="00CE1F96">
        <w:t>33.</w:t>
      </w:r>
      <w:r w:rsidRPr="00CE1F96">
        <w:tab/>
        <w:t>palankiai vertina, kaip pažymėjo Komisija, teigiamą ES atvirojo kodo bendruomenės indėlį plėtojant pagrindines virtualiųjų pasaulių savybes, pvz., susijusias su paskirstytojo registro technologijos ir kitų technologijų, reikalingų virtualių objektų ir tapatybių autentiškumui, valdymui ir saugumui užtikrinti, naudojimu;</w:t>
      </w:r>
    </w:p>
    <w:p w:rsidR="001F0A91" w:rsidRPr="00CE1F96" w:rsidRDefault="001F0A91" w:rsidP="001F0A91">
      <w:pPr>
        <w:pStyle w:val="NormalHanging12a"/>
        <w:jc w:val="center"/>
      </w:pPr>
      <w:r w:rsidRPr="00CE1F96">
        <w:t>°</w:t>
      </w:r>
    </w:p>
    <w:p w:rsidR="001F0A91" w:rsidRPr="00CE1F96" w:rsidRDefault="001F0A91" w:rsidP="001F0A91">
      <w:pPr>
        <w:pStyle w:val="NormalHanging12a"/>
        <w:jc w:val="center"/>
      </w:pPr>
      <w:r w:rsidRPr="00CE1F96">
        <w:t>°</w:t>
      </w:r>
      <w:r w:rsidRPr="00CE1F96">
        <w:tab/>
        <w:t>°</w:t>
      </w:r>
    </w:p>
    <w:p w:rsidR="001F0A91" w:rsidRPr="00CE1F96" w:rsidRDefault="001F0A91" w:rsidP="001F0A91">
      <w:pPr>
        <w:pStyle w:val="NormalHanging12a"/>
      </w:pPr>
      <w:r w:rsidRPr="00CE1F96">
        <w:t>34.</w:t>
      </w:r>
      <w:r w:rsidRPr="00CE1F96">
        <w:tab/>
        <w:t>paveda Pirmininkei perduoti šią rezoliuciją Tarybai ir Komisijai.</w:t>
      </w:r>
    </w:p>
    <w:p w:rsidR="00E365E1" w:rsidRPr="00CE1F96" w:rsidRDefault="00E365E1" w:rsidP="007D2563">
      <w:pPr>
        <w:widowControl/>
      </w:pPr>
      <w:bookmarkStart w:id="9" w:name="TextBodyEnd"/>
      <w:bookmarkEnd w:id="9"/>
    </w:p>
    <w:sectPr w:rsidR="00E365E1" w:rsidRPr="00CE1F96" w:rsidSect="00CE1F9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3DA7" w:rsidRPr="00CE1F96" w:rsidRDefault="00003DA7">
      <w:r w:rsidRPr="00CE1F96">
        <w:separator/>
      </w:r>
    </w:p>
  </w:endnote>
  <w:endnote w:type="continuationSeparator" w:id="0">
    <w:p w:rsidR="00003DA7" w:rsidRPr="00CE1F96" w:rsidRDefault="00003DA7">
      <w:r w:rsidRPr="00CE1F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3DA7" w:rsidRPr="00CE1F96" w:rsidRDefault="00003DA7">
      <w:r w:rsidRPr="00CE1F96">
        <w:separator/>
      </w:r>
    </w:p>
  </w:footnote>
  <w:footnote w:type="continuationSeparator" w:id="0">
    <w:p w:rsidR="00003DA7" w:rsidRPr="00CE1F96" w:rsidRDefault="00003DA7">
      <w:r w:rsidRPr="00CE1F96">
        <w:continuationSeparator/>
      </w:r>
    </w:p>
  </w:footnote>
  <w:footnote w:id="1">
    <w:p w:rsidR="001F0A91" w:rsidRPr="001868D0" w:rsidRDefault="001F0A91" w:rsidP="00CE1F96">
      <w:pPr>
        <w:pStyle w:val="FootnoteText"/>
        <w:ind w:left="567" w:hanging="567"/>
        <w:rPr>
          <w:sz w:val="24"/>
          <w:lang w:val="lt-LT"/>
        </w:rPr>
      </w:pPr>
      <w:r w:rsidRPr="00CE1F96">
        <w:rPr>
          <w:rStyle w:val="FootnoteReference"/>
          <w:sz w:val="24"/>
          <w:lang w:val="lt-LT"/>
        </w:rPr>
        <w:footnoteRef/>
      </w:r>
      <w:r w:rsidR="00CE1F96" w:rsidRPr="00CE1F96">
        <w:rPr>
          <w:sz w:val="24"/>
          <w:lang w:val="lt-LT"/>
        </w:rPr>
        <w:t xml:space="preserve"> </w:t>
      </w:r>
      <w:r w:rsidR="00CE1F96" w:rsidRPr="00CE1F96">
        <w:rPr>
          <w:sz w:val="24"/>
          <w:lang w:val="lt-LT"/>
        </w:rPr>
        <w:tab/>
      </w:r>
      <w:r w:rsidR="00363FF2" w:rsidRPr="007D2563">
        <w:t>OL L 77, 1996 3 27, p. 20</w:t>
      </w:r>
      <w:r w:rsidRPr="00363FF2">
        <w:rPr>
          <w:sz w:val="24"/>
          <w:lang w:val="lt-LT"/>
        </w:rPr>
        <w:t>.</w:t>
      </w:r>
    </w:p>
  </w:footnote>
  <w:footnote w:id="2">
    <w:p w:rsidR="001F0A91" w:rsidRPr="001868D0" w:rsidRDefault="001F0A91" w:rsidP="00CE1F96">
      <w:pPr>
        <w:pStyle w:val="FootnoteText"/>
        <w:ind w:left="567" w:hanging="567"/>
        <w:rPr>
          <w:sz w:val="24"/>
          <w:lang w:val="lt-LT"/>
        </w:rPr>
      </w:pPr>
      <w:r w:rsidRPr="00363FF2">
        <w:rPr>
          <w:rStyle w:val="FootnoteReference"/>
          <w:sz w:val="24"/>
          <w:lang w:val="lt-LT"/>
        </w:rPr>
        <w:footnoteRef/>
      </w:r>
      <w:r w:rsidR="00CE1F96" w:rsidRPr="00363FF2">
        <w:rPr>
          <w:sz w:val="24"/>
          <w:lang w:val="lt-LT"/>
        </w:rPr>
        <w:t xml:space="preserve"> </w:t>
      </w:r>
      <w:r w:rsidR="00CE1F96" w:rsidRPr="00363FF2">
        <w:rPr>
          <w:sz w:val="24"/>
          <w:lang w:val="lt-LT"/>
        </w:rPr>
        <w:tab/>
      </w:r>
      <w:r w:rsidR="00363FF2" w:rsidRPr="007D2563">
        <w:t>OL L 149, 2005 6 11, p. 22</w:t>
      </w:r>
      <w:r w:rsidRPr="00363FF2">
        <w:rPr>
          <w:sz w:val="24"/>
          <w:lang w:val="lt-LT"/>
        </w:rPr>
        <w:t>.</w:t>
      </w:r>
    </w:p>
  </w:footnote>
  <w:footnote w:id="3">
    <w:p w:rsidR="001F0A91" w:rsidRPr="00A74A6A" w:rsidRDefault="001F0A91" w:rsidP="00CE1F96">
      <w:pPr>
        <w:pStyle w:val="FootnoteText"/>
        <w:ind w:left="567" w:hanging="567"/>
        <w:rPr>
          <w:sz w:val="24"/>
          <w:lang w:val="lt-LT"/>
        </w:rPr>
      </w:pPr>
      <w:r w:rsidRPr="00CE1F96">
        <w:rPr>
          <w:rStyle w:val="FootnoteReference"/>
          <w:sz w:val="24"/>
          <w:lang w:val="lt-LT"/>
        </w:rPr>
        <w:footnoteRef/>
      </w:r>
      <w:r w:rsidR="00CE1F96" w:rsidRPr="00CE1F96">
        <w:rPr>
          <w:sz w:val="24"/>
          <w:lang w:val="lt-LT"/>
        </w:rPr>
        <w:t xml:space="preserve"> </w:t>
      </w:r>
      <w:r w:rsidR="00CE1F96" w:rsidRPr="00CE1F96">
        <w:rPr>
          <w:sz w:val="24"/>
          <w:lang w:val="lt-LT"/>
        </w:rPr>
        <w:tab/>
      </w:r>
      <w:r w:rsidR="001868D0" w:rsidRPr="007D2563">
        <w:t>OL L 199, 2007 7 31, p. 40</w:t>
      </w:r>
      <w:r w:rsidRPr="001868D0">
        <w:rPr>
          <w:sz w:val="24"/>
          <w:lang w:val="lt-LT"/>
        </w:rPr>
        <w:t>.</w:t>
      </w:r>
    </w:p>
  </w:footnote>
  <w:footnote w:id="4">
    <w:p w:rsidR="001F0A91" w:rsidRPr="00A74A6A" w:rsidRDefault="001F0A91" w:rsidP="00CE1F96">
      <w:pPr>
        <w:pStyle w:val="FootnoteText"/>
        <w:ind w:left="567" w:hanging="567"/>
        <w:rPr>
          <w:sz w:val="24"/>
          <w:lang w:val="lt-LT"/>
        </w:rPr>
      </w:pPr>
      <w:r w:rsidRPr="001868D0">
        <w:rPr>
          <w:rStyle w:val="FootnoteReference"/>
          <w:sz w:val="24"/>
          <w:lang w:val="lt-LT"/>
        </w:rPr>
        <w:footnoteRef/>
      </w:r>
      <w:r w:rsidR="00CE1F96" w:rsidRPr="001868D0">
        <w:rPr>
          <w:sz w:val="24"/>
          <w:lang w:val="lt-LT"/>
        </w:rPr>
        <w:t xml:space="preserve"> </w:t>
      </w:r>
      <w:r w:rsidR="00CE1F96" w:rsidRPr="001868D0">
        <w:rPr>
          <w:sz w:val="24"/>
          <w:lang w:val="lt-LT"/>
        </w:rPr>
        <w:tab/>
      </w:r>
      <w:r w:rsidR="001868D0" w:rsidRPr="007D2563">
        <w:t>OL L 177, 2008 7 4, p. 6</w:t>
      </w:r>
      <w:r w:rsidRPr="001868D0">
        <w:rPr>
          <w:sz w:val="24"/>
          <w:lang w:val="lt-LT"/>
        </w:rPr>
        <w:t>.</w:t>
      </w:r>
    </w:p>
  </w:footnote>
  <w:footnote w:id="5">
    <w:p w:rsidR="001F0A91" w:rsidRPr="00A74A6A" w:rsidRDefault="001F0A91" w:rsidP="00CE1F96">
      <w:pPr>
        <w:pStyle w:val="FootnoteText"/>
        <w:ind w:left="567" w:hanging="567"/>
        <w:rPr>
          <w:sz w:val="24"/>
          <w:lang w:val="lt-LT"/>
        </w:rPr>
      </w:pPr>
      <w:r w:rsidRPr="001868D0">
        <w:rPr>
          <w:rStyle w:val="FootnoteReference"/>
          <w:sz w:val="24"/>
          <w:lang w:val="lt-LT"/>
        </w:rPr>
        <w:footnoteRef/>
      </w:r>
      <w:r w:rsidR="00CE1F96" w:rsidRPr="001868D0">
        <w:rPr>
          <w:sz w:val="24"/>
          <w:lang w:val="lt-LT"/>
        </w:rPr>
        <w:t xml:space="preserve"> </w:t>
      </w:r>
      <w:r w:rsidR="00CE1F96" w:rsidRPr="001868D0">
        <w:rPr>
          <w:sz w:val="24"/>
          <w:lang w:val="lt-LT"/>
        </w:rPr>
        <w:tab/>
      </w:r>
      <w:r w:rsidR="001868D0" w:rsidRPr="007D2563">
        <w:t>OL L 111, 2009 5 5, p. 16</w:t>
      </w:r>
      <w:r w:rsidRPr="001868D0">
        <w:rPr>
          <w:sz w:val="24"/>
          <w:lang w:val="lt-LT"/>
        </w:rPr>
        <w:t>.</w:t>
      </w:r>
    </w:p>
  </w:footnote>
  <w:footnote w:id="6">
    <w:p w:rsidR="001F0A91" w:rsidRPr="00A74A6A" w:rsidRDefault="001F0A91" w:rsidP="00CE1F96">
      <w:pPr>
        <w:pStyle w:val="FootnoteText"/>
        <w:ind w:left="567" w:hanging="567"/>
        <w:rPr>
          <w:sz w:val="24"/>
          <w:lang w:val="lt-LT"/>
        </w:rPr>
      </w:pPr>
      <w:r w:rsidRPr="001868D0">
        <w:rPr>
          <w:rStyle w:val="FootnoteReference"/>
          <w:sz w:val="24"/>
          <w:lang w:val="lt-LT"/>
        </w:rPr>
        <w:footnoteRef/>
      </w:r>
      <w:r w:rsidR="00CE1F96" w:rsidRPr="001868D0">
        <w:rPr>
          <w:sz w:val="24"/>
          <w:lang w:val="lt-LT"/>
        </w:rPr>
        <w:t xml:space="preserve"> </w:t>
      </w:r>
      <w:r w:rsidR="00CE1F96" w:rsidRPr="001868D0">
        <w:rPr>
          <w:sz w:val="24"/>
          <w:lang w:val="lt-LT"/>
        </w:rPr>
        <w:tab/>
      </w:r>
      <w:r w:rsidR="001868D0" w:rsidRPr="007D2563">
        <w:t>OL L 351, 2012 12 20, p. 1</w:t>
      </w:r>
      <w:r w:rsidRPr="001868D0">
        <w:rPr>
          <w:sz w:val="24"/>
          <w:lang w:val="lt-LT"/>
        </w:rPr>
        <w:t>.</w:t>
      </w:r>
    </w:p>
  </w:footnote>
  <w:footnote w:id="7">
    <w:p w:rsidR="001F0A91" w:rsidRPr="00A74A6A" w:rsidRDefault="001F0A91" w:rsidP="00CE1F96">
      <w:pPr>
        <w:pStyle w:val="FootnoteText"/>
        <w:ind w:left="567" w:hanging="567"/>
        <w:rPr>
          <w:sz w:val="24"/>
          <w:lang w:val="lt-LT"/>
        </w:rPr>
      </w:pPr>
      <w:r w:rsidRPr="001868D0">
        <w:rPr>
          <w:rStyle w:val="FootnoteReference"/>
          <w:sz w:val="24"/>
          <w:lang w:val="lt-LT"/>
        </w:rPr>
        <w:footnoteRef/>
      </w:r>
      <w:r w:rsidR="00CE1F96" w:rsidRPr="001868D0">
        <w:rPr>
          <w:sz w:val="24"/>
          <w:lang w:val="lt-LT"/>
        </w:rPr>
        <w:t xml:space="preserve"> </w:t>
      </w:r>
      <w:r w:rsidR="00CE1F96" w:rsidRPr="001868D0">
        <w:rPr>
          <w:sz w:val="24"/>
          <w:lang w:val="lt-LT"/>
        </w:rPr>
        <w:tab/>
      </w:r>
      <w:r w:rsidR="001868D0" w:rsidRPr="007D2563">
        <w:t>OL L 257, 2014 8 28, p. 73</w:t>
      </w:r>
      <w:r w:rsidRPr="001868D0">
        <w:rPr>
          <w:sz w:val="24"/>
          <w:lang w:val="lt-LT"/>
        </w:rPr>
        <w:t>.</w:t>
      </w:r>
    </w:p>
  </w:footnote>
  <w:footnote w:id="8">
    <w:p w:rsidR="001F0A91" w:rsidRPr="00A74A6A" w:rsidRDefault="001F0A91" w:rsidP="00CE1F96">
      <w:pPr>
        <w:pStyle w:val="FootnoteText"/>
        <w:ind w:left="567" w:hanging="567"/>
        <w:rPr>
          <w:sz w:val="24"/>
          <w:lang w:val="lt-LT"/>
        </w:rPr>
      </w:pPr>
      <w:r w:rsidRPr="001868D0">
        <w:rPr>
          <w:rStyle w:val="FootnoteReference"/>
          <w:sz w:val="24"/>
          <w:lang w:val="lt-LT"/>
        </w:rPr>
        <w:footnoteRef/>
      </w:r>
      <w:r w:rsidR="00CE1F96" w:rsidRPr="001868D0">
        <w:rPr>
          <w:sz w:val="24"/>
          <w:lang w:val="lt-LT"/>
        </w:rPr>
        <w:t xml:space="preserve"> </w:t>
      </w:r>
      <w:r w:rsidR="00CE1F96" w:rsidRPr="001868D0">
        <w:rPr>
          <w:sz w:val="24"/>
          <w:lang w:val="lt-LT"/>
        </w:rPr>
        <w:tab/>
      </w:r>
      <w:r w:rsidR="001868D0" w:rsidRPr="007D2563">
        <w:rPr>
          <w:lang w:val="lt-LT"/>
        </w:rPr>
        <w:t>OL L 157, 2016 6 15, p. 1</w:t>
      </w:r>
      <w:r w:rsidRPr="001868D0">
        <w:rPr>
          <w:sz w:val="24"/>
          <w:lang w:val="lt-LT"/>
        </w:rPr>
        <w:t>.</w:t>
      </w:r>
    </w:p>
  </w:footnote>
  <w:footnote w:id="9">
    <w:p w:rsidR="001F0A91" w:rsidRPr="00A74A6A" w:rsidRDefault="001F0A91" w:rsidP="00CE1F96">
      <w:pPr>
        <w:pStyle w:val="FootnoteText"/>
        <w:ind w:left="567" w:hanging="567"/>
        <w:rPr>
          <w:sz w:val="24"/>
          <w:lang w:val="lt-LT"/>
        </w:rPr>
      </w:pPr>
      <w:r w:rsidRPr="001868D0">
        <w:rPr>
          <w:rStyle w:val="FootnoteReference"/>
          <w:sz w:val="24"/>
          <w:lang w:val="lt-LT"/>
        </w:rPr>
        <w:footnoteRef/>
      </w:r>
      <w:r w:rsidR="00CE1F96" w:rsidRPr="001868D0">
        <w:rPr>
          <w:sz w:val="24"/>
          <w:lang w:val="lt-LT"/>
        </w:rPr>
        <w:t xml:space="preserve"> </w:t>
      </w:r>
      <w:r w:rsidR="00CE1F96" w:rsidRPr="001868D0">
        <w:rPr>
          <w:sz w:val="24"/>
          <w:lang w:val="lt-LT"/>
        </w:rPr>
        <w:tab/>
      </w:r>
      <w:r w:rsidR="001868D0" w:rsidRPr="007D2563">
        <w:rPr>
          <w:lang w:val="lt-LT"/>
        </w:rPr>
        <w:t>OL L 119, 2016 5 4, p. 1</w:t>
      </w:r>
      <w:r w:rsidRPr="001868D0">
        <w:rPr>
          <w:sz w:val="24"/>
          <w:lang w:val="lt-LT"/>
        </w:rPr>
        <w:t>.</w:t>
      </w:r>
    </w:p>
  </w:footnote>
  <w:footnote w:id="10">
    <w:p w:rsidR="001F0A91" w:rsidRPr="00A74A6A" w:rsidRDefault="001F0A91" w:rsidP="00CE1F96">
      <w:pPr>
        <w:pStyle w:val="FootnoteText"/>
        <w:ind w:left="567" w:hanging="567"/>
        <w:rPr>
          <w:sz w:val="24"/>
          <w:lang w:val="lt-LT"/>
        </w:rPr>
      </w:pPr>
      <w:r w:rsidRPr="001868D0">
        <w:rPr>
          <w:rStyle w:val="FootnoteReference"/>
          <w:sz w:val="24"/>
          <w:lang w:val="lt-LT"/>
        </w:rPr>
        <w:footnoteRef/>
      </w:r>
      <w:r w:rsidR="00CE1F96" w:rsidRPr="001868D0">
        <w:rPr>
          <w:sz w:val="24"/>
          <w:lang w:val="lt-LT"/>
        </w:rPr>
        <w:t xml:space="preserve"> </w:t>
      </w:r>
      <w:r w:rsidR="00CE1F96" w:rsidRPr="001868D0">
        <w:rPr>
          <w:sz w:val="24"/>
          <w:lang w:val="lt-LT"/>
        </w:rPr>
        <w:tab/>
      </w:r>
      <w:r w:rsidR="001868D0" w:rsidRPr="007D2563">
        <w:rPr>
          <w:lang w:val="lt-LT"/>
        </w:rPr>
        <w:t>OL L 119, 2016 5 4, p. 89</w:t>
      </w:r>
      <w:r w:rsidRPr="001868D0">
        <w:rPr>
          <w:sz w:val="24"/>
          <w:lang w:val="lt-LT"/>
        </w:rPr>
        <w:t>.</w:t>
      </w:r>
    </w:p>
  </w:footnote>
  <w:footnote w:id="11">
    <w:p w:rsidR="001F0A91" w:rsidRPr="00A74A6A" w:rsidRDefault="001F0A91" w:rsidP="00CE1F96">
      <w:pPr>
        <w:pStyle w:val="FootnoteText"/>
        <w:ind w:left="567" w:hanging="567"/>
        <w:rPr>
          <w:sz w:val="24"/>
          <w:lang w:val="lt-LT"/>
        </w:rPr>
      </w:pPr>
      <w:r w:rsidRPr="001868D0">
        <w:rPr>
          <w:rStyle w:val="FootnoteReference"/>
          <w:sz w:val="24"/>
          <w:lang w:val="lt-LT"/>
        </w:rPr>
        <w:footnoteRef/>
      </w:r>
      <w:r w:rsidR="00CE1F96" w:rsidRPr="001868D0">
        <w:rPr>
          <w:sz w:val="24"/>
          <w:lang w:val="lt-LT"/>
        </w:rPr>
        <w:t xml:space="preserve"> </w:t>
      </w:r>
      <w:r w:rsidR="00CE1F96" w:rsidRPr="001868D0">
        <w:rPr>
          <w:sz w:val="24"/>
          <w:lang w:val="lt-LT"/>
        </w:rPr>
        <w:tab/>
      </w:r>
      <w:r w:rsidR="001868D0" w:rsidRPr="007D2563">
        <w:rPr>
          <w:lang w:val="lt-LT"/>
        </w:rPr>
        <w:t>OL L 327, 2016 12 2, p. 1</w:t>
      </w:r>
      <w:r w:rsidRPr="001868D0">
        <w:rPr>
          <w:sz w:val="24"/>
          <w:lang w:val="lt-LT"/>
        </w:rPr>
        <w:t>.</w:t>
      </w:r>
    </w:p>
  </w:footnote>
  <w:footnote w:id="12">
    <w:p w:rsidR="001F0A91" w:rsidRPr="00A74A6A" w:rsidRDefault="001F0A91" w:rsidP="00CE1F96">
      <w:pPr>
        <w:pStyle w:val="FootnoteText"/>
        <w:ind w:left="567" w:hanging="567"/>
        <w:rPr>
          <w:sz w:val="24"/>
          <w:lang w:val="lt-LT"/>
        </w:rPr>
      </w:pPr>
      <w:r w:rsidRPr="001868D0">
        <w:rPr>
          <w:rStyle w:val="FootnoteReference"/>
          <w:sz w:val="24"/>
          <w:lang w:val="lt-LT"/>
        </w:rPr>
        <w:footnoteRef/>
      </w:r>
      <w:r w:rsidR="00CE1F96" w:rsidRPr="001868D0">
        <w:rPr>
          <w:sz w:val="24"/>
          <w:lang w:val="lt-LT"/>
        </w:rPr>
        <w:t xml:space="preserve"> </w:t>
      </w:r>
      <w:r w:rsidR="00CE1F96" w:rsidRPr="001868D0">
        <w:rPr>
          <w:sz w:val="24"/>
          <w:lang w:val="lt-LT"/>
        </w:rPr>
        <w:tab/>
      </w:r>
      <w:r w:rsidR="001868D0" w:rsidRPr="007D2563">
        <w:rPr>
          <w:lang w:val="lt-LT"/>
        </w:rPr>
        <w:t>OL L 154, 2017 6 16, p. 1</w:t>
      </w:r>
      <w:r w:rsidRPr="001868D0">
        <w:rPr>
          <w:sz w:val="24"/>
          <w:lang w:val="lt-LT"/>
        </w:rPr>
        <w:t>.</w:t>
      </w:r>
    </w:p>
  </w:footnote>
  <w:footnote w:id="13">
    <w:p w:rsidR="001F0A91" w:rsidRPr="00CE1F96" w:rsidRDefault="001F0A91" w:rsidP="00CE1F96">
      <w:pPr>
        <w:pStyle w:val="FootnoteText"/>
        <w:ind w:left="567" w:hanging="567"/>
        <w:rPr>
          <w:sz w:val="24"/>
          <w:lang w:val="lt-LT"/>
        </w:rPr>
      </w:pPr>
      <w:r w:rsidRPr="00CE1F96">
        <w:rPr>
          <w:rStyle w:val="FootnoteReference"/>
          <w:sz w:val="24"/>
          <w:lang w:val="lt-LT"/>
        </w:rPr>
        <w:footnoteRef/>
      </w:r>
      <w:r w:rsidR="00CE1F96" w:rsidRPr="00CE1F96">
        <w:rPr>
          <w:sz w:val="24"/>
          <w:lang w:val="lt-LT"/>
        </w:rPr>
        <w:t xml:space="preserve"> </w:t>
      </w:r>
      <w:r w:rsidR="00CE1F96" w:rsidRPr="00CE1F96">
        <w:rPr>
          <w:sz w:val="24"/>
          <w:lang w:val="lt-LT"/>
        </w:rPr>
        <w:tab/>
      </w:r>
      <w:r w:rsidRPr="00C90255">
        <w:rPr>
          <w:sz w:val="24"/>
          <w:lang w:val="lt-LT"/>
        </w:rPr>
        <w:t>OL L 295, 2018 11 21, p. 39</w:t>
      </w:r>
      <w:r w:rsidRPr="00CE1F96">
        <w:rPr>
          <w:sz w:val="24"/>
          <w:lang w:val="lt-LT"/>
        </w:rPr>
        <w:t>.</w:t>
      </w:r>
    </w:p>
  </w:footnote>
  <w:footnote w:id="14">
    <w:p w:rsidR="001F0A91" w:rsidRPr="00CE1F96" w:rsidRDefault="001F0A91" w:rsidP="00CE1F96">
      <w:pPr>
        <w:pStyle w:val="FootnoteText"/>
        <w:ind w:left="567" w:hanging="567"/>
        <w:rPr>
          <w:sz w:val="24"/>
          <w:lang w:val="lt-LT"/>
        </w:rPr>
      </w:pPr>
      <w:r w:rsidRPr="00CE1F96">
        <w:rPr>
          <w:rStyle w:val="FootnoteReference"/>
          <w:sz w:val="24"/>
          <w:lang w:val="lt-LT"/>
        </w:rPr>
        <w:footnoteRef/>
      </w:r>
      <w:r w:rsidR="00CE1F96" w:rsidRPr="00CE1F96">
        <w:rPr>
          <w:sz w:val="24"/>
          <w:lang w:val="lt-LT"/>
        </w:rPr>
        <w:t xml:space="preserve"> </w:t>
      </w:r>
      <w:r w:rsidR="00CE1F96" w:rsidRPr="00CE1F96">
        <w:rPr>
          <w:sz w:val="24"/>
          <w:lang w:val="lt-LT"/>
        </w:rPr>
        <w:tab/>
      </w:r>
      <w:r w:rsidRPr="00C90255">
        <w:rPr>
          <w:sz w:val="24"/>
          <w:lang w:val="lt-LT"/>
        </w:rPr>
        <w:t>OL L 303, 2018 11 28, p. 59</w:t>
      </w:r>
      <w:r w:rsidRPr="00CE1F96">
        <w:rPr>
          <w:sz w:val="24"/>
          <w:lang w:val="lt-LT"/>
        </w:rPr>
        <w:t>.</w:t>
      </w:r>
    </w:p>
  </w:footnote>
  <w:footnote w:id="15">
    <w:p w:rsidR="001F0A91" w:rsidRPr="00CE1F96" w:rsidRDefault="001F0A91" w:rsidP="00CE1F96">
      <w:pPr>
        <w:pStyle w:val="FootnoteText"/>
        <w:ind w:left="567" w:hanging="567"/>
        <w:rPr>
          <w:sz w:val="24"/>
          <w:lang w:val="lt-LT"/>
        </w:rPr>
      </w:pPr>
      <w:r w:rsidRPr="00CE1F96">
        <w:rPr>
          <w:rStyle w:val="FootnoteReference"/>
          <w:sz w:val="24"/>
          <w:lang w:val="lt-LT"/>
        </w:rPr>
        <w:footnoteRef/>
      </w:r>
      <w:r w:rsidR="00CE1F96" w:rsidRPr="00CE1F96">
        <w:rPr>
          <w:sz w:val="24"/>
          <w:lang w:val="lt-LT"/>
        </w:rPr>
        <w:t xml:space="preserve"> </w:t>
      </w:r>
      <w:r w:rsidR="00CE1F96" w:rsidRPr="00CE1F96">
        <w:rPr>
          <w:sz w:val="24"/>
          <w:lang w:val="lt-LT"/>
        </w:rPr>
        <w:tab/>
      </w:r>
      <w:r w:rsidRPr="00C90255">
        <w:rPr>
          <w:sz w:val="24"/>
          <w:lang w:val="lt-LT"/>
        </w:rPr>
        <w:t>OL L 130, 2019 5 17, p. 92</w:t>
      </w:r>
      <w:r w:rsidRPr="00CE1F96">
        <w:rPr>
          <w:sz w:val="24"/>
          <w:lang w:val="lt-LT"/>
        </w:rPr>
        <w:t>.</w:t>
      </w:r>
    </w:p>
  </w:footnote>
  <w:footnote w:id="16">
    <w:p w:rsidR="001F0A91" w:rsidRPr="00CE1F96" w:rsidRDefault="001F0A91" w:rsidP="00CE1F96">
      <w:pPr>
        <w:pStyle w:val="FootnoteText"/>
        <w:ind w:left="567" w:hanging="567"/>
        <w:rPr>
          <w:sz w:val="24"/>
          <w:lang w:val="lt-LT"/>
        </w:rPr>
      </w:pPr>
      <w:r w:rsidRPr="00CE1F96">
        <w:rPr>
          <w:rStyle w:val="FootnoteReference"/>
          <w:sz w:val="24"/>
          <w:lang w:val="lt-LT"/>
        </w:rPr>
        <w:footnoteRef/>
      </w:r>
      <w:r w:rsidR="00CE1F96" w:rsidRPr="00CE1F96">
        <w:rPr>
          <w:sz w:val="24"/>
          <w:lang w:val="lt-LT"/>
        </w:rPr>
        <w:t xml:space="preserve"> </w:t>
      </w:r>
      <w:r w:rsidR="00CE1F96" w:rsidRPr="00CE1F96">
        <w:rPr>
          <w:sz w:val="24"/>
          <w:lang w:val="lt-LT"/>
        </w:rPr>
        <w:tab/>
      </w:r>
      <w:r w:rsidRPr="00C90255">
        <w:rPr>
          <w:sz w:val="24"/>
          <w:lang w:val="lt-LT"/>
        </w:rPr>
        <w:t>OL L 151, 2019 6 7, p. 70</w:t>
      </w:r>
      <w:r w:rsidRPr="00CE1F96">
        <w:rPr>
          <w:sz w:val="24"/>
          <w:lang w:val="lt-LT"/>
        </w:rPr>
        <w:t>.</w:t>
      </w:r>
    </w:p>
  </w:footnote>
  <w:footnote w:id="17">
    <w:p w:rsidR="001F0A91" w:rsidRPr="00CE1F96" w:rsidRDefault="001F0A91" w:rsidP="00CE1F96">
      <w:pPr>
        <w:pStyle w:val="FootnoteText"/>
        <w:ind w:left="567" w:hanging="567"/>
        <w:rPr>
          <w:sz w:val="24"/>
          <w:lang w:val="lt-LT"/>
        </w:rPr>
      </w:pPr>
      <w:r w:rsidRPr="00CE1F96">
        <w:rPr>
          <w:rStyle w:val="FootnoteReference"/>
          <w:sz w:val="24"/>
          <w:lang w:val="lt-LT"/>
        </w:rPr>
        <w:footnoteRef/>
      </w:r>
      <w:r w:rsidR="00CE1F96" w:rsidRPr="00CE1F96">
        <w:rPr>
          <w:sz w:val="24"/>
          <w:lang w:val="lt-LT"/>
        </w:rPr>
        <w:t xml:space="preserve"> </w:t>
      </w:r>
      <w:r w:rsidR="00CE1F96" w:rsidRPr="00CE1F96">
        <w:rPr>
          <w:sz w:val="24"/>
          <w:lang w:val="lt-LT"/>
        </w:rPr>
        <w:tab/>
      </w:r>
      <w:r w:rsidRPr="00C90255">
        <w:rPr>
          <w:sz w:val="24"/>
          <w:lang w:val="lt-LT"/>
        </w:rPr>
        <w:t>OL L 172, 2019 6 26, p. 56</w:t>
      </w:r>
      <w:r w:rsidRPr="00CE1F96">
        <w:rPr>
          <w:sz w:val="24"/>
          <w:lang w:val="lt-LT"/>
        </w:rPr>
        <w:t>.</w:t>
      </w:r>
    </w:p>
  </w:footnote>
  <w:footnote w:id="18">
    <w:p w:rsidR="001F0A91" w:rsidRPr="00CE1F96" w:rsidRDefault="001F0A91" w:rsidP="00CE1F96">
      <w:pPr>
        <w:pStyle w:val="FootnoteText"/>
        <w:ind w:left="567" w:hanging="567"/>
        <w:rPr>
          <w:sz w:val="24"/>
          <w:lang w:val="lt-LT"/>
        </w:rPr>
      </w:pPr>
      <w:r w:rsidRPr="00CE1F96">
        <w:rPr>
          <w:rStyle w:val="FootnoteReference"/>
          <w:sz w:val="24"/>
          <w:lang w:val="lt-LT"/>
        </w:rPr>
        <w:footnoteRef/>
      </w:r>
      <w:r w:rsidR="00CE1F96" w:rsidRPr="00CE1F96">
        <w:rPr>
          <w:sz w:val="24"/>
          <w:lang w:val="lt-LT"/>
        </w:rPr>
        <w:t xml:space="preserve"> </w:t>
      </w:r>
      <w:r w:rsidR="00CE1F96" w:rsidRPr="00CE1F96">
        <w:rPr>
          <w:sz w:val="24"/>
          <w:lang w:val="lt-LT"/>
        </w:rPr>
        <w:tab/>
      </w:r>
      <w:r w:rsidRPr="00C90255">
        <w:rPr>
          <w:sz w:val="24"/>
          <w:lang w:val="lt-LT"/>
        </w:rPr>
        <w:t>OL L 186, 2019 7 11, p. 57</w:t>
      </w:r>
      <w:r w:rsidRPr="00CE1F96">
        <w:rPr>
          <w:sz w:val="24"/>
          <w:lang w:val="lt-LT"/>
        </w:rPr>
        <w:t>.</w:t>
      </w:r>
    </w:p>
  </w:footnote>
  <w:footnote w:id="19">
    <w:p w:rsidR="001F0A91" w:rsidRPr="00CE1F96" w:rsidRDefault="001F0A91" w:rsidP="00CE1F96">
      <w:pPr>
        <w:pStyle w:val="FootnoteText"/>
        <w:ind w:left="567" w:hanging="567"/>
        <w:rPr>
          <w:sz w:val="24"/>
          <w:lang w:val="lt-LT"/>
        </w:rPr>
      </w:pPr>
      <w:r w:rsidRPr="00CE1F96">
        <w:rPr>
          <w:rStyle w:val="FootnoteReference"/>
          <w:sz w:val="24"/>
          <w:lang w:val="lt-LT"/>
        </w:rPr>
        <w:footnoteRef/>
      </w:r>
      <w:r w:rsidR="00CE1F96" w:rsidRPr="00CE1F96">
        <w:rPr>
          <w:sz w:val="24"/>
          <w:lang w:val="lt-LT"/>
        </w:rPr>
        <w:t xml:space="preserve"> </w:t>
      </w:r>
      <w:r w:rsidR="00CE1F96" w:rsidRPr="00CE1F96">
        <w:rPr>
          <w:sz w:val="24"/>
          <w:lang w:val="lt-LT"/>
        </w:rPr>
        <w:tab/>
      </w:r>
      <w:r w:rsidRPr="00C90255">
        <w:rPr>
          <w:sz w:val="24"/>
          <w:lang w:val="lt-LT"/>
        </w:rPr>
        <w:t>OL L 152, 2022 6 3, p. 1</w:t>
      </w:r>
      <w:r w:rsidRPr="00CE1F96">
        <w:rPr>
          <w:sz w:val="24"/>
          <w:lang w:val="lt-LT"/>
        </w:rPr>
        <w:t>.</w:t>
      </w:r>
    </w:p>
  </w:footnote>
  <w:footnote w:id="20">
    <w:p w:rsidR="001F0A91" w:rsidRPr="00CE1F96" w:rsidRDefault="001F0A91" w:rsidP="00CE1F96">
      <w:pPr>
        <w:pStyle w:val="FootnoteText"/>
        <w:ind w:left="567" w:hanging="567"/>
        <w:rPr>
          <w:sz w:val="24"/>
          <w:lang w:val="lt-LT"/>
        </w:rPr>
      </w:pPr>
      <w:r w:rsidRPr="00CE1F96">
        <w:rPr>
          <w:rStyle w:val="FootnoteReference"/>
          <w:sz w:val="24"/>
          <w:lang w:val="lt-LT"/>
        </w:rPr>
        <w:footnoteRef/>
      </w:r>
      <w:r w:rsidR="00CE1F96" w:rsidRPr="00CE1F96">
        <w:rPr>
          <w:sz w:val="24"/>
          <w:lang w:val="lt-LT"/>
        </w:rPr>
        <w:t xml:space="preserve"> </w:t>
      </w:r>
      <w:r w:rsidR="00CE1F96" w:rsidRPr="00CE1F96">
        <w:rPr>
          <w:sz w:val="24"/>
          <w:lang w:val="lt-LT"/>
        </w:rPr>
        <w:tab/>
      </w:r>
      <w:r w:rsidRPr="00A56D66">
        <w:rPr>
          <w:sz w:val="24"/>
          <w:lang w:val="lt-LT"/>
        </w:rPr>
        <w:t>OL L 265, 2022 10 12, p. 1</w:t>
      </w:r>
      <w:r w:rsidRPr="00CE1F96">
        <w:rPr>
          <w:sz w:val="24"/>
          <w:lang w:val="lt-LT"/>
        </w:rPr>
        <w:t>.</w:t>
      </w:r>
    </w:p>
  </w:footnote>
  <w:footnote w:id="21">
    <w:p w:rsidR="001F0A91" w:rsidRPr="00CE1F96" w:rsidRDefault="001F0A91" w:rsidP="00CE1F96">
      <w:pPr>
        <w:pStyle w:val="FootnoteText"/>
        <w:ind w:left="567" w:hanging="567"/>
        <w:rPr>
          <w:sz w:val="24"/>
          <w:lang w:val="lt-LT"/>
        </w:rPr>
      </w:pPr>
      <w:r w:rsidRPr="00CE1F96">
        <w:rPr>
          <w:rStyle w:val="FootnoteReference"/>
          <w:sz w:val="24"/>
          <w:lang w:val="lt-LT"/>
        </w:rPr>
        <w:footnoteRef/>
      </w:r>
      <w:r w:rsidR="00CE1F96" w:rsidRPr="00CE1F96">
        <w:rPr>
          <w:sz w:val="24"/>
          <w:lang w:val="lt-LT"/>
        </w:rPr>
        <w:t xml:space="preserve"> </w:t>
      </w:r>
      <w:r w:rsidR="00CE1F96" w:rsidRPr="00CE1F96">
        <w:rPr>
          <w:sz w:val="24"/>
          <w:lang w:val="lt-LT"/>
        </w:rPr>
        <w:tab/>
      </w:r>
      <w:r w:rsidRPr="00A56D66">
        <w:rPr>
          <w:sz w:val="24"/>
          <w:lang w:val="lt-LT"/>
        </w:rPr>
        <w:t>OL L 277, 2022 10 27, p. 1</w:t>
      </w:r>
      <w:r w:rsidRPr="00CE1F96">
        <w:rPr>
          <w:sz w:val="24"/>
          <w:lang w:val="lt-LT"/>
        </w:rPr>
        <w:t>.</w:t>
      </w:r>
    </w:p>
  </w:footnote>
  <w:footnote w:id="22">
    <w:p w:rsidR="001F0A91" w:rsidRPr="00CE1F96" w:rsidRDefault="001F0A91" w:rsidP="00CE1F96">
      <w:pPr>
        <w:pStyle w:val="FootnoteText"/>
        <w:ind w:left="567" w:hanging="567"/>
        <w:rPr>
          <w:sz w:val="24"/>
          <w:lang w:val="lt-LT"/>
        </w:rPr>
      </w:pPr>
      <w:r w:rsidRPr="00CE1F96">
        <w:rPr>
          <w:rStyle w:val="FootnoteReference"/>
          <w:sz w:val="24"/>
          <w:lang w:val="lt-LT"/>
        </w:rPr>
        <w:footnoteRef/>
      </w:r>
      <w:r w:rsidR="00CE1F96" w:rsidRPr="00CE1F96">
        <w:rPr>
          <w:sz w:val="24"/>
          <w:lang w:val="lt-LT"/>
        </w:rPr>
        <w:t xml:space="preserve"> </w:t>
      </w:r>
      <w:r w:rsidR="00CE1F96" w:rsidRPr="00CE1F96">
        <w:rPr>
          <w:sz w:val="24"/>
          <w:lang w:val="lt-LT"/>
        </w:rPr>
        <w:tab/>
      </w:r>
      <w:r w:rsidRPr="00A56D66">
        <w:rPr>
          <w:sz w:val="24"/>
          <w:lang w:val="lt-LT"/>
        </w:rPr>
        <w:t>OL L 135, 2023 5 23, p. 1</w:t>
      </w:r>
      <w:r w:rsidRPr="00CE1F96">
        <w:rPr>
          <w:sz w:val="24"/>
          <w:lang w:val="lt-LT"/>
        </w:rPr>
        <w:t>.</w:t>
      </w:r>
    </w:p>
  </w:footnote>
  <w:footnote w:id="23">
    <w:p w:rsidR="001F0A91" w:rsidRPr="00CE1F96" w:rsidRDefault="001F0A91" w:rsidP="00CE1F96">
      <w:pPr>
        <w:pStyle w:val="FootnoteText"/>
        <w:ind w:left="567" w:hanging="567"/>
        <w:rPr>
          <w:sz w:val="24"/>
          <w:lang w:val="lt-LT"/>
        </w:rPr>
      </w:pPr>
      <w:r w:rsidRPr="00CE1F96">
        <w:rPr>
          <w:rStyle w:val="FootnoteReference"/>
          <w:sz w:val="24"/>
          <w:lang w:val="lt-LT"/>
        </w:rPr>
        <w:footnoteRef/>
      </w:r>
      <w:r w:rsidR="00CE1F96" w:rsidRPr="00CE1F96">
        <w:rPr>
          <w:sz w:val="24"/>
          <w:lang w:val="lt-LT"/>
        </w:rPr>
        <w:t xml:space="preserve"> </w:t>
      </w:r>
      <w:r w:rsidR="00CE1F96" w:rsidRPr="00CE1F96">
        <w:rPr>
          <w:sz w:val="24"/>
          <w:lang w:val="lt-LT"/>
        </w:rPr>
        <w:tab/>
      </w:r>
      <w:r w:rsidRPr="00A56D66">
        <w:rPr>
          <w:sz w:val="24"/>
          <w:lang w:val="lt-LT"/>
        </w:rPr>
        <w:t>OL L 150, 2023 6 9, p. 40</w:t>
      </w:r>
      <w:r w:rsidRPr="00CE1F96">
        <w:rPr>
          <w:sz w:val="24"/>
          <w:lang w:val="lt-LT"/>
        </w:rPr>
        <w:t>.</w:t>
      </w:r>
    </w:p>
  </w:footnote>
  <w:footnote w:id="24">
    <w:p w:rsidR="001F0A91" w:rsidRPr="00CE1F96" w:rsidRDefault="001F0A91" w:rsidP="00CE1F96">
      <w:pPr>
        <w:pStyle w:val="FootnoteText"/>
        <w:ind w:left="567" w:hanging="567"/>
        <w:rPr>
          <w:sz w:val="24"/>
          <w:lang w:val="lt-LT"/>
        </w:rPr>
      </w:pPr>
      <w:r w:rsidRPr="00CE1F96">
        <w:rPr>
          <w:rStyle w:val="FootnoteReference"/>
          <w:sz w:val="24"/>
          <w:lang w:val="lt-LT"/>
        </w:rPr>
        <w:footnoteRef/>
      </w:r>
      <w:r w:rsidR="00CE1F96" w:rsidRPr="00CE1F96">
        <w:rPr>
          <w:sz w:val="24"/>
          <w:lang w:val="lt-LT"/>
        </w:rPr>
        <w:t xml:space="preserve"> </w:t>
      </w:r>
      <w:r w:rsidR="00CE1F96" w:rsidRPr="00CE1F96">
        <w:rPr>
          <w:sz w:val="24"/>
          <w:lang w:val="lt-LT"/>
        </w:rPr>
        <w:tab/>
      </w:r>
      <w:r w:rsidRPr="00A56D66">
        <w:rPr>
          <w:sz w:val="24"/>
          <w:lang w:val="lt-LT"/>
        </w:rPr>
        <w:t>OL C 404, 2021 10 6, p. 129</w:t>
      </w:r>
      <w:r w:rsidRPr="00CE1F96">
        <w:rPr>
          <w:sz w:val="24"/>
          <w:lang w:val="lt-LT"/>
        </w:rPr>
        <w:t>.</w:t>
      </w:r>
    </w:p>
  </w:footnote>
  <w:footnote w:id="25">
    <w:p w:rsidR="001F0A91" w:rsidRPr="00CE1F96" w:rsidRDefault="001F0A91" w:rsidP="00CE1F96">
      <w:pPr>
        <w:pStyle w:val="FootnoteText"/>
        <w:ind w:left="567" w:hanging="567"/>
        <w:rPr>
          <w:sz w:val="24"/>
          <w:lang w:val="lt-LT"/>
        </w:rPr>
      </w:pPr>
      <w:r w:rsidRPr="00CE1F96">
        <w:rPr>
          <w:rStyle w:val="FootnoteReference"/>
          <w:sz w:val="24"/>
          <w:lang w:val="lt-LT"/>
        </w:rPr>
        <w:footnoteRef/>
      </w:r>
      <w:r w:rsidR="00CE1F96" w:rsidRPr="00CE1F96">
        <w:rPr>
          <w:sz w:val="24"/>
          <w:lang w:val="lt-LT"/>
        </w:rPr>
        <w:t xml:space="preserve"> </w:t>
      </w:r>
      <w:r w:rsidR="00CE1F96" w:rsidRPr="00CE1F96">
        <w:rPr>
          <w:sz w:val="24"/>
          <w:lang w:val="lt-LT"/>
        </w:rPr>
        <w:tab/>
      </w:r>
      <w:r w:rsidRPr="00A56D66">
        <w:rPr>
          <w:sz w:val="24"/>
          <w:lang w:val="lt-LT"/>
        </w:rPr>
        <w:t>OL C 205, 2022 5 20, p. 26</w:t>
      </w:r>
      <w:r w:rsidRPr="00CE1F96">
        <w:rPr>
          <w:sz w:val="24"/>
          <w:lang w:val="lt-LT"/>
        </w:rPr>
        <w:t>.</w:t>
      </w:r>
    </w:p>
  </w:footnote>
  <w:footnote w:id="26">
    <w:p w:rsidR="001F0A91" w:rsidRPr="00CE1F96" w:rsidRDefault="001F0A91" w:rsidP="00CE1F96">
      <w:pPr>
        <w:pStyle w:val="FootnoteText"/>
        <w:ind w:left="567" w:hanging="567"/>
        <w:rPr>
          <w:sz w:val="24"/>
          <w:lang w:val="lt-LT"/>
        </w:rPr>
      </w:pPr>
      <w:r w:rsidRPr="00CE1F96">
        <w:rPr>
          <w:rStyle w:val="FootnoteReference"/>
          <w:sz w:val="24"/>
          <w:lang w:val="lt-LT"/>
        </w:rPr>
        <w:footnoteRef/>
      </w:r>
      <w:r w:rsidR="00CE1F96" w:rsidRPr="00CE1F96">
        <w:rPr>
          <w:sz w:val="24"/>
          <w:lang w:val="lt-LT"/>
        </w:rPr>
        <w:t xml:space="preserve"> </w:t>
      </w:r>
      <w:r w:rsidR="00CE1F96" w:rsidRPr="00CE1F96">
        <w:rPr>
          <w:sz w:val="24"/>
          <w:lang w:val="lt-LT"/>
        </w:rPr>
        <w:tab/>
      </w:r>
      <w:r w:rsidRPr="00CE1F96">
        <w:rPr>
          <w:sz w:val="24"/>
          <w:lang w:val="lt-LT"/>
        </w:rPr>
        <w:t>OL C 303, 2007 12 14, p. 1.</w:t>
      </w:r>
    </w:p>
  </w:footnote>
  <w:footnote w:id="27">
    <w:p w:rsidR="001F0A91" w:rsidRPr="00CE1F96" w:rsidRDefault="001F0A91" w:rsidP="00CE1F96">
      <w:pPr>
        <w:pStyle w:val="FootnoteText"/>
        <w:ind w:left="567" w:hanging="567"/>
        <w:rPr>
          <w:sz w:val="24"/>
          <w:lang w:val="lt-LT"/>
        </w:rPr>
      </w:pPr>
      <w:r w:rsidRPr="00CE1F96">
        <w:rPr>
          <w:rStyle w:val="FootnoteReference"/>
          <w:sz w:val="24"/>
          <w:lang w:val="lt-LT"/>
        </w:rPr>
        <w:footnoteRef/>
      </w:r>
      <w:r w:rsidR="00CE1F96" w:rsidRPr="00CE1F96">
        <w:rPr>
          <w:sz w:val="24"/>
          <w:shd w:val="clear" w:color="auto" w:fill="FFFFFF"/>
          <w:lang w:val="lt-LT"/>
        </w:rPr>
        <w:t xml:space="preserve"> </w:t>
      </w:r>
      <w:r w:rsidR="00CE1F96" w:rsidRPr="00CE1F96">
        <w:rPr>
          <w:sz w:val="24"/>
          <w:shd w:val="clear" w:color="auto" w:fill="FFFFFF"/>
          <w:lang w:val="lt-LT"/>
        </w:rPr>
        <w:tab/>
      </w:r>
      <w:r w:rsidRPr="00CE1F96">
        <w:rPr>
          <w:sz w:val="24"/>
          <w:shd w:val="clear" w:color="auto" w:fill="FFFFFF"/>
          <w:lang w:val="lt-LT"/>
        </w:rPr>
        <w:t>2016 m. balandžio 27 d. Europos Parlamento ir Tarybos reglamentas (ES) 2016/679 dėl fizinių asmenų apsaugos tvarkant asmens duomenis ir dėl laisvo tokių duomenų judėjimo ir kuriuo panaikinama Direktyva 95/46/EB (OL L 119, 2016 5 4, p. 1).</w:t>
      </w:r>
    </w:p>
  </w:footnote>
  <w:footnote w:id="28">
    <w:p w:rsidR="001F0A91" w:rsidRPr="00CE1F96" w:rsidRDefault="001F0A91" w:rsidP="00CE1F96">
      <w:pPr>
        <w:pStyle w:val="FootnoteText"/>
        <w:ind w:left="567" w:hanging="567"/>
        <w:rPr>
          <w:sz w:val="24"/>
          <w:lang w:val="lt-LT"/>
        </w:rPr>
      </w:pPr>
      <w:r w:rsidRPr="00CE1F96">
        <w:rPr>
          <w:rStyle w:val="FootnoteReference"/>
          <w:sz w:val="24"/>
          <w:lang w:val="lt-LT"/>
        </w:rPr>
        <w:footnoteRef/>
      </w:r>
      <w:r w:rsidR="00CE1F96" w:rsidRPr="00CE1F96">
        <w:rPr>
          <w:sz w:val="24"/>
          <w:shd w:val="clear" w:color="auto" w:fill="FFFFFF"/>
          <w:lang w:val="lt-LT"/>
        </w:rPr>
        <w:t xml:space="preserve"> </w:t>
      </w:r>
      <w:r w:rsidR="00CE1F96" w:rsidRPr="00CE1F96">
        <w:rPr>
          <w:sz w:val="24"/>
          <w:shd w:val="clear" w:color="auto" w:fill="FFFFFF"/>
          <w:lang w:val="lt-LT"/>
        </w:rPr>
        <w:tab/>
      </w:r>
      <w:r w:rsidRPr="00CE1F96">
        <w:rPr>
          <w:sz w:val="24"/>
          <w:shd w:val="clear" w:color="auto" w:fill="FFFFFF"/>
          <w:lang w:val="lt-LT"/>
        </w:rPr>
        <w:t>2011 m. spalio 25 d. Europos Parlamento ir Tarybos direktyva 2011/83/ES dėl vartotojų teisių, kuria iš dalies keičiamos Tarybos direktyva 93/13/EEB ir Europos Parlamento ir Tarybos direktyva 1999/44/EB bei panaikinamos Tarybos direktyva 85/577/EEB ir Europos Parlamento ir Tarybos direktyva 97/7/EB (OL L 304, 2011 11 22, p. 64).</w:t>
      </w:r>
    </w:p>
  </w:footnote>
  <w:footnote w:id="29">
    <w:p w:rsidR="001F0A91" w:rsidRPr="00CE1F96" w:rsidRDefault="001F0A91" w:rsidP="00CE1F96">
      <w:pPr>
        <w:pStyle w:val="FootnoteText"/>
        <w:ind w:left="567" w:hanging="567"/>
        <w:rPr>
          <w:sz w:val="24"/>
          <w:lang w:val="lt-LT"/>
        </w:rPr>
      </w:pPr>
      <w:r w:rsidRPr="00CE1F96">
        <w:rPr>
          <w:rStyle w:val="FootnoteReference"/>
          <w:sz w:val="24"/>
          <w:lang w:val="lt-LT"/>
        </w:rPr>
        <w:footnoteRef/>
      </w:r>
      <w:r w:rsidR="00CE1F96" w:rsidRPr="00CE1F96">
        <w:rPr>
          <w:sz w:val="24"/>
          <w:shd w:val="clear" w:color="auto" w:fill="FFFFFF"/>
          <w:lang w:val="lt-LT"/>
        </w:rPr>
        <w:t xml:space="preserve"> </w:t>
      </w:r>
      <w:r w:rsidR="00CE1F96" w:rsidRPr="00CE1F96">
        <w:rPr>
          <w:sz w:val="24"/>
          <w:shd w:val="clear" w:color="auto" w:fill="FFFFFF"/>
          <w:lang w:val="lt-LT"/>
        </w:rPr>
        <w:tab/>
      </w:r>
      <w:r w:rsidRPr="00CE1F96">
        <w:rPr>
          <w:sz w:val="24"/>
          <w:shd w:val="clear" w:color="auto" w:fill="FFFFFF"/>
          <w:lang w:val="lt-LT"/>
        </w:rPr>
        <w:t>1993 m. balandžio 5 d. Tarybos direktyva 93/13/EEB dėl nesąžiningų sąlygų sutartyse su vartotojais (OL L 95, 1993 4 21, p. 29).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2/2023"/>
    <w:docVar w:name="dvlangue" w:val="LT"/>
    <w:docVar w:name="dvnumam" w:val="0"/>
    <w:docVar w:name="dvpe" w:val="753.772"/>
    <w:docVar w:name="dvrapporteur" w:val="Pranešėjai: "/>
    <w:docVar w:name="dvtitre" w:val="2024 m. sausio 17 d. Europos Parlamento rezoliucija Virtualiųjų pasaulių plėtros poveikis politikai. Civilinės, įmonių, komercinės ir intelektinės nuosavybės teisės klausimai(2023/2062(INI))"/>
  </w:docVars>
  <w:rsids>
    <w:rsidRoot w:val="00003DA7"/>
    <w:rsid w:val="00002272"/>
    <w:rsid w:val="00003DA7"/>
    <w:rsid w:val="00064002"/>
    <w:rsid w:val="000677B9"/>
    <w:rsid w:val="000831BA"/>
    <w:rsid w:val="00094430"/>
    <w:rsid w:val="000A42CC"/>
    <w:rsid w:val="000E7DD9"/>
    <w:rsid w:val="0010095E"/>
    <w:rsid w:val="00125B37"/>
    <w:rsid w:val="001868D0"/>
    <w:rsid w:val="00187494"/>
    <w:rsid w:val="001F0A91"/>
    <w:rsid w:val="001F32AE"/>
    <w:rsid w:val="002767FF"/>
    <w:rsid w:val="002B18FE"/>
    <w:rsid w:val="002B5493"/>
    <w:rsid w:val="00343214"/>
    <w:rsid w:val="00361C00"/>
    <w:rsid w:val="00363FF2"/>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22EBA"/>
    <w:rsid w:val="006631B6"/>
    <w:rsid w:val="00680577"/>
    <w:rsid w:val="006F74FA"/>
    <w:rsid w:val="00731ADD"/>
    <w:rsid w:val="00734777"/>
    <w:rsid w:val="00747932"/>
    <w:rsid w:val="00751A4A"/>
    <w:rsid w:val="00756632"/>
    <w:rsid w:val="00762C74"/>
    <w:rsid w:val="00786EC0"/>
    <w:rsid w:val="007D1690"/>
    <w:rsid w:val="007D2563"/>
    <w:rsid w:val="007E22AD"/>
    <w:rsid w:val="00817416"/>
    <w:rsid w:val="00842779"/>
    <w:rsid w:val="00865F67"/>
    <w:rsid w:val="00876EDC"/>
    <w:rsid w:val="00881A7B"/>
    <w:rsid w:val="008840E5"/>
    <w:rsid w:val="00887B3E"/>
    <w:rsid w:val="008C2AC6"/>
    <w:rsid w:val="00930C23"/>
    <w:rsid w:val="0093193B"/>
    <w:rsid w:val="009509D8"/>
    <w:rsid w:val="00950B64"/>
    <w:rsid w:val="00981893"/>
    <w:rsid w:val="00A1687D"/>
    <w:rsid w:val="00A43E52"/>
    <w:rsid w:val="00A4678D"/>
    <w:rsid w:val="00A56D66"/>
    <w:rsid w:val="00A74A6A"/>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0255"/>
    <w:rsid w:val="00C941CB"/>
    <w:rsid w:val="00CC2357"/>
    <w:rsid w:val="00CE1F96"/>
    <w:rsid w:val="00CF071A"/>
    <w:rsid w:val="00D058B8"/>
    <w:rsid w:val="00D33C99"/>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5C1DA3"/>
  <w15:chartTrackingRefBased/>
  <w15:docId w15:val="{ED674FE5-C563-4444-A07A-F219EAAB9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qFormat/>
    <w:rsid w:val="001F0A91"/>
    <w:pPr>
      <w:spacing w:after="240"/>
      <w:ind w:left="567" w:hanging="567"/>
    </w:pPr>
  </w:style>
  <w:style w:type="paragraph" w:customStyle="1" w:styleId="EPComma">
    <w:name w:val="EPComma"/>
    <w:basedOn w:val="Normal"/>
    <w:rsid w:val="001F0A91"/>
    <w:pPr>
      <w:spacing w:before="480" w:after="240"/>
    </w:pPr>
  </w:style>
  <w:style w:type="character" w:customStyle="1" w:styleId="BoldItalic">
    <w:name w:val="BoldItalic"/>
    <w:uiPriority w:val="1"/>
    <w:rsid w:val="001F0A91"/>
    <w:rPr>
      <w:b/>
      <w:i/>
      <w:u w:val="none"/>
    </w:rPr>
  </w:style>
  <w:style w:type="character" w:styleId="Hyperlink">
    <w:name w:val="Hyperlink"/>
    <w:basedOn w:val="DefaultParagraphFont"/>
    <w:unhideWhenUsed/>
    <w:rsid w:val="001F0A91"/>
    <w:rPr>
      <w:color w:val="0563C1" w:themeColor="hyperlink"/>
      <w:u w:val="single"/>
    </w:rPr>
  </w:style>
  <w:style w:type="character" w:customStyle="1" w:styleId="NormalHanging12aChar">
    <w:name w:val="NormalHanging12a Char"/>
    <w:basedOn w:val="DefaultParagraphFont"/>
    <w:link w:val="NormalHanging12a"/>
    <w:rsid w:val="001F0A91"/>
    <w:rPr>
      <w:sz w:val="24"/>
      <w:lang w:val="lt-LT"/>
    </w:rPr>
  </w:style>
  <w:style w:type="paragraph" w:styleId="BalloonText">
    <w:name w:val="Balloon Text"/>
    <w:basedOn w:val="Normal"/>
    <w:link w:val="BalloonTextChar"/>
    <w:rsid w:val="00094430"/>
    <w:rPr>
      <w:rFonts w:ascii="Segoe UI" w:hAnsi="Segoe UI" w:cs="Segoe UI"/>
      <w:sz w:val="18"/>
      <w:szCs w:val="18"/>
    </w:rPr>
  </w:style>
  <w:style w:type="character" w:customStyle="1" w:styleId="BalloonTextChar">
    <w:name w:val="Balloon Text Char"/>
    <w:basedOn w:val="DefaultParagraphFont"/>
    <w:link w:val="BalloonText"/>
    <w:rsid w:val="00094430"/>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18AE19-FFAA-482E-8EB5-432CE3EBA4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4047</Words>
  <Characters>23073</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PUODŽIUKYNAITĖ Justė</cp:lastModifiedBy>
  <cp:revision>2</cp:revision>
  <cp:lastPrinted>2004-11-19T15:42:00Z</cp:lastPrinted>
  <dcterms:created xsi:type="dcterms:W3CDTF">2024-02-15T13:52:00Z</dcterms:created>
  <dcterms:modified xsi:type="dcterms:W3CDTF">2024-02-15T13:52:00Z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A9-0442/2023</vt:lpwstr>
  </property>
  <property fmtid="{D5CDD505-2E9C-101B-9397-08002B2CF9AE}" pid="4" name="&lt;Type&gt;">
    <vt:lpwstr>RR</vt:lpwstr>
  </property>
</Properties>
</file>