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65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66542" w:rsidRDefault="00BC5EF4" w:rsidP="0010095E">
            <w:pPr>
              <w:pStyle w:val="EPName"/>
            </w:pPr>
            <w:r w:rsidRPr="00866542">
              <w:t>Parlament Europejski</w:t>
            </w:r>
          </w:p>
          <w:p w:rsidR="00751A4A" w:rsidRPr="0086654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654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66542" w:rsidRDefault="00187494" w:rsidP="0010095E">
            <w:pPr>
              <w:pStyle w:val="EPLogo"/>
            </w:pPr>
            <w:r w:rsidRPr="00866542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66542" w:rsidRDefault="00D058B8" w:rsidP="004C5D52">
      <w:pPr>
        <w:pStyle w:val="LineTop"/>
      </w:pPr>
    </w:p>
    <w:p w:rsidR="00680577" w:rsidRPr="00866542" w:rsidRDefault="00BC5EF4" w:rsidP="00680577">
      <w:pPr>
        <w:pStyle w:val="EPBodyTA1"/>
      </w:pPr>
      <w:r w:rsidRPr="00866542">
        <w:t>TEKSTY PRZYJĘTE</w:t>
      </w:r>
    </w:p>
    <w:p w:rsidR="00D058B8" w:rsidRPr="00866542" w:rsidRDefault="00D058B8" w:rsidP="00D058B8">
      <w:pPr>
        <w:pStyle w:val="LineBottom"/>
      </w:pPr>
    </w:p>
    <w:p w:rsidR="00BC5EF4" w:rsidRPr="00866542" w:rsidRDefault="00BC5EF4" w:rsidP="00BC5EF4">
      <w:pPr>
        <w:pStyle w:val="ATHeading1"/>
      </w:pPr>
      <w:bookmarkStart w:id="0" w:name="TANumber"/>
      <w:r w:rsidRPr="00866542">
        <w:t>P9_TA(2024)00</w:t>
      </w:r>
      <w:bookmarkEnd w:id="0"/>
      <w:r w:rsidR="00A05B6A">
        <w:t>29</w:t>
      </w:r>
    </w:p>
    <w:p w:rsidR="00BC5EF4" w:rsidRPr="00866542" w:rsidRDefault="00BC5EF4" w:rsidP="00BC5EF4">
      <w:pPr>
        <w:pStyle w:val="ATHeading2"/>
      </w:pPr>
      <w:bookmarkStart w:id="1" w:name="title"/>
      <w:r w:rsidRPr="00866542">
        <w:t>Skutki polityczne rozwoju światów wirtualnych – kwestie dotyczące prawa cywilnego, prawa spółek, prawa handlowego i prawa własności intelektualnej</w:t>
      </w:r>
      <w:bookmarkEnd w:id="1"/>
    </w:p>
    <w:p w:rsidR="00BC5EF4" w:rsidRPr="00866542" w:rsidRDefault="00BC5EF4" w:rsidP="00BC5EF4">
      <w:pPr>
        <w:rPr>
          <w:i/>
          <w:vanish/>
        </w:rPr>
      </w:pPr>
      <w:r w:rsidRPr="00866542">
        <w:rPr>
          <w:i/>
        </w:rPr>
        <w:fldChar w:fldCharType="begin"/>
      </w:r>
      <w:r w:rsidRPr="00866542">
        <w:rPr>
          <w:i/>
        </w:rPr>
        <w:instrText xml:space="preserve"> TC"(</w:instrText>
      </w:r>
      <w:bookmarkStart w:id="2" w:name="DocNumber"/>
      <w:r w:rsidRPr="00866542">
        <w:rPr>
          <w:i/>
        </w:rPr>
        <w:instrText>A9-0442/2023</w:instrText>
      </w:r>
      <w:bookmarkEnd w:id="2"/>
      <w:r w:rsidRPr="00866542">
        <w:rPr>
          <w:i/>
        </w:rPr>
        <w:instrText xml:space="preserve"> - Sprawozdawca: Axel Voss, Ibán García Del Blanco)"\l3 \n&gt; \* MERGEFORMAT </w:instrText>
      </w:r>
      <w:r w:rsidRPr="00866542">
        <w:rPr>
          <w:i/>
        </w:rPr>
        <w:fldChar w:fldCharType="end"/>
      </w:r>
    </w:p>
    <w:p w:rsidR="00BC5EF4" w:rsidRPr="00866542" w:rsidRDefault="00BC5EF4" w:rsidP="00BC5EF4">
      <w:pPr>
        <w:rPr>
          <w:vanish/>
        </w:rPr>
      </w:pPr>
      <w:bookmarkStart w:id="3" w:name="Commission"/>
      <w:r w:rsidRPr="00866542">
        <w:rPr>
          <w:vanish/>
        </w:rPr>
        <w:t>Komisja Prawna</w:t>
      </w:r>
      <w:bookmarkEnd w:id="3"/>
    </w:p>
    <w:p w:rsidR="00BC5EF4" w:rsidRPr="00866542" w:rsidRDefault="00BC5EF4" w:rsidP="00BC5EF4">
      <w:pPr>
        <w:rPr>
          <w:vanish/>
        </w:rPr>
      </w:pPr>
      <w:bookmarkStart w:id="4" w:name="PE"/>
      <w:r w:rsidRPr="00866542">
        <w:rPr>
          <w:vanish/>
        </w:rPr>
        <w:t>PE753.772</w:t>
      </w:r>
      <w:bookmarkEnd w:id="4"/>
    </w:p>
    <w:p w:rsidR="00BC5EF4" w:rsidRPr="00866542" w:rsidRDefault="00BC5EF4" w:rsidP="00BC5EF4">
      <w:pPr>
        <w:pStyle w:val="ATHeading3"/>
      </w:pPr>
      <w:bookmarkStart w:id="5" w:name="Sujet"/>
      <w:r w:rsidRPr="00866542">
        <w:t xml:space="preserve">Rezolucja Parlamentu Europejskiego z dnia </w:t>
      </w:r>
      <w:r w:rsidR="003B5350">
        <w:t>17 stycznia</w:t>
      </w:r>
      <w:r w:rsidRPr="00866542">
        <w:t xml:space="preserve"> 2024 r. w sprawie skutków politycznych rozwoju światów wirtualnych – kwestie dotyczące prawa cywilnego, prawa spółek, prawa handlowego i prawa własności intelektualnej</w:t>
      </w:r>
      <w:bookmarkEnd w:id="5"/>
      <w:r w:rsidRPr="00866542">
        <w:t xml:space="preserve"> </w:t>
      </w:r>
      <w:bookmarkStart w:id="6" w:name="References"/>
      <w:r w:rsidRPr="00866542">
        <w:t>(2023/2062(INI))</w:t>
      </w:r>
      <w:bookmarkEnd w:id="6"/>
    </w:p>
    <w:p w:rsidR="005630CF" w:rsidRPr="00866542" w:rsidRDefault="005630CF" w:rsidP="005630CF">
      <w:pPr>
        <w:pStyle w:val="EPComma"/>
      </w:pPr>
      <w:bookmarkStart w:id="7" w:name="TextBodyBegin"/>
      <w:bookmarkEnd w:id="7"/>
      <w:r w:rsidRPr="00866542">
        <w:rPr>
          <w:rStyle w:val="Italic"/>
        </w:rPr>
        <w:t>Parlament Europejski</w:t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Traktat o funkcjonowaniu Unii Europejskiej, w szczególności jego art. 4, 16, 26, 81, 114 i 118,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Konwencję berneńską o ochronie dzieł literackich i artystycznych z 1886 r.,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Porozumienie nicejskie dotyczące międzynarodowej klasyfikacji towarów i usług dla celów rejestracji znaków, zmienione 28 września 1979 r. i zaktualizowane w wydaniu dwunastym (12-2023),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Traktat Światowej Organizacji Własności Intelektualnej (WIPO) o prawie autorskim z 1996 r. oraz Traktat WIPO o artystycznych wykonaniach i fonogramach z 1996 r.,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dyrektywę 96/9/WE Parlamentu Europejskiego i Rady z dnia 11 marca 1996 r. w sprawie ochrony prawnej baz danych</w:t>
      </w:r>
      <w:r w:rsidRPr="00866542">
        <w:rPr>
          <w:rStyle w:val="FootnoteReference"/>
        </w:rPr>
        <w:footnoteReference w:id="1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dyrektywę 2005/29/WE Parlamentu Europejskiego i Rady z dnia 11 maja 2005 r. dotyczącą nieuczciwych praktyk handlowych stosowanych przez przedsiębiorstwa wobec konsumentów na rynku wewnętrznym oraz zmieniającą dyrektywę Rady 84/450/EWG, dyrektywy 97/7/WE, 98/27/WE i 2002/65/WE Parlamentu Europejskiego i Rady oraz rozporządzenie (WE) nr 2006/2004 Parlamentu Europejskiego i Rady („dyrektywa o nieuczciwych praktykach handlowych”</w:t>
      </w:r>
      <w:r w:rsidRPr="00866542">
        <w:rPr>
          <w:rStyle w:val="FootnoteReference"/>
        </w:rPr>
        <w:footnoteReference w:id="2"/>
      </w:r>
      <w:r w:rsidRPr="00866542">
        <w:t>),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 xml:space="preserve">uwzględniając rozporządzenie (WE) nr 864/2007 Parlamentu Europejskiego i Rady z dnia 11 lipca 2007 r. dotyczące prawa właściwego dla zobowiązań pozaumownych </w:t>
      </w:r>
      <w:r w:rsidRPr="00866542">
        <w:lastRenderedPageBreak/>
        <w:t>(Rzym II)</w:t>
      </w:r>
      <w:r w:rsidRPr="00866542">
        <w:rPr>
          <w:rStyle w:val="FootnoteReference"/>
        </w:rPr>
        <w:footnoteReference w:id="3"/>
      </w:r>
      <w:r w:rsidRPr="00866542">
        <w:t>;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rozporządzenie Parlamentu Europejskiego i Rady (WE) nr 593/2008 z dnia 17 czerwca 2008 r. w sprawie prawa właściwego dla zobowiązań umownych (Rzym I)</w:t>
      </w:r>
      <w:r w:rsidRPr="00866542">
        <w:rPr>
          <w:rStyle w:val="FootnoteReference"/>
        </w:rPr>
        <w:footnoteReference w:id="4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dyrektywę Parlamentu Europejskiego i Rady 2009/24/WE z dnia 23 kwietnia 2009 r. w sprawie ochrony prawnej programów komputerowych</w:t>
      </w:r>
      <w:r w:rsidRPr="00866542">
        <w:rPr>
          <w:rStyle w:val="FootnoteReference"/>
        </w:rPr>
        <w:footnoteReference w:id="5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rozporządzenie Parlamentu Europejskiego i Rady (UE) nr 1215/2012 z dnia 12 grudnia 2012 r. w sprawie jurysdykcji i uznawania orzeczeń sądowych oraz ich wykonywania w sprawach cywilnych i handlowych</w:t>
      </w:r>
      <w:r w:rsidRPr="00866542">
        <w:rPr>
          <w:rStyle w:val="FootnoteReference"/>
        </w:rPr>
        <w:footnoteReference w:id="6"/>
      </w:r>
      <w:r w:rsidRPr="00866542">
        <w:t xml:space="preserve"> (wersja przekształcona rozporządzenia Bruksela I),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rozporządzenie Parlamentu Europejskiego i Rady (UE) nr 910/2014 z dnia 23 lipca 2014 r. w sprawie identyfikacji elektronicznej i usług zaufania w odniesieniu do transakcji elektronicznych na rynku wewnętrznym oraz uchylające dyrektywę 1999/93/WE</w:t>
      </w:r>
      <w:r w:rsidRPr="00866542">
        <w:rPr>
          <w:rStyle w:val="FootnoteReference"/>
        </w:rPr>
        <w:footnoteReference w:id="7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dyrektywę Parlamentu Europejskiego i Rady (UE) 2016/943 z dnia 8 czerwca 2016 r. w sprawie ochrony niejawnego know-how i niejawnych informacji handlowych (tajemnic przedsiębiorstwa) przed ich bezprawnym pozyskiwaniem, wykorzystywaniem i ujawnianiem</w:t>
      </w:r>
      <w:r w:rsidRPr="00866542">
        <w:rPr>
          <w:rStyle w:val="FootnoteReference"/>
        </w:rPr>
        <w:footnoteReference w:id="8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rozporządzenie Parlamentu Europejskiego i Rady (UE) 2016/679 z dnia 27 kwietnia 2016 r. w sprawie ochrony osób fizycznych w związku z przetwarzaniem danych osobowych i w sprawie swobodnego przepływu takich danych oraz uchylenia dyrektywy 95/46/WE</w:t>
      </w:r>
      <w:r w:rsidRPr="00866542">
        <w:rPr>
          <w:rStyle w:val="FootnoteReference"/>
        </w:rPr>
        <w:footnoteReference w:id="9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dyrektywę Parlamentu Europejskiego i Rady (UE) 2016/680 z dnia 27 kwietnia 2016 r. w sprawie ochrony osób fizycznych w związku z przetwarzaniem danych osobowych przez właściwe organy do celów zapobiegania przestępczości, prowadzenia postępowań przygotowawczych, wykrywania i ścigania czynów zabronionych i wykonywania kar, oraz w sprawie swobodnego przepływu takich danych</w:t>
      </w:r>
      <w:r w:rsidRPr="00866542">
        <w:rPr>
          <w:rStyle w:val="FootnoteReference"/>
        </w:rPr>
        <w:footnoteReference w:id="10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dyrektywę Parlamentu Europejskiego i Rady (UE) 2016/2102 z dnia 26 października 2016 r. w sprawie dostępności stron internetowych i mobilnych aplikacji organów sektora publicznego</w:t>
      </w:r>
      <w:r w:rsidRPr="00866542">
        <w:rPr>
          <w:rStyle w:val="FootnoteReference"/>
        </w:rPr>
        <w:footnoteReference w:id="11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 xml:space="preserve">uwzględniając rozporządzenie Parlamentu Europejskiego i Rady (UE) 2017/1001 z 14 </w:t>
      </w:r>
      <w:r w:rsidRPr="00866542">
        <w:lastRenderedPageBreak/>
        <w:t>czerwca 2017 r. w sprawie znaku towarowego Unii Europejskiej</w:t>
      </w:r>
      <w:r w:rsidRPr="00866542">
        <w:rPr>
          <w:rStyle w:val="FootnoteReference"/>
        </w:rPr>
        <w:footnoteReference w:id="12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rozporządzenie Parlamentu Europejskiego i Rady (UE) 2018/1725 z dnia 23 października 2018 r. w sprawie ochrony osób fizycznych w związku z przetwarzaniem danych osobowych przez instytucje, organy i jednostki organizacyjne Unii i swobodnego przepływu takich danych oraz uchylenia rozporządzenia (WE) nr 45/2001 i decyzji nr 1247/2002/WE</w:t>
      </w:r>
      <w:r w:rsidRPr="00866542">
        <w:rPr>
          <w:rStyle w:val="FootnoteReference"/>
        </w:rPr>
        <w:footnoteReference w:id="13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rozporządzenie Parlamentu Europejskiego i Rady (UE) 2018/1807 z dnia 14 listopada 2018 r. w sprawie ram swobodnego przepływu danych nieosobowych w Unii Europejskiej</w:t>
      </w:r>
      <w:r w:rsidRPr="00866542">
        <w:rPr>
          <w:rStyle w:val="FootnoteReference"/>
        </w:rPr>
        <w:footnoteReference w:id="14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dyrektywę Parlamentu Europejskiego i Rady (UE) 2019/790 z dnia17 kwietnia 2019 r. w sprawie prawa autorskiego i praw pokrewnych na jednolitym rynku cyfrowym oraz zmiany dyrektyw 96/9/WE i 2001/29/WE</w:t>
      </w:r>
      <w:r w:rsidRPr="00866542">
        <w:rPr>
          <w:rStyle w:val="FootnoteReference"/>
        </w:rPr>
        <w:footnoteReference w:id="15"/>
      </w:r>
      <w:r w:rsidRPr="00866542">
        <w:t xml:space="preserve"> („dyrektywa w sprawie prawa autorskiego”),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dyrektywę Parlamentu Europejskiego i Rady (UE) 2019/882 z dnia 17 kwietnia 2019 r. w sprawie wymogów dostępności produktów i usług</w:t>
      </w:r>
      <w:r w:rsidRPr="00866542">
        <w:rPr>
          <w:rStyle w:val="FootnoteReference"/>
        </w:rPr>
        <w:footnoteReference w:id="16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dyrektywę Parlamentu Europejskiego i Rady (UE) 2019/1024 z dnia 20 czerwca 2019 r. w sprawie otwartych danych i ponownego wykorzystywania informacji sektora publicznego</w:t>
      </w:r>
      <w:r w:rsidRPr="00866542">
        <w:rPr>
          <w:rStyle w:val="FootnoteReference"/>
        </w:rPr>
        <w:footnoteReference w:id="17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rozporządzenie Parlamentu Europejskiego i Rady (UE) 2019/1150 z dnia 20 czerwca 2019 r. w sprawie propagowania sprawiedliwości i przejrzystości dla użytkowników biznesowych korzystających z usług pośrednictwa internetowego</w:t>
      </w:r>
      <w:r w:rsidRPr="00866542">
        <w:rPr>
          <w:rStyle w:val="FootnoteReference"/>
        </w:rPr>
        <w:footnoteReference w:id="18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wniosek dotyczący rozporządzenia Parlamentu Europejskiego i Rady ustanawiającego zharmonizowane przepisy dotyczące sztucznej inteligencji (akt w sprawie sztucznej inteligencji) i zmieniającego niektóre akty ustawodawcze Unii (COM(2021)0206),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wniosek dotyczący rozporządzenia Parlamentu Europejskiego i Rady zmieniającego rozporządzenie (UE) nr 910/2014 w odniesieniu do ustanowienia europejskich ram tożsamości cyfrowej (COM(2021)0281),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wniosek dotyczący rozporządzenia Parlamentu Europejskiego i Rady w sprawie zharmonizowanych przepisów dotyczących sprawiedliwego dostępu do danych i ich wykorzystywania (akt w sprawie danych) (COM(2022)0068),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wniosek dotyczący dyrektywy Parlamentu Europejskiego i Rady w sprawie odpowiedzialności za produkty wadliwe (COM(2022)0495),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lastRenderedPageBreak/>
        <w:t>–</w:t>
      </w:r>
      <w:r w:rsidRPr="00866542">
        <w:tab/>
        <w:t>uwzględniając wniosek dotyczący dyrektywy Parlamentu Europejskiego i Rady w sprawie dostosowania przepisów dotyczących pozaumownej odpowiedzialności cywilnej do sztucznej inteligencji (dyrektywa w sprawie odpowiedzialności za sztuczną inteligencję) (COM(2022)0496),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rozporządzenie Parlamentu Europejskiego i Rady (UE</w:t>
      </w:r>
      <w:proofErr w:type="gramStart"/>
      <w:r w:rsidRPr="00866542">
        <w:t>) 2022/868 z</w:t>
      </w:r>
      <w:proofErr w:type="gramEnd"/>
      <w:r w:rsidRPr="00866542">
        <w:t> dnia 30 maja 2022 r. w sprawie europejskiego zarządzania danymi i zmieniające rozporządzenie (UE) 2018/1724 (akt w sprawie zarządzania danymi)</w:t>
      </w:r>
      <w:r w:rsidRPr="00866542">
        <w:rPr>
          <w:rStyle w:val="FootnoteReference"/>
        </w:rPr>
        <w:footnoteReference w:id="19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rozporządzenie Parlamentu Europejskiego i Rady (UE</w:t>
      </w:r>
      <w:proofErr w:type="gramStart"/>
      <w:r w:rsidRPr="00866542">
        <w:t>) 2022/1925 z</w:t>
      </w:r>
      <w:proofErr w:type="gramEnd"/>
      <w:r w:rsidRPr="00866542">
        <w:t xml:space="preserve"> 14 września 2022 r. w sprawie kontestowalnych i uczciwych rynków w sektorze cyfrowym oraz zmiany dyrektyw (UE) 2019/1937 i (UE) 2020/1828 (akt o rynkach cyfrowych)</w:t>
      </w:r>
      <w:r w:rsidRPr="00866542">
        <w:rPr>
          <w:rStyle w:val="FootnoteReference"/>
        </w:rPr>
        <w:footnoteReference w:id="20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rozporządzenie Parlamentu Europejskiego i Rady (UE) 2022/2065 z 19 października 2022 r. w sprawie jednolitego rynku usług cyfrowych oraz zmiany dyrektywy 2000/31/WE (akt o usługach cyfrowych)</w:t>
      </w:r>
      <w:r w:rsidRPr="00866542">
        <w:rPr>
          <w:rStyle w:val="FootnoteReference"/>
        </w:rPr>
        <w:footnoteReference w:id="21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rozporządzenie Parlamentu Europejskiego i Rady (UE) 2023/988 z dnia 10 maja 2023 r. w sprawie ogólnego bezpieczeństwa produktów, zmieniające rozporządzenie Parlamentu Europejskiego i Rady (UE) nr 1025/2012 i dyrektywę Parlamentu Europejskiego i Rady (UE) 2020/1828 oraz uchylające dyrektywę 2001/95/WE Parlamentu Europejskiego i Rady i dyrektywę Rady 87/357/EWG</w:t>
      </w:r>
      <w:r w:rsidRPr="00866542">
        <w:rPr>
          <w:rStyle w:val="FootnoteReference"/>
        </w:rPr>
        <w:footnoteReference w:id="22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rozporządzenie Parlamentu Europejskiego i Rady (UE) 2023/1114 z dnia 31 maja 2023 r. w sprawie rynków kryptoaktywów oraz zmiany rozporządzeń (UE) nr 1093/2010 i (UE) nr 1095/2010 oraz dyrektyw 2013/36/UE i (UE) 2019/1937</w:t>
      </w:r>
      <w:r w:rsidRPr="00866542">
        <w:rPr>
          <w:rStyle w:val="FootnoteReference"/>
        </w:rPr>
        <w:footnoteReference w:id="23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swoją rezolucję z dnia 20 października 2020 r. w sprawie praw własności intelektualnej w dziedzinie rozwoju technologii sztucznej inteligencji (A9-0176/2020)</w:t>
      </w:r>
      <w:r w:rsidRPr="00866542">
        <w:rPr>
          <w:rStyle w:val="FootnoteReference"/>
        </w:rPr>
        <w:footnoteReference w:id="24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komunikat Komisji do Parlamentu Europejskiego, Rady, Europejskiego Komitetu Ekonomiczno-Społecznego i Komitetu Regionów pt. „Pełne wykorzystanie potencjału innowacyjnego UE – plan działania w zakresie własności intelektualnej wspierający odbudowę i odporność UE” (COM(2020)0760),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swoją rezolucję z dnia 11 listopada 2021 r. w sprawie planu działania w zakresie własności intelektualnej wspierającego odbudowę i odporność UE</w:t>
      </w:r>
      <w:r w:rsidRPr="00866542">
        <w:rPr>
          <w:rStyle w:val="FootnoteReference"/>
        </w:rPr>
        <w:footnoteReference w:id="25"/>
      </w:r>
      <w:r w:rsidRPr="00866542">
        <w:t>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komunikat Komisji z dnia 11 lipca 2023</w:t>
      </w:r>
      <w:r w:rsidR="00C411C4">
        <w:t xml:space="preserve"> r.</w:t>
      </w:r>
      <w:r w:rsidRPr="00866542">
        <w:t xml:space="preserve"> pt. „Inicjatywa UE w sprawie technologii Web 4.0 </w:t>
      </w:r>
      <w:proofErr w:type="gramStart"/>
      <w:r w:rsidRPr="00866542">
        <w:t>i</w:t>
      </w:r>
      <w:proofErr w:type="gramEnd"/>
      <w:r w:rsidRPr="00866542">
        <w:t xml:space="preserve"> światów wirtualnych: dobra pozycja wyjściowa na drodze ku kolejnej transformacji technologicznej”,</w:t>
      </w:r>
    </w:p>
    <w:p w:rsidR="005630CF" w:rsidRPr="00866542" w:rsidRDefault="005630CF" w:rsidP="005630CF">
      <w:pPr>
        <w:pStyle w:val="NormalHanging12a"/>
        <w:rPr>
          <w:b/>
          <w:i/>
        </w:rPr>
      </w:pPr>
      <w:r w:rsidRPr="00866542">
        <w:rPr>
          <w:b/>
          <w:i/>
        </w:rPr>
        <w:lastRenderedPageBreak/>
        <w:t>–</w:t>
      </w:r>
      <w:r w:rsidRPr="00866542">
        <w:rPr>
          <w:b/>
          <w:i/>
        </w:rPr>
        <w:tab/>
      </w:r>
      <w:r w:rsidRPr="00866542">
        <w:t>uwzględniając komunikat Komisji z dnia 11 maja 2022 r. pt. „Cyfrowa dekada dla dzieci i młodzieży: nowa europejska strategia na rzecz lepszego internetu dla dzieci (BIK</w:t>
      </w:r>
      <w:proofErr w:type="gramStart"/>
      <w:r w:rsidRPr="00866542">
        <w:t>+)” (COM</w:t>
      </w:r>
      <w:proofErr w:type="gramEnd"/>
      <w:r w:rsidRPr="00866542">
        <w:t>(2022)0212),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art. 54 Regulaminu,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–</w:t>
      </w:r>
      <w:r w:rsidRPr="00866542">
        <w:tab/>
        <w:t>uwzględniając sprawozdanie Komisji Prawnej (A9-0442/2023),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A.</w:t>
      </w:r>
      <w:r w:rsidRPr="00866542">
        <w:tab/>
      </w:r>
      <w:proofErr w:type="gramStart"/>
      <w:r w:rsidRPr="00866542">
        <w:t>mając</w:t>
      </w:r>
      <w:proofErr w:type="gramEnd"/>
      <w:r w:rsidRPr="00866542">
        <w:t xml:space="preserve"> na uwadze, że światy wirtualne nie są jeszcze szeroko rozpowszechnione, chociaż ich wdrożenie w wielu przypadkach użycia w różnych sektorach zwiększyło ogólną świadomość i przyciągnęło uwagę organów publicznych;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B.</w:t>
      </w:r>
      <w:r w:rsidRPr="00866542">
        <w:tab/>
        <w:t>mając na uwadze, że istotne jest, abyśmy nadal promowali i rozwijali nowe technologie, uznając ich potencjał transformacyjny w dziedzinach takich jak edukacja, kultura, opieka zdrowotna, gry i wiele innych, przy jednoczesnym uwzględnieniu ryzyka, jakie nowe technologie mogą stwarzać;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C.</w:t>
      </w:r>
      <w:r w:rsidRPr="00866542">
        <w:tab/>
      </w:r>
      <w:proofErr w:type="gramStart"/>
      <w:r w:rsidRPr="00866542">
        <w:t>mając</w:t>
      </w:r>
      <w:proofErr w:type="gramEnd"/>
      <w:r w:rsidRPr="00866542">
        <w:t xml:space="preserve"> na uwadze, że eksperci twierdzą, iż osiągnięcie pełnego potencjału światów wirtualnych może potrwać jeszcze od 10 do 15 lat, a ich rozwój może znacząco wpłynąć na krajobraz cyfrowy w nadchodzących latach, przynosząc zarówno szanse, jak i zagrożenia, którymi należy się zająć;</w:t>
      </w:r>
    </w:p>
    <w:p w:rsidR="005630CF" w:rsidRPr="00866542" w:rsidRDefault="005630CF" w:rsidP="005630CF">
      <w:pPr>
        <w:pStyle w:val="NormalHanging12a"/>
      </w:pPr>
      <w:r w:rsidRPr="00866542">
        <w:t>D.</w:t>
      </w:r>
      <w:r w:rsidRPr="00866542">
        <w:tab/>
      </w:r>
      <w:proofErr w:type="gramStart"/>
      <w:r w:rsidRPr="00866542">
        <w:t>mając</w:t>
      </w:r>
      <w:proofErr w:type="gramEnd"/>
      <w:r w:rsidRPr="00866542">
        <w:t xml:space="preserve"> na uwadze, że suwerenność cyfrowa jest środkiem promowania idei europejskiego przywództwa i autonomii strategicznej i ma kluczowe znaczenie dla zagwarantowania zdolności UE do kształtowania i egzekwowania przepisów w środowisku cyfrowym, z zapewnieniem przy tym etycznych, zrównoważonych i zorientowanych na człowieka wirtualnych światów oraz ochrony podstawowych praw i wartości UE;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rPr>
          <w:rStyle w:val="BoldItalic"/>
        </w:rPr>
        <w:t>Definicje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1.</w:t>
      </w:r>
      <w:r w:rsidRPr="00866542">
        <w:tab/>
      </w:r>
      <w:proofErr w:type="gramStart"/>
      <w:r w:rsidRPr="00866542">
        <w:t>zauważa</w:t>
      </w:r>
      <w:proofErr w:type="gramEnd"/>
      <w:r w:rsidRPr="00866542">
        <w:t>, że pojęcia „metawersum” i „świat wirtualny” nie mają obecnie ujednoliconych definicji;</w:t>
      </w:r>
    </w:p>
    <w:p w:rsidR="005630CF" w:rsidRPr="00866542" w:rsidRDefault="005630CF" w:rsidP="005630CF">
      <w:pPr>
        <w:pStyle w:val="NormalHanging12a"/>
      </w:pPr>
      <w:r w:rsidRPr="00866542">
        <w:t>2.</w:t>
      </w:r>
      <w:r w:rsidRPr="00866542">
        <w:tab/>
        <w:t>w związku z tym z zadowoleniem przyjmuje zawartą w komunikacie Komisji propozycję definicji koncentrującej się na głównych cechach światów wirtualnych: „[ś</w:t>
      </w:r>
      <w:proofErr w:type="gramStart"/>
      <w:r w:rsidRPr="00866542">
        <w:t>]wiaty</w:t>
      </w:r>
      <w:proofErr w:type="gramEnd"/>
      <w:r w:rsidRPr="00866542">
        <w:t xml:space="preserve"> wirtualne to trwałe środowiska immersyjne bazujące na technologiach takich jak 3D i rzeczywistość rozbudowana, które umożliwiają łączenie światów fizycznych i cyfrowych w czasie rzeczywistym do wielu różnych celów, m.in. na potrzeby projektowania, przeprowadzania symulacji, prowadzenia współpracy, uczenia się, odbywania spotkań towarzyskich, przeprowadzania transakcji lub zapewniania rozrywki”; zwraca uwagę, że wiele technologii określanych jako „światy wirtualne” istnieje od wielu lat; podkreśla, że przyszła strategia europejska powinna opierać się na badaniach, dowodach naukowych i znaczeniu dla społeczeństwa;</w:t>
      </w:r>
    </w:p>
    <w:p w:rsidR="005630CF" w:rsidRPr="00866542" w:rsidRDefault="005630CF" w:rsidP="005630CF">
      <w:pPr>
        <w:pStyle w:val="NormalHanging12a"/>
      </w:pPr>
      <w:r w:rsidRPr="00866542">
        <w:t>3.</w:t>
      </w:r>
      <w:r w:rsidRPr="00866542">
        <w:tab/>
      </w:r>
      <w:proofErr w:type="gramStart"/>
      <w:r w:rsidRPr="00866542">
        <w:t>podkreśla</w:t>
      </w:r>
      <w:proofErr w:type="gramEnd"/>
      <w:r w:rsidRPr="00866542">
        <w:t xml:space="preserve"> zasadnicze znaczenie propagowania normalizacji i interoperacyjności na rzecz pełnego rozwoju ekosystemu połączonych ze sobą światów wirtualnych;</w:t>
      </w:r>
    </w:p>
    <w:p w:rsidR="005630CF" w:rsidRPr="00866542" w:rsidRDefault="005630CF" w:rsidP="005630CF">
      <w:pPr>
        <w:pStyle w:val="NormalHanging12a"/>
        <w:widowControl w:val="0"/>
        <w:rPr>
          <w:rStyle w:val="BoldItalic"/>
        </w:rPr>
      </w:pPr>
      <w:r w:rsidRPr="00866542">
        <w:rPr>
          <w:rStyle w:val="BoldItalic"/>
        </w:rPr>
        <w:t>Odpowiednie ramy etyczne i prawne</w:t>
      </w:r>
    </w:p>
    <w:p w:rsidR="005630CF" w:rsidRPr="00866542" w:rsidRDefault="005630CF" w:rsidP="005630CF">
      <w:pPr>
        <w:pStyle w:val="NormalHanging12a"/>
      </w:pPr>
      <w:r w:rsidRPr="00866542">
        <w:t>4.</w:t>
      </w:r>
      <w:r w:rsidRPr="00866542">
        <w:tab/>
      </w:r>
      <w:proofErr w:type="gramStart"/>
      <w:r w:rsidRPr="00866542">
        <w:t>zwraca</w:t>
      </w:r>
      <w:proofErr w:type="gramEnd"/>
      <w:r w:rsidRPr="00866542">
        <w:t xml:space="preserve"> uwagę, że światy wirtualne dostępne w UE powinny przestrzegać wartości etycznych, zasad i praw podstawowych zapisanych w Karcie praw podstawowych Unii </w:t>
      </w:r>
      <w:r w:rsidRPr="00866542">
        <w:lastRenderedPageBreak/>
        <w:t>Europejskiej</w:t>
      </w:r>
      <w:r w:rsidRPr="00866542">
        <w:rPr>
          <w:vertAlign w:val="superscript"/>
        </w:rPr>
        <w:footnoteReference w:id="26"/>
      </w:r>
      <w:r w:rsidRPr="00866542">
        <w:t xml:space="preserve"> i obowiązującym prawodawstwie UE, a mianowicie dotyczącym ochrony danych, standardów bezpieczeństwa i udostępniania danych, moderacji treści, przeciwdziałania nękaniu i mowie nienawiści, cyberbezpieczeństwa, praw pracowników, ochrony konsumentów i dzieci, wymogów dostępności, poszanowania praw własności intelektualnej, ochrony know how i tajemnicy przedsiębiorstwa, zapobiegania nadużyciom i oszustwom w internecie oraz kontestowalnych i uczciwych rynków;</w:t>
      </w:r>
    </w:p>
    <w:p w:rsidR="005630CF" w:rsidRPr="00866542" w:rsidRDefault="005630CF" w:rsidP="005630CF">
      <w:pPr>
        <w:pStyle w:val="NormalHanging12a"/>
      </w:pPr>
      <w:r w:rsidRPr="00866542">
        <w:t>5.</w:t>
      </w:r>
      <w:r w:rsidRPr="00866542">
        <w:tab/>
      </w:r>
      <w:proofErr w:type="gramStart"/>
      <w:r w:rsidRPr="00866542">
        <w:t>przypomina</w:t>
      </w:r>
      <w:proofErr w:type="gramEnd"/>
      <w:r w:rsidRPr="00866542">
        <w:t>, że światy wirtualne powinny być opracowywane i wdrażane zgodnie z ogólną zasadą, że to, co jest nielegalne offline, powinno być nielegalne online, z zapewnieniem pełnego poszanowania praw ludzi, ze szczególnym uwzględnieniem dzieci, jako użytkowników, konsumentów, pracowników, inwestorów, posiadaczy praw i twórców;</w:t>
      </w:r>
    </w:p>
    <w:p w:rsidR="005630CF" w:rsidRPr="00866542" w:rsidRDefault="005630CF" w:rsidP="005630CF">
      <w:pPr>
        <w:pStyle w:val="NormalHanging12a"/>
      </w:pPr>
      <w:r w:rsidRPr="00866542">
        <w:t>6.</w:t>
      </w:r>
      <w:r w:rsidRPr="00866542">
        <w:tab/>
      </w:r>
      <w:proofErr w:type="gramStart"/>
      <w:r w:rsidRPr="00866542">
        <w:t>wskazuje</w:t>
      </w:r>
      <w:proofErr w:type="gramEnd"/>
      <w:r w:rsidRPr="00866542">
        <w:t>, że w szczególności następujące akty prawne mają już zastosowanie do różnych aspektów wirtualnych światów: akt o usługach cyfrowych; akt o rynkach cyfrowych; akt w sprawie zarządzania danymi; akt w sprawie danych; wniosek dotyczący aktu w sprawie sztucznej inteligencji; ogólne rozporządzenie o ochronie danych</w:t>
      </w:r>
      <w:r w:rsidRPr="00866542">
        <w:rPr>
          <w:rStyle w:val="FootnoteReference"/>
        </w:rPr>
        <w:footnoteReference w:id="27"/>
      </w:r>
      <w:r w:rsidRPr="00866542">
        <w:t xml:space="preserve"> (RODO); rozporządzenie w sprawie ogólnego bezpieczeństwa produktów; dyrektywa dotycząca nieuczciwych praktyk handlowych; rozporządzenie w sprawie rynków kryptoaktywów; Europejskie ramy tożsamości cyfrowej; dyrektywa o prawach autorskich na jednolitym rynku cyfrowym; rozporządzenie w sprawie unijnego znaku towarowego; dyrektywa w sprawie ochrony tajemnic przedsiębiorstwa; europejski akt w sprawie dostępności; dyrektywa w sprawie dostępności stron internetowych;</w:t>
      </w:r>
    </w:p>
    <w:p w:rsidR="005630CF" w:rsidRPr="00866542" w:rsidRDefault="005630CF" w:rsidP="005630CF">
      <w:pPr>
        <w:pStyle w:val="NormalHanging12a"/>
      </w:pPr>
      <w:r w:rsidRPr="00866542">
        <w:t>7.</w:t>
      </w:r>
      <w:r w:rsidRPr="00866542">
        <w:tab/>
      </w:r>
      <w:proofErr w:type="gramStart"/>
      <w:r w:rsidRPr="00866542">
        <w:t>podkreśla</w:t>
      </w:r>
      <w:proofErr w:type="gramEnd"/>
      <w:r w:rsidRPr="00866542">
        <w:t xml:space="preserve"> znaczenie regularnego monitorowania zgodności i zapewnienia skutecznego egzekwowania obowiązujących instrumentów prawnych; wzywa Komisję do opracowania wytycznych i najlepszych praktyk we współpracy z różnymi zainteresowanymi stronami, w tym z przedstawicielami społeczeństwa obywatelskiego i organizacji ochrony konsumentów, a także ze środowiskiem akademickim, wyjaśniających zobowiązania prawne i odpowiedzialność każdego zainteresowanego podmiotu zaangażowanego w światach wirtualnych, takiego jak operatorzy platform, dostawcy usług, deweloperzy i użytkownicy, zgodnie z obowiązującym prawem UE;</w:t>
      </w:r>
    </w:p>
    <w:p w:rsidR="005630CF" w:rsidRPr="00866542" w:rsidRDefault="005630CF" w:rsidP="005630CF">
      <w:pPr>
        <w:pStyle w:val="NormalHanging12a"/>
      </w:pPr>
      <w:r w:rsidRPr="00866542">
        <w:t>8.</w:t>
      </w:r>
      <w:r w:rsidRPr="00866542">
        <w:tab/>
      </w:r>
      <w:proofErr w:type="gramStart"/>
      <w:r w:rsidRPr="00866542">
        <w:t>podkreśla</w:t>
      </w:r>
      <w:proofErr w:type="gramEnd"/>
      <w:r w:rsidRPr="00866542">
        <w:t>, że niezwykle ważne jest, aby Komisja przeprowadzała regularne oceny adekwatności mających zastosowanie instrumentów prawnych, tj. w odniesieniu do ewentualnego przeglądu dyrektywy w sprawie nieuczciwych praktyk handlowych, dyrektywy w sprawie praw konsumentów</w:t>
      </w:r>
      <w:r w:rsidRPr="00866542">
        <w:rPr>
          <w:rStyle w:val="FootnoteReference"/>
        </w:rPr>
        <w:footnoteReference w:id="28"/>
      </w:r>
      <w:r w:rsidRPr="00866542">
        <w:t xml:space="preserve"> i dyrektywy w sprawie nieuczciwych warunków umownych</w:t>
      </w:r>
      <w:r w:rsidRPr="00866542">
        <w:rPr>
          <w:rStyle w:val="FootnoteReference"/>
        </w:rPr>
        <w:footnoteReference w:id="29"/>
      </w:r>
      <w:r w:rsidRPr="00866542">
        <w:t xml:space="preserve">; zwraca także uwagę, że we wszelkich przyszłych przepisach </w:t>
      </w:r>
      <w:r w:rsidRPr="00866542">
        <w:lastRenderedPageBreak/>
        <w:t>dotyczących światów wirtualnych należy unikać nakładania się lub niespójności postanowień, wypełniając zarazem luki tam, gdzie jest to konieczne;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9.</w:t>
      </w:r>
      <w:r w:rsidRPr="00866542">
        <w:tab/>
      </w:r>
      <w:proofErr w:type="gramStart"/>
      <w:r w:rsidRPr="00866542">
        <w:t>zauważa</w:t>
      </w:r>
      <w:proofErr w:type="gramEnd"/>
      <w:r w:rsidRPr="00866542">
        <w:t>, że niektóre kwestie regulacyjne są już dobrze widoczne w dziedzinie prawa prywatnego międzynarodowego, prawa cywilnego i prawa własności intelektualnej, jak określono w poniższych sekcjach;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10.</w:t>
      </w:r>
      <w:r w:rsidRPr="00866542">
        <w:tab/>
      </w:r>
      <w:proofErr w:type="gramStart"/>
      <w:r w:rsidRPr="00866542">
        <w:t>podkreśla</w:t>
      </w:r>
      <w:proofErr w:type="gramEnd"/>
      <w:r w:rsidRPr="00866542">
        <w:t xml:space="preserve">, że ostatnie badania wykazały, iż dane z czujników wykorzystywanych na potrzeby rzeczywistości wirtualnej umożliwiają jednoznaczną identyfikację w taki sam sposób, jak skan odcisków palców, i mogą być wykorzystywane do wglądu w szczegółowe informacje dotyczące osobowości użytkowników i dedukcji różnych cech, takich jak wiek, płeć, dochód, pochodzenie etniczne, status osoby z niepełnosprawnością oraz nastroje i emocje; jest zdania, że budzi to poważne obawy etyczne i prawne, w szczególności w związku z ukierunkowaną reklamą behawioralną, którymi należy się zająć; podkreśla, że elementem rozwiązania tych problemów etycznych związanych z gromadzeniem ogromnych ilości danych osobowych, w tym danych wrażliwych użytkowników, takich jak dane </w:t>
      </w:r>
      <w:proofErr w:type="gramStart"/>
      <w:r w:rsidRPr="00866542">
        <w:t>biometryczne</w:t>
      </w:r>
      <w:proofErr w:type="gramEnd"/>
      <w:r w:rsidRPr="00866542">
        <w:t xml:space="preserve"> i behawioralne, reakcje emocjonalne i informacje haptyczne, jest zagwarantowanie, aby użytkownicy mieli świadomość gromadzenia tych danych oraz aby zgoda na gromadzenie takich danych nie była uzyskiwana jedynie w momencie wejścia do świata wirtualnego, ale w odniesienia do każdego przypadku użycia zgodnie z zasadami określonymi w RODO, takimi jak uwzględnienie ochrony prywatności już w fazie projektowania i zasada celowości;</w:t>
      </w:r>
    </w:p>
    <w:p w:rsidR="005630CF" w:rsidRPr="00866542" w:rsidRDefault="005630CF" w:rsidP="005630CF">
      <w:pPr>
        <w:pStyle w:val="NormalHanging12a"/>
      </w:pPr>
      <w:r w:rsidRPr="00866542">
        <w:t>11.</w:t>
      </w:r>
      <w:r w:rsidRPr="00866542">
        <w:tab/>
      </w:r>
      <w:proofErr w:type="gramStart"/>
      <w:r w:rsidRPr="00866542">
        <w:t>podkreśla</w:t>
      </w:r>
      <w:proofErr w:type="gramEnd"/>
      <w:r w:rsidRPr="00866542">
        <w:t>, że wszędzie tam, gdzie prawo unijne lub krajowe nie wymaga identyfikacji użytkownika, a mianowicie do celów odpowiedzialności, i gdzie jest to technicznie możliwe i uzasadnione, wirtualne światy powinny umożliwiać anonimowe korzystanie z usług, tak aby zapewnić ochronę prywatności i zapobiec nieautoryzowanemu ujawnianiu danych, kradzieży tożsamości i innym formom nadużycia danych osobowych gromadzonych w internecie;</w:t>
      </w:r>
    </w:p>
    <w:p w:rsidR="005630CF" w:rsidRPr="00866542" w:rsidRDefault="005630CF" w:rsidP="005630CF">
      <w:pPr>
        <w:pStyle w:val="NormalHanging12a"/>
      </w:pPr>
      <w:r w:rsidRPr="00866542">
        <w:t>12.</w:t>
      </w:r>
      <w:r w:rsidRPr="00866542">
        <w:tab/>
      </w:r>
      <w:proofErr w:type="gramStart"/>
      <w:r w:rsidRPr="00866542">
        <w:t>zauważa</w:t>
      </w:r>
      <w:proofErr w:type="gramEnd"/>
      <w:r w:rsidRPr="00866542">
        <w:t xml:space="preserve"> w tym względzie, że przedstawione przez Komisję w komunikacie działania mające na celu podnoszenie świadomości, doskonalenie umiejętności cyfrowych i kultury informatycznej oraz zwiększenie dostępu użytkowników do kluczowych technologii – dzięki ułatwieniu dostępu do infrastruktury szybkiego internetu i odpowiedniego sprzętu – mają zasadnicze znaczenie dla uniknięcia różnic w rozwoju cyfrowymi i powinny być wdrożone tak szybko, jak to możliwe, w celu promowania inkluzywnego i konkurencyjnego społeczeństwa cyfrowego, a także w celu zapewnienia, by nikt nie pozostał w tyle w dobie tego szybkiego rozwoju technologicznego;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rPr>
          <w:rStyle w:val="BoldItalic"/>
        </w:rPr>
        <w:t>Prawo prywatne międzynarodowe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13.</w:t>
      </w:r>
      <w:r w:rsidRPr="00866542">
        <w:tab/>
      </w:r>
      <w:proofErr w:type="gramStart"/>
      <w:r w:rsidRPr="00866542">
        <w:t>podkreśla</w:t>
      </w:r>
      <w:proofErr w:type="gramEnd"/>
      <w:r w:rsidRPr="00866542">
        <w:t>, że niektóre tradycyjne zasady terytorialne dotyczące prawa właściwego i jurysdykcji mogą okazać się nieadekwatne do światów wirtualnych, które – za sprawą zdecentralizowanych technologii, takich jak łańcuch bloków – mają nieterytorialny charakter, i powodować problemy, jeśli chodzi o zapewnienie stosowania prawa UE oraz ochronę praw konsumentów i przedsiębiorstw;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14.</w:t>
      </w:r>
      <w:r w:rsidRPr="00866542">
        <w:tab/>
      </w:r>
      <w:proofErr w:type="gramStart"/>
      <w:r w:rsidRPr="00866542">
        <w:t>zauważa</w:t>
      </w:r>
      <w:proofErr w:type="gramEnd"/>
      <w:r w:rsidRPr="00866542">
        <w:t xml:space="preserve"> w szczególności, że ponieważ dostęp do światów wirtualnych może uzyskać każda osoba na świecie, „kryterium mozaiki” ustanowione przez Trybunał </w:t>
      </w:r>
      <w:r w:rsidRPr="00866542">
        <w:lastRenderedPageBreak/>
        <w:t>Sprawiedliwości Unii Europejskiej – zgodnie z którym strona poszkodowana może dochodzić odszkodowania przed sądami krajów, w których wystąpiła przynajmniej część szkody – może nie mieć zastosowania; przypomina jednak, że Trybunał ustanowił dodatkowe kryterium, zgodnie z którym poszkodowani mogą dochodzić odszkodowania przed sądami państwa, w którym mają swój główny interes; potwierdza również, że można rozważyć kodyfikację tego kryterium w rozporządzeniu Bruksela I;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15.</w:t>
      </w:r>
      <w:r w:rsidRPr="00866542">
        <w:tab/>
      </w:r>
      <w:proofErr w:type="gramStart"/>
      <w:r w:rsidRPr="00866542">
        <w:t>zauważa</w:t>
      </w:r>
      <w:proofErr w:type="gramEnd"/>
      <w:r w:rsidRPr="00866542">
        <w:t>, że definicja „konsumenta” zawarta w rozporządzeniu Bruksela I opiera się obecnie na bezpośrednim stosunku umownym, którego brakuje na przykład między emitentem niewymienialnego tokena (NFT) a nabywcą, gdy NFT jest wprowadzany na rynek wtórny; zauważa, że w konsekwencji, w przypadku sporu z emitentem, nabywca końcowy nie mógłby skorzystać z rozwiązania dotyczącego jurysdykcji, które przysługuje konsumentom na mocy rozporządzenia Bruksela I;</w:t>
      </w:r>
    </w:p>
    <w:p w:rsidR="005630CF" w:rsidRPr="00866542" w:rsidRDefault="005630CF" w:rsidP="005630CF">
      <w:pPr>
        <w:pStyle w:val="NormalHanging12a"/>
      </w:pPr>
      <w:r w:rsidRPr="00866542">
        <w:t>16.</w:t>
      </w:r>
      <w:r w:rsidRPr="00866542">
        <w:tab/>
      </w:r>
      <w:proofErr w:type="gramStart"/>
      <w:r w:rsidRPr="00866542">
        <w:t>wzywa</w:t>
      </w:r>
      <w:proofErr w:type="gramEnd"/>
      <w:r w:rsidRPr="00866542">
        <w:t xml:space="preserve"> Komisję do uwzględnienia tych i innych potencjalnie problematycznych sytuacji oraz do oceny adekwatności istniejących przepisów prawa prywatnego międzynarodowego mającego zastosowanie w UE; wzywa także Komisję, aby zaproponowała w razie potrzeby odpowiednie poprawki w celu zagwarantowania, by obywatele i przedsiębiorstwa nie musieli systematycznie prowadzić sporów przed sądami zagranicznymi lub na podstawie zagranicznych przepisów w celu wyegzekwowania swoich praw, zapewniając pełną ochronę ich praw na mocy ram regulacyjnych UE u mając jednocześnie na uwadze ryzyko nielegalnego lub nieuczciwego wybierania sądu ze względu na możliwość korzystniejszego rozstrzygnięcia sprawy, w szczególności ze strony firm spoza UE;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rPr>
          <w:rStyle w:val="BoldItalic"/>
        </w:rPr>
        <w:t>Prawo cywilne</w:t>
      </w:r>
    </w:p>
    <w:p w:rsidR="005630CF" w:rsidRPr="00866542" w:rsidRDefault="005630CF" w:rsidP="005630CF">
      <w:pPr>
        <w:pStyle w:val="NormalHanging12a"/>
      </w:pPr>
      <w:r w:rsidRPr="00866542">
        <w:t>17.</w:t>
      </w:r>
      <w:r w:rsidRPr="00866542">
        <w:tab/>
      </w:r>
      <w:proofErr w:type="gramStart"/>
      <w:r w:rsidRPr="00866542">
        <w:t>zauważa</w:t>
      </w:r>
      <w:proofErr w:type="gramEnd"/>
      <w:r w:rsidRPr="00866542">
        <w:t>, że w następnym dziesięcioleciu można się spodziewać wzrostu liczby i znaczenia gospodarczych transakcji handlowych w światach wirtualnych; podkreśla w tym kontekście potrzebę zapewnienia możliwości zidentyfikowania dostawców towarów i usług wirtualnych oraz pociągnięcia ich do odpowiedzialności za wszelkie szkody wyrządzone przez ich produkty;</w:t>
      </w:r>
    </w:p>
    <w:p w:rsidR="005630CF" w:rsidRPr="00866542" w:rsidRDefault="005630CF" w:rsidP="005630CF">
      <w:pPr>
        <w:pStyle w:val="NormalHanging12a"/>
      </w:pPr>
      <w:r w:rsidRPr="00866542">
        <w:t>18.</w:t>
      </w:r>
      <w:r w:rsidRPr="00866542">
        <w:tab/>
      </w:r>
      <w:proofErr w:type="gramStart"/>
      <w:r w:rsidRPr="00866542">
        <w:t>zwraca</w:t>
      </w:r>
      <w:proofErr w:type="gramEnd"/>
      <w:r w:rsidRPr="00866542">
        <w:t xml:space="preserve"> uwagę na obawy związane z technikami reklamowymi stosowanymi przy sprzedaży tak zwanych nieruchomości wirtualnych, takich jak budynek lub działka ziemi w świecie wirtualnym reprezentowanej przez NFT, ponieważ użytkownicy mogą być przekonani, że faktycznie nabywają prawa własności, podczas gdy w praktyce uzyskują jedynie licencję na korzystanie z wirtualnego „gruntu”; podkreśla znaczenie zapewnienia przejrzystych, jasnych, uczciwych i łatwych do zrozumienia warunków, które mają zastosowanie, między innymi dlatego, że wykazano, iż użytkownicy często ich nie czytają, ponieważ są one techniczne i zapisane gęstym drukiem;</w:t>
      </w:r>
    </w:p>
    <w:p w:rsidR="005630CF" w:rsidRPr="00866542" w:rsidRDefault="005630CF" w:rsidP="005630CF">
      <w:pPr>
        <w:pStyle w:val="NormalHanging12a"/>
      </w:pPr>
      <w:r w:rsidRPr="00866542">
        <w:t>19.</w:t>
      </w:r>
      <w:r w:rsidRPr="00866542">
        <w:tab/>
      </w:r>
      <w:proofErr w:type="gramStart"/>
      <w:r w:rsidRPr="00866542">
        <w:t>przypomina</w:t>
      </w:r>
      <w:proofErr w:type="gramEnd"/>
      <w:r w:rsidRPr="00866542">
        <w:t>, że zasady odpowiedzialności powinny mieć pełne zastosowanie do światów wirtualnych i podkreśla znaczenie wprowadzenia skutecznych środków służących zapobieganiu wszelkim formom zachowań szkodliwych, i reagowania na takie zachowania, i egzekwowania prawa zgodnie z prawami podstawowymi w światach wirtualnych, w tym – w stosownych przypadkach i nie naruszając prawa do sądowego dochodzenia roszczeń – ustanowienie mechanizmów sprawozdawczości i rozstrzygania sporów;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20.</w:t>
      </w:r>
      <w:r w:rsidRPr="00866542">
        <w:tab/>
      </w:r>
      <w:proofErr w:type="gramStart"/>
      <w:r w:rsidRPr="00866542">
        <w:t>wyraża</w:t>
      </w:r>
      <w:proofErr w:type="gramEnd"/>
      <w:r w:rsidRPr="00866542">
        <w:t xml:space="preserve"> zaniepokojenie, że korzystanie z awatarów i systemów zdecentralizowanych, </w:t>
      </w:r>
      <w:r w:rsidRPr="00866542">
        <w:lastRenderedPageBreak/>
        <w:t>takich jak te oparte na technologii blockchain, może sprawić, że pociągnięcie do odpowiedzialności sprawców będzie niezwykle trudne; jest zdania, że wdrożenie skutecznych systemów zarządzania tożsamością ma zasadnicze znaczenie dla umożliwienia właściwej i szybkiej identyfikacji sprawców i zwalczania fałszywych tożsamości, biorąc również pod uwagę specyfikę związaną z zarządzaniem zdecentralizowanymi organizacjami autonomicznymi i odpowiedzialnością zbiorową; z zadowoleniem przyjmuje w tym względzie zamiar Komisji dotyczący zbadania wartości dodanej możliwych ram prawnych dla zdecentralizowanych organizacji autonomicznych;</w:t>
      </w:r>
    </w:p>
    <w:p w:rsidR="005630CF" w:rsidRPr="00866542" w:rsidRDefault="005630CF" w:rsidP="005630CF">
      <w:pPr>
        <w:pStyle w:val="NormalHanging12a"/>
      </w:pPr>
      <w:r w:rsidRPr="00866542">
        <w:t>21.</w:t>
      </w:r>
      <w:r w:rsidRPr="00866542">
        <w:tab/>
      </w:r>
      <w:proofErr w:type="gramStart"/>
      <w:r w:rsidRPr="00866542">
        <w:t>przypomina</w:t>
      </w:r>
      <w:proofErr w:type="gramEnd"/>
      <w:r w:rsidRPr="00866542">
        <w:t>, że awatary nie mają osobowości prawnej, więc wszelkie kwestie dotyczące ich zdolności prawnej, praw, obowiązków i odpowiedzialności muszą być rozpatrywane w odniesieniu do osób fizycznych lub prawnych, które z nich korzystają; uważa, że w miarę jak światy wirtualne ewoluują i stają się coraz bardziej złożone, należy rozważyć zasadność przyznania awatarom określonego statusu prawnego; uważa, że awatar lub osoba używająca go powinna być identyfikowalna i zastosowanie powinna mieć zasada „poznaj swojego partnera biznesowego”;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rPr>
          <w:rStyle w:val="BoldItalic"/>
        </w:rPr>
        <w:t>Prawa własności intelektualnej</w:t>
      </w:r>
    </w:p>
    <w:p w:rsidR="005630CF" w:rsidRPr="00866542" w:rsidRDefault="005630CF" w:rsidP="005630CF">
      <w:pPr>
        <w:pStyle w:val="NormalHanging12a"/>
      </w:pPr>
      <w:r w:rsidRPr="00866542">
        <w:t>22.</w:t>
      </w:r>
      <w:r w:rsidRPr="00866542">
        <w:tab/>
      </w:r>
      <w:proofErr w:type="gramStart"/>
      <w:r w:rsidRPr="00866542">
        <w:t>podkreśla</w:t>
      </w:r>
      <w:proofErr w:type="gramEnd"/>
      <w:r w:rsidRPr="00866542">
        <w:t>, że dorobek prawny UE dotyczący ochrony praw własności intelektualnej i przemysłowej, w tym praw autorskich, znaków towarowych, patentów, wzorów i tajemnic handlowych, ma pełne zastosowanie do światów wirtualnych; zaznacza jednak, że rozwój światów wirtualnych stwarza nowe wyzwania w zakresie egzekwowania prawa własności intelektualnej, identyfikacji sprawców naruszeń i kwestii norm kolizyjnych dotyczących prawa właściwego i jurysdykcji;</w:t>
      </w:r>
    </w:p>
    <w:p w:rsidR="005630CF" w:rsidRPr="00866542" w:rsidRDefault="005630CF" w:rsidP="005630CF">
      <w:pPr>
        <w:pStyle w:val="NormalHanging12a"/>
      </w:pPr>
      <w:r w:rsidRPr="00866542">
        <w:t>23.</w:t>
      </w:r>
      <w:r w:rsidRPr="00866542">
        <w:tab/>
      </w:r>
      <w:proofErr w:type="gramStart"/>
      <w:r w:rsidRPr="00866542">
        <w:t>przypomina</w:t>
      </w:r>
      <w:proofErr w:type="gramEnd"/>
      <w:r w:rsidRPr="00866542">
        <w:t xml:space="preserve">, że operatorzy platform, dostawcy usług i użytkownicy w światach wirtualnych są zobowiązani do poszanowania praw wyłącznych posiadaczy praw i ich prawa do godziwego wynagrodzenia; podkreśla, że korzystanie z treści chronionych prawami własności intelektualnej (PWI), w tym w formie cyfrowej na nośniku elektronicznym, jakim jest NFT, wymaga zezwolenia w formie licencji lub przeniesienia praw, chyba że treści te są objęte jakimkolwiek wyjątkiem lub ograniczeniem ochrony PWI (jak kopia prywatna, edukacja, badania, cytaty, przeglądy, parodia lub pastisz); podkreśla w tym kontekście znaczenie zapewnienia przez dostawców przejrzystości co do zakresu licencji, w tym licencji terytorialnych, tak aby użytkownicy byli w stanie stwierdzić, </w:t>
      </w:r>
      <w:proofErr w:type="gramStart"/>
      <w:r w:rsidRPr="00866542">
        <w:t>jakie</w:t>
      </w:r>
      <w:proofErr w:type="gramEnd"/>
      <w:r w:rsidRPr="00866542">
        <w:t xml:space="preserve"> sposoby korzystania z treści chronionych prawami własności intelektualnej w światach wirtualnych są objęte posiadanymi przez nich licencjami, oraz aby twórcy i posiadacze praw byli w stanie otrzymać dokładne i właściwe sprawozdania na temat faktycznego korzystania z chronionych utworów;</w:t>
      </w:r>
    </w:p>
    <w:p w:rsidR="005630CF" w:rsidRPr="00866542" w:rsidRDefault="005630CF" w:rsidP="005630CF">
      <w:pPr>
        <w:pStyle w:val="NormalHanging12a"/>
      </w:pPr>
      <w:r w:rsidRPr="00866542">
        <w:t>24.</w:t>
      </w:r>
      <w:r w:rsidRPr="00866542">
        <w:tab/>
      </w:r>
      <w:proofErr w:type="gramStart"/>
      <w:r w:rsidRPr="00866542">
        <w:t>z</w:t>
      </w:r>
      <w:proofErr w:type="gramEnd"/>
      <w:r w:rsidRPr="00866542">
        <w:t xml:space="preserve"> zadowoleniem przyjmuje aktualizację wprowadzoną w dwunastym wydaniu „klasyfikacji nicejskiej”, która to aktualizacja umożliwia rejestrację znaków towarowych w klasach obejmujących ich wykorzystanie w światach wirtualnych; apeluje o ścisłe śledzenie konkretnego zastosowania tej klasyfikacji; wyraża jednak zaniepokojenie faktem, że NFT zawierające odniesienia do znaków towarowych są wykorzystywane bez zgody ich właścicieli i wzywa do wdrożenia skutecznych środków w celu zaradzenia tym i innym przypadkom naruszeń; z zadowoleniem przyjmuje w tym względzie wniosek Komisji dotyczący opracowania zestawu narzędzi służących do zwalczania podrabiania;</w:t>
      </w:r>
    </w:p>
    <w:p w:rsidR="005630CF" w:rsidRPr="00866542" w:rsidRDefault="005630CF" w:rsidP="005630CF">
      <w:pPr>
        <w:pStyle w:val="NormalHanging12a"/>
      </w:pPr>
      <w:r w:rsidRPr="00866542">
        <w:lastRenderedPageBreak/>
        <w:t>25.</w:t>
      </w:r>
      <w:r w:rsidRPr="00866542">
        <w:tab/>
      </w:r>
      <w:proofErr w:type="gramStart"/>
      <w:r w:rsidRPr="00866542">
        <w:t>uznaje</w:t>
      </w:r>
      <w:proofErr w:type="gramEnd"/>
      <w:r w:rsidRPr="00866542">
        <w:t xml:space="preserve"> zastosowanie zasad odpowiedzialności określonych w akcie o usługach cyfrowych oraz specjalnego systemu ustanowionego w art. 17 dyrektywy w sprawie prawa autorskiego w odniesieniu do zamieszczania treści tworzonych przez użytkowników; uważa jednak, że konieczne jest dalsze wyjaśnienie, w jaki sposób należy stosować istniejące zasady do usług usług udostępniania treści online w światach wirtualnych oraz jak je egzekwować;</w:t>
      </w:r>
    </w:p>
    <w:p w:rsidR="005630CF" w:rsidRPr="00866542" w:rsidRDefault="005630CF" w:rsidP="005630CF">
      <w:pPr>
        <w:pStyle w:val="NormalHanging12a"/>
      </w:pPr>
      <w:r w:rsidRPr="00866542">
        <w:t>26.</w:t>
      </w:r>
      <w:r w:rsidRPr="00866542">
        <w:tab/>
      </w:r>
      <w:proofErr w:type="gramStart"/>
      <w:r w:rsidRPr="00866542">
        <w:t>podkreśla</w:t>
      </w:r>
      <w:proofErr w:type="gramEnd"/>
      <w:r w:rsidRPr="00866542">
        <w:t>, że NFT nie oznaczają przyznania żadnych praw własności intelektualnej do aktywów cyfrowych i sygnalizuje potrzebę dalszej jasności i przejrzystości w celu uniknięcia oszustw i częstego mylenia prawa do samego tokena z prawem do chronionych treści;</w:t>
      </w:r>
    </w:p>
    <w:p w:rsidR="005630CF" w:rsidRPr="00866542" w:rsidRDefault="005630CF" w:rsidP="005630CF">
      <w:pPr>
        <w:pStyle w:val="NormalHanging12a"/>
      </w:pPr>
      <w:r w:rsidRPr="00866542">
        <w:t>27.</w:t>
      </w:r>
      <w:r w:rsidRPr="00866542">
        <w:tab/>
      </w:r>
      <w:proofErr w:type="gramStart"/>
      <w:r w:rsidRPr="00866542">
        <w:t>zauważa</w:t>
      </w:r>
      <w:proofErr w:type="gramEnd"/>
      <w:r w:rsidRPr="00866542">
        <w:t xml:space="preserve">, że NFT i inne oferty oparte na technologii blockchain ułatwiają ciągłą odsprzedaż aktywów bazującą na utworach chronionych prawem autorskim za pośrednictwem transakcji online, i uważa, że należy zapewnić odpowiednie i proporcjonalne wynagrodzenie autorów za każdą odsprzedaż takich aktywów; </w:t>
      </w:r>
    </w:p>
    <w:p w:rsidR="005630CF" w:rsidRPr="00866542" w:rsidRDefault="005630CF" w:rsidP="005630CF">
      <w:pPr>
        <w:pStyle w:val="NormalHanging12a"/>
      </w:pPr>
      <w:r w:rsidRPr="00866542">
        <w:t>28.</w:t>
      </w:r>
      <w:r w:rsidRPr="00866542">
        <w:tab/>
      </w:r>
      <w:proofErr w:type="gramStart"/>
      <w:r w:rsidRPr="00866542">
        <w:t>przypomina</w:t>
      </w:r>
      <w:proofErr w:type="gramEnd"/>
      <w:r w:rsidRPr="00866542">
        <w:t xml:space="preserve">, że zgodnie z obowiązującymi przepisami produkty wygenerowane autonomicznie przez systemy AI mogą nie kwalifikować się do ochrony praw autorskich, ponieważ zasada oryginalności jest związana z osobą fizyczną, a koncepcja „twórczości intelektualnej” zakłada osobowość autora; przypomina ponadto o różnicy między twórczością człowieka wspomaganą AI a produktem wygenerowanym autonomicznie przez AI; przypomina, że podczas gdy obecne ramy własności intelektualnej nadal mają zastosowanie do twórczości wspomaganej AI, produkty wygenerowane autonomicznie przez AI stwarzają nowe wyzwania regulacyjne w zakresie ochrony praw własności intelektualnej, takie jak kwestie własności, autorstwa i wynalazczości, a także odpowiedniego wynagrodzenia i kwestie związane z potencjalną koncentracją rynku; z zadowoleniem </w:t>
      </w:r>
      <w:proofErr w:type="gramStart"/>
      <w:r w:rsidRPr="00866542">
        <w:t>przyjmuje</w:t>
      </w:r>
      <w:proofErr w:type="gramEnd"/>
      <w:r w:rsidRPr="00866542">
        <w:t xml:space="preserve"> zobowiązanie określone w planie działania w zakresie własności intelektualnej do zaangażowania się przez Komisję w dyskusje z zainteresowanymi stronami na temat sposobów sprostania wyzwaniom związanym z wynalazkami i twórczością wspomaganą przez AI; wzywa Komisję, by rozważyła zwiększenie zakresu tego dialogu, tak aby objął on szeroko rozumiane kwestie związane z AI, w tym generatywną sztuczną inteligencję;</w:t>
      </w:r>
    </w:p>
    <w:p w:rsidR="005630CF" w:rsidRPr="00866542" w:rsidRDefault="005630CF" w:rsidP="005630CF">
      <w:pPr>
        <w:pStyle w:val="NormalHanging12a"/>
        <w:widowControl w:val="0"/>
        <w:rPr>
          <w:rStyle w:val="BoldItalic"/>
        </w:rPr>
      </w:pPr>
      <w:r w:rsidRPr="00866542">
        <w:rPr>
          <w:rStyle w:val="BoldItalic"/>
        </w:rPr>
        <w:t>Dostępność i umiejętności cyfrowe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29.</w:t>
      </w:r>
      <w:r w:rsidRPr="00866542">
        <w:tab/>
      </w:r>
      <w:proofErr w:type="gramStart"/>
      <w:r w:rsidRPr="00866542">
        <w:t>podkreśla</w:t>
      </w:r>
      <w:proofErr w:type="gramEnd"/>
      <w:r w:rsidRPr="00866542">
        <w:t xml:space="preserve">, że światy wirtualne mogą zapewnić możliwości świadczenia usług publicznych w interesie ogólnym z większą korzyścią dla obywateli; podkreśla jednak, że należy zapewnić ich włączenie i dostępność dla wszystkich użytkowników w UE, zarówno pod względem kosztów i wykorzystania sprzętu, jak i zrozumienia oprogramowania; zauważa, że dostępność jest szczególnie ważna, jeśli chodzi o dopilnowanie, aby grupy obywateli znajdujących się w trudnej sytuacji, takich jak osoby starsze, osoby z niepełnosprawnościami, dzieci oraz osoby zamieszkałe na obszarach wiejskich i obszarach oddalonych, nabyły podstawowe umiejętności cyfrowe umożliwiające im udział w światach wirtualnych, i powinna uwzględniać takie aspekty, jak położenie geograficzne, płeć, poziom wykształcenia i </w:t>
      </w:r>
      <w:proofErr w:type="gramStart"/>
      <w:r w:rsidRPr="00866542">
        <w:t>sytuacja</w:t>
      </w:r>
      <w:proofErr w:type="gramEnd"/>
      <w:r w:rsidRPr="00866542">
        <w:t xml:space="preserve"> społeczno-ekonomiczna;</w:t>
      </w:r>
    </w:p>
    <w:p w:rsidR="005630CF" w:rsidRPr="00866542" w:rsidRDefault="005630CF" w:rsidP="005630CF">
      <w:pPr>
        <w:pStyle w:val="NormalHanging12a"/>
      </w:pPr>
      <w:r w:rsidRPr="00866542">
        <w:t>30.</w:t>
      </w:r>
      <w:r w:rsidRPr="00866542">
        <w:tab/>
      </w:r>
      <w:proofErr w:type="gramStart"/>
      <w:r w:rsidRPr="00866542">
        <w:t>dodaje</w:t>
      </w:r>
      <w:proofErr w:type="gramEnd"/>
      <w:r w:rsidRPr="00866542">
        <w:t xml:space="preserve"> w tym kontekście, że umiejętności cyfrowe mają ogromne znaczenie dla zapewnienia bezpiecznego i społecznie korzystnego oraz świadomego i odpowiedzialnego wykorzystania światów wirtualnych, tak aby uniknąć uzależnienia </w:t>
      </w:r>
      <w:r w:rsidRPr="00866542">
        <w:lastRenderedPageBreak/>
        <w:t>użytkowników, stronniczości i praktyk dyskryminacyjnych, dla zwalczania dezinformacji, manipulacji i nadużyć w środowisku wirtualnym oraz dla wspierania demokratycznej kontroli;</w:t>
      </w:r>
    </w:p>
    <w:p w:rsidR="005630CF" w:rsidRPr="00866542" w:rsidRDefault="005630CF" w:rsidP="005630CF">
      <w:pPr>
        <w:pStyle w:val="NormalHanging12a"/>
      </w:pPr>
      <w:r w:rsidRPr="00866542">
        <w:t>31.</w:t>
      </w:r>
      <w:r w:rsidRPr="00866542">
        <w:tab/>
      </w:r>
      <w:proofErr w:type="gramStart"/>
      <w:r w:rsidRPr="00866542">
        <w:t>podkreśla</w:t>
      </w:r>
      <w:proofErr w:type="gramEnd"/>
      <w:r w:rsidRPr="00866542">
        <w:t xml:space="preserve"> potrzebę wprowadzenia skutecznych środków edukacyjnych, aby zapewnić obywatelom szeroki zakres umiejętności cyfrowych w zakresie świata wirtualnego oraz aby podnieść umiejętności specjalistów w różnych dziedzinach, w szczególności nauczycieli, oraz aby stymulować i promować rozwój europejskich talentów i technologii oraz przyciągać jednocześnie do STEM więcej osób, w tym więcej kobiet;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32.</w:t>
      </w:r>
      <w:r w:rsidRPr="00866542">
        <w:tab/>
      </w:r>
      <w:proofErr w:type="gramStart"/>
      <w:r w:rsidRPr="00866542">
        <w:t>zaleca</w:t>
      </w:r>
      <w:proofErr w:type="gramEnd"/>
      <w:r w:rsidRPr="00866542">
        <w:t xml:space="preserve"> dalsze rozwijanie „zestawu narzędzi dotyczącego światów wirtualnych” przeznaczonego dla ogółu społeczeństwa, jak określono w komunikacie Komisji, zgodnie z zaleceniami panelu obywatelskiego, aby pomóc obywatelom lepiej zrozumieć, jak zarządzać swoimi wirtualnymi tożsamościami, wirtualnymi wytworami, wirtualnymi zasobami i danymi, a także przyczynić się do rozwijania kompleksowej strategii UE dotyczącej światów wirtualnych, która będzie zarówno zrównoważona, jak i ukierunkowana na człowieka;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33.</w:t>
      </w:r>
      <w:r w:rsidRPr="00866542">
        <w:tab/>
      </w:r>
      <w:proofErr w:type="gramStart"/>
      <w:r w:rsidRPr="00866542">
        <w:t>z</w:t>
      </w:r>
      <w:proofErr w:type="gramEnd"/>
      <w:r w:rsidRPr="00866542">
        <w:t xml:space="preserve"> zadowoleniem przyjmuje, jak odnotowuje Komisja, pozytywny wpływ społeczności korzystającej z otwartego oprogramowania w UE na opracowanie kluczowych cech światów wirtualnych, w tym w odniesieniu do wykorzystania technologii rozproszonych rejestrów i innych technologii niezbędnych do autentykacji i bezpieczeństwa wirtualnych obiektów i tożsamości oraz zarządzania nimi;</w:t>
      </w:r>
    </w:p>
    <w:p w:rsidR="005630CF" w:rsidRPr="00866542" w:rsidRDefault="005630CF" w:rsidP="005630CF">
      <w:pPr>
        <w:pStyle w:val="NormalHanging12a"/>
        <w:widowControl w:val="0"/>
        <w:jc w:val="center"/>
      </w:pPr>
      <w:r w:rsidRPr="00866542">
        <w:t>°</w:t>
      </w:r>
    </w:p>
    <w:p w:rsidR="005630CF" w:rsidRPr="00866542" w:rsidRDefault="005630CF" w:rsidP="005630CF">
      <w:pPr>
        <w:pStyle w:val="NormalHanging12a"/>
        <w:widowControl w:val="0"/>
        <w:jc w:val="center"/>
      </w:pPr>
      <w:r w:rsidRPr="00866542">
        <w:t>°</w:t>
      </w:r>
      <w:r w:rsidRPr="00866542">
        <w:tab/>
        <w:t>°</w:t>
      </w:r>
    </w:p>
    <w:p w:rsidR="005630CF" w:rsidRPr="00866542" w:rsidRDefault="005630CF" w:rsidP="005630CF">
      <w:pPr>
        <w:pStyle w:val="NormalHanging12a"/>
        <w:widowControl w:val="0"/>
      </w:pPr>
      <w:r w:rsidRPr="00866542">
        <w:t>34.</w:t>
      </w:r>
      <w:r w:rsidRPr="00866542">
        <w:tab/>
      </w:r>
      <w:proofErr w:type="gramStart"/>
      <w:r w:rsidRPr="00866542">
        <w:t>zobowiązuje</w:t>
      </w:r>
      <w:proofErr w:type="gramEnd"/>
      <w:r w:rsidRPr="00866542">
        <w:t xml:space="preserve"> swoją przewodniczącą do przekazania niniejszej rezolucji Radzie i Komisji.</w:t>
      </w:r>
    </w:p>
    <w:sectPr w:rsidR="005630CF" w:rsidRPr="00866542" w:rsidSect="008665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EF4" w:rsidRPr="00866542" w:rsidRDefault="00BC5EF4">
      <w:r w:rsidRPr="00866542">
        <w:separator/>
      </w:r>
    </w:p>
  </w:endnote>
  <w:endnote w:type="continuationSeparator" w:id="0">
    <w:p w:rsidR="00BC5EF4" w:rsidRPr="00866542" w:rsidRDefault="00BC5EF4">
      <w:r w:rsidRPr="008665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5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5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5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EF4" w:rsidRPr="00866542" w:rsidRDefault="00BC5EF4">
      <w:r w:rsidRPr="00866542">
        <w:separator/>
      </w:r>
    </w:p>
  </w:footnote>
  <w:footnote w:type="continuationSeparator" w:id="0">
    <w:p w:rsidR="00BC5EF4" w:rsidRPr="00866542" w:rsidRDefault="00BC5EF4">
      <w:r w:rsidRPr="00866542">
        <w:continuationSeparator/>
      </w:r>
    </w:p>
  </w:footnote>
  <w:footnote w:id="1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1" w:history="1">
        <w:r w:rsidRPr="00866542">
          <w:rPr>
            <w:rStyle w:val="Hyperlink"/>
            <w:lang w:val="pl-PL"/>
          </w:rPr>
          <w:t xml:space="preserve"> Dz.U. L 77 z 27.3.1996,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20</w:t>
        </w:r>
      </w:hyperlink>
      <w:r w:rsidRPr="00866542">
        <w:rPr>
          <w:lang w:val="pl-PL"/>
        </w:rPr>
        <w:t>.</w:t>
      </w:r>
    </w:p>
  </w:footnote>
  <w:footnote w:id="2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2" w:history="1">
        <w:r w:rsidRPr="00866542">
          <w:rPr>
            <w:rStyle w:val="Hyperlink"/>
            <w:lang w:val="pl-PL"/>
          </w:rPr>
          <w:t xml:space="preserve"> Dz.U. L 149 z 11.6.2005,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22</w:t>
        </w:r>
      </w:hyperlink>
      <w:r w:rsidRPr="00866542">
        <w:rPr>
          <w:lang w:val="pl-PL"/>
        </w:rPr>
        <w:t>.</w:t>
      </w:r>
    </w:p>
  </w:footnote>
  <w:footnote w:id="3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3" w:history="1">
        <w:r w:rsidRPr="00866542">
          <w:rPr>
            <w:rStyle w:val="Hyperlink"/>
            <w:lang w:val="pl-PL"/>
          </w:rPr>
          <w:t xml:space="preserve"> Dz.U. L 199 z 31.7.2007,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40</w:t>
        </w:r>
      </w:hyperlink>
      <w:r w:rsidRPr="00866542">
        <w:rPr>
          <w:lang w:val="pl-PL"/>
        </w:rPr>
        <w:t>.</w:t>
      </w:r>
    </w:p>
  </w:footnote>
  <w:footnote w:id="4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4" w:history="1">
        <w:r w:rsidRPr="00866542">
          <w:rPr>
            <w:rStyle w:val="Hyperlink"/>
            <w:lang w:val="pl-PL"/>
          </w:rPr>
          <w:t xml:space="preserve"> Dz.U. L 177 z 4.7.2008,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6</w:t>
        </w:r>
      </w:hyperlink>
      <w:r w:rsidRPr="00866542">
        <w:rPr>
          <w:lang w:val="pl-PL"/>
        </w:rPr>
        <w:t>.</w:t>
      </w:r>
    </w:p>
  </w:footnote>
  <w:footnote w:id="5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5" w:history="1">
        <w:r w:rsidRPr="00866542">
          <w:rPr>
            <w:rStyle w:val="Hyperlink"/>
            <w:lang w:val="pl-PL"/>
          </w:rPr>
          <w:t xml:space="preserve"> Dz.U. L 111 z 5.5.2009,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16</w:t>
        </w:r>
      </w:hyperlink>
      <w:r w:rsidRPr="00866542">
        <w:rPr>
          <w:lang w:val="pl-PL"/>
        </w:rPr>
        <w:t>.</w:t>
      </w:r>
    </w:p>
  </w:footnote>
  <w:footnote w:id="6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6" w:history="1">
        <w:r w:rsidRPr="00866542">
          <w:rPr>
            <w:rStyle w:val="Hyperlink"/>
            <w:lang w:val="pl-PL"/>
          </w:rPr>
          <w:t xml:space="preserve"> Dz.U. L 351 z 20.12.2012,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1</w:t>
        </w:r>
      </w:hyperlink>
      <w:r w:rsidRPr="00866542">
        <w:rPr>
          <w:lang w:val="pl-PL"/>
        </w:rPr>
        <w:t>.</w:t>
      </w:r>
    </w:p>
  </w:footnote>
  <w:footnote w:id="7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7" w:history="1">
        <w:r w:rsidRPr="00866542">
          <w:rPr>
            <w:rStyle w:val="Hyperlink"/>
            <w:lang w:val="pl-PL"/>
          </w:rPr>
          <w:t xml:space="preserve"> Dz.U. L 257 z 28.8.2014,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73</w:t>
        </w:r>
      </w:hyperlink>
      <w:r w:rsidRPr="00866542">
        <w:rPr>
          <w:lang w:val="pl-PL"/>
        </w:rPr>
        <w:t>.</w:t>
      </w:r>
    </w:p>
  </w:footnote>
  <w:footnote w:id="8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8" w:history="1">
        <w:r w:rsidRPr="00866542">
          <w:rPr>
            <w:rStyle w:val="Hyperlink"/>
            <w:lang w:val="pl-PL"/>
          </w:rPr>
          <w:t xml:space="preserve"> Dz.U. L 157 z 15.6.2016,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1</w:t>
        </w:r>
      </w:hyperlink>
      <w:r w:rsidRPr="00866542">
        <w:rPr>
          <w:lang w:val="pl-PL"/>
        </w:rPr>
        <w:t>.</w:t>
      </w:r>
    </w:p>
  </w:footnote>
  <w:footnote w:id="9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9" w:history="1">
        <w:r w:rsidRPr="00866542">
          <w:rPr>
            <w:rStyle w:val="Hyperlink"/>
            <w:lang w:val="pl-PL"/>
          </w:rPr>
          <w:t xml:space="preserve"> Dz.U. L 119 z 4.5.2016,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1</w:t>
        </w:r>
      </w:hyperlink>
      <w:r w:rsidRPr="00866542">
        <w:rPr>
          <w:lang w:val="pl-PL"/>
        </w:rPr>
        <w:t>.</w:t>
      </w:r>
    </w:p>
  </w:footnote>
  <w:footnote w:id="10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10" w:history="1">
        <w:r w:rsidRPr="00866542">
          <w:rPr>
            <w:rStyle w:val="Hyperlink"/>
            <w:lang w:val="pl-PL"/>
          </w:rPr>
          <w:t xml:space="preserve"> Dz.U. L 119 z 4.5.2016,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89</w:t>
        </w:r>
      </w:hyperlink>
      <w:r w:rsidRPr="00866542">
        <w:rPr>
          <w:lang w:val="pl-PL"/>
        </w:rPr>
        <w:t>.</w:t>
      </w:r>
    </w:p>
  </w:footnote>
  <w:footnote w:id="11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11" w:history="1">
        <w:r w:rsidRPr="00866542">
          <w:rPr>
            <w:rStyle w:val="Hyperlink"/>
            <w:lang w:val="pl-PL"/>
          </w:rPr>
          <w:t xml:space="preserve"> Dz.U. L 327 z 2.12.2016,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1</w:t>
        </w:r>
      </w:hyperlink>
      <w:r w:rsidRPr="00866542">
        <w:rPr>
          <w:lang w:val="pl-PL"/>
        </w:rPr>
        <w:t>.</w:t>
      </w:r>
    </w:p>
  </w:footnote>
  <w:footnote w:id="12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12" w:history="1">
        <w:r w:rsidRPr="00866542">
          <w:rPr>
            <w:rStyle w:val="Hyperlink"/>
            <w:lang w:val="pl-PL"/>
          </w:rPr>
          <w:t xml:space="preserve"> Dz.U. L 154 z 16.6.2017,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1</w:t>
        </w:r>
      </w:hyperlink>
      <w:r w:rsidRPr="00866542">
        <w:rPr>
          <w:lang w:val="pl-PL"/>
        </w:rPr>
        <w:t>.</w:t>
      </w:r>
    </w:p>
  </w:footnote>
  <w:footnote w:id="13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13" w:history="1">
        <w:r w:rsidRPr="00866542">
          <w:rPr>
            <w:rStyle w:val="Hyperlink"/>
            <w:lang w:val="pl-PL"/>
          </w:rPr>
          <w:t xml:space="preserve"> Dz.U. L 295 z 21.11.2018,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39</w:t>
        </w:r>
      </w:hyperlink>
      <w:r w:rsidRPr="00866542">
        <w:rPr>
          <w:lang w:val="pl-PL"/>
        </w:rPr>
        <w:t>.</w:t>
      </w:r>
    </w:p>
  </w:footnote>
  <w:footnote w:id="14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14" w:history="1">
        <w:r w:rsidRPr="00866542">
          <w:rPr>
            <w:rStyle w:val="Hyperlink"/>
            <w:lang w:val="pl-PL"/>
          </w:rPr>
          <w:t xml:space="preserve"> Dz.U. L 303 z 28.11.2018,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59</w:t>
        </w:r>
      </w:hyperlink>
      <w:r w:rsidRPr="00866542">
        <w:rPr>
          <w:lang w:val="pl-PL"/>
        </w:rPr>
        <w:t>.</w:t>
      </w:r>
    </w:p>
  </w:footnote>
  <w:footnote w:id="15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15" w:history="1">
        <w:r w:rsidRPr="00866542">
          <w:rPr>
            <w:rStyle w:val="Hyperlink"/>
            <w:lang w:val="pl-PL"/>
          </w:rPr>
          <w:t xml:space="preserve"> Dz.U. L 130 z 17.5.2019,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92</w:t>
        </w:r>
      </w:hyperlink>
      <w:r w:rsidRPr="00866542">
        <w:rPr>
          <w:lang w:val="pl-PL"/>
        </w:rPr>
        <w:t>.</w:t>
      </w:r>
    </w:p>
  </w:footnote>
  <w:footnote w:id="16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16" w:history="1">
        <w:r w:rsidRPr="00866542">
          <w:rPr>
            <w:rStyle w:val="Hyperlink"/>
            <w:lang w:val="pl-PL"/>
          </w:rPr>
          <w:t xml:space="preserve"> Dz.U. L 151 z 7.6.2019,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70</w:t>
        </w:r>
      </w:hyperlink>
      <w:r w:rsidRPr="00866542">
        <w:rPr>
          <w:lang w:val="pl-PL"/>
        </w:rPr>
        <w:t>.</w:t>
      </w:r>
    </w:p>
  </w:footnote>
  <w:footnote w:id="17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17" w:history="1">
        <w:r w:rsidRPr="00866542">
          <w:rPr>
            <w:rStyle w:val="Hyperlink"/>
            <w:lang w:val="pl-PL"/>
          </w:rPr>
          <w:t xml:space="preserve"> Dz.U. L 172 z 26.6.2019,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56</w:t>
        </w:r>
      </w:hyperlink>
      <w:r w:rsidRPr="00866542">
        <w:rPr>
          <w:lang w:val="pl-PL"/>
        </w:rPr>
        <w:t>.</w:t>
      </w:r>
    </w:p>
  </w:footnote>
  <w:footnote w:id="18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18" w:history="1">
        <w:r w:rsidRPr="00866542">
          <w:rPr>
            <w:rStyle w:val="Hyperlink"/>
            <w:lang w:val="pl-PL"/>
          </w:rPr>
          <w:t xml:space="preserve"> Dz.U. L 186 z 11.7.2019,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57</w:t>
        </w:r>
      </w:hyperlink>
      <w:r w:rsidRPr="00866542">
        <w:rPr>
          <w:lang w:val="pl-PL"/>
        </w:rPr>
        <w:t>.</w:t>
      </w:r>
    </w:p>
  </w:footnote>
  <w:footnote w:id="19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19" w:history="1">
        <w:r w:rsidRPr="00866542">
          <w:rPr>
            <w:rStyle w:val="Hyperlink"/>
            <w:lang w:val="pl-PL"/>
          </w:rPr>
          <w:t xml:space="preserve"> Dz.U. L 152 z 3.6.2022,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1</w:t>
        </w:r>
      </w:hyperlink>
      <w:r w:rsidRPr="00866542">
        <w:rPr>
          <w:lang w:val="pl-PL"/>
        </w:rPr>
        <w:t>.</w:t>
      </w:r>
    </w:p>
  </w:footnote>
  <w:footnote w:id="20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20" w:history="1">
        <w:r w:rsidRPr="00866542">
          <w:rPr>
            <w:rStyle w:val="Hyperlink"/>
            <w:lang w:val="pl-PL"/>
          </w:rPr>
          <w:t xml:space="preserve"> Dz.U. L 265 z 12.10.2022,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1</w:t>
        </w:r>
      </w:hyperlink>
      <w:r w:rsidRPr="00866542">
        <w:rPr>
          <w:lang w:val="pl-PL"/>
        </w:rPr>
        <w:t>.</w:t>
      </w:r>
    </w:p>
  </w:footnote>
  <w:footnote w:id="21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21" w:history="1">
        <w:r w:rsidRPr="00866542">
          <w:rPr>
            <w:rStyle w:val="Hyperlink"/>
            <w:lang w:val="pl-PL"/>
          </w:rPr>
          <w:t xml:space="preserve"> Dz.U. L 277 z 27.10.2022,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1</w:t>
        </w:r>
      </w:hyperlink>
      <w:r w:rsidRPr="00866542">
        <w:rPr>
          <w:lang w:val="pl-PL"/>
        </w:rPr>
        <w:t>.</w:t>
      </w:r>
    </w:p>
  </w:footnote>
  <w:footnote w:id="22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22" w:history="1">
        <w:r w:rsidRPr="00866542">
          <w:rPr>
            <w:rStyle w:val="Hyperlink"/>
            <w:lang w:val="pl-PL"/>
          </w:rPr>
          <w:t xml:space="preserve"> Dz.U. L 135 z 23.5.2023,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1</w:t>
        </w:r>
      </w:hyperlink>
      <w:r w:rsidRPr="00866542">
        <w:rPr>
          <w:lang w:val="pl-PL"/>
        </w:rPr>
        <w:t>.</w:t>
      </w:r>
    </w:p>
  </w:footnote>
  <w:footnote w:id="23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hyperlink r:id="rId23" w:history="1">
        <w:r w:rsidRPr="00866542">
          <w:rPr>
            <w:rStyle w:val="Hyperlink"/>
            <w:lang w:val="pl-PL"/>
          </w:rPr>
          <w:t xml:space="preserve"> Dz.U. L 150 z 9.6.2023,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40</w:t>
        </w:r>
      </w:hyperlink>
      <w:r w:rsidRPr="00866542">
        <w:rPr>
          <w:lang w:val="pl-PL"/>
        </w:rPr>
        <w:t>.</w:t>
      </w:r>
    </w:p>
  </w:footnote>
  <w:footnote w:id="24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r w:rsidRPr="00866542">
        <w:rPr>
          <w:lang w:val="pl-PL"/>
        </w:rPr>
        <w:t xml:space="preserve"> </w:t>
      </w:r>
      <w:hyperlink r:id="rId24" w:history="1">
        <w:r w:rsidRPr="00866542">
          <w:rPr>
            <w:rStyle w:val="Hyperlink"/>
            <w:lang w:val="pl-PL"/>
          </w:rPr>
          <w:t xml:space="preserve">Dz.U. C 404 z 6.10.2021,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129</w:t>
        </w:r>
      </w:hyperlink>
      <w:r w:rsidRPr="00866542">
        <w:rPr>
          <w:lang w:val="pl-PL"/>
        </w:rPr>
        <w:t>.</w:t>
      </w:r>
    </w:p>
  </w:footnote>
  <w:footnote w:id="25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r w:rsidRPr="00866542">
        <w:rPr>
          <w:lang w:val="pl-PL"/>
        </w:rPr>
        <w:t xml:space="preserve"> </w:t>
      </w:r>
      <w:hyperlink r:id="rId25" w:history="1">
        <w:r w:rsidRPr="00866542">
          <w:rPr>
            <w:rStyle w:val="Hyperlink"/>
            <w:lang w:val="pl-PL"/>
          </w:rPr>
          <w:t xml:space="preserve">Dz.U. C 205 z 20.5.2022, </w:t>
        </w:r>
        <w:proofErr w:type="gramStart"/>
        <w:r w:rsidRPr="00866542">
          <w:rPr>
            <w:rStyle w:val="Hyperlink"/>
            <w:lang w:val="pl-PL"/>
          </w:rPr>
          <w:t>s</w:t>
        </w:r>
        <w:proofErr w:type="gramEnd"/>
        <w:r w:rsidRPr="00866542">
          <w:rPr>
            <w:rStyle w:val="Hyperlink"/>
            <w:lang w:val="pl-PL"/>
          </w:rPr>
          <w:t>. 26</w:t>
        </w:r>
      </w:hyperlink>
      <w:r w:rsidRPr="00866542">
        <w:rPr>
          <w:lang w:val="pl-PL"/>
        </w:rPr>
        <w:t>.</w:t>
      </w:r>
      <w:bookmarkStart w:id="8" w:name="_GoBack"/>
      <w:bookmarkEnd w:id="8"/>
    </w:p>
  </w:footnote>
  <w:footnote w:id="26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r w:rsidRPr="00866542">
        <w:rPr>
          <w:lang w:val="pl-PL"/>
        </w:rPr>
        <w:t xml:space="preserve"> Dz.U. C 303 z 14.12.2007, </w:t>
      </w:r>
      <w:proofErr w:type="gramStart"/>
      <w:r w:rsidRPr="00866542">
        <w:rPr>
          <w:lang w:val="pl-PL"/>
        </w:rPr>
        <w:t>s</w:t>
      </w:r>
      <w:proofErr w:type="gramEnd"/>
      <w:r w:rsidRPr="00866542">
        <w:rPr>
          <w:lang w:val="pl-PL"/>
        </w:rPr>
        <w:t>. 1.</w:t>
      </w:r>
    </w:p>
  </w:footnote>
  <w:footnote w:id="27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r w:rsidRPr="00866542">
        <w:rPr>
          <w:lang w:val="pl-PL"/>
        </w:rPr>
        <w:t xml:space="preserve"> </w:t>
      </w:r>
      <w:r w:rsidRPr="00866542">
        <w:rPr>
          <w:shd w:val="clear" w:color="auto" w:fill="FFFFFF"/>
          <w:lang w:val="pl-PL"/>
        </w:rPr>
        <w:t xml:space="preserve">Rozporządzenie Parlamentu Europejskiego i Rady (UE) 2016/679 z dnia 27 kwietnia 2016 r. w sprawie ochrony osób fizycznych w związku z przetwarzaniem danych osobowych i w sprawie swobodnego przepływu takich danych oraz uchylenia dyrektywy 95/46/WE, Dz.U. L 119 z 4.5.2016, </w:t>
      </w:r>
      <w:proofErr w:type="gramStart"/>
      <w:r w:rsidRPr="00866542">
        <w:rPr>
          <w:shd w:val="clear" w:color="auto" w:fill="FFFFFF"/>
          <w:lang w:val="pl-PL"/>
        </w:rPr>
        <w:t>s</w:t>
      </w:r>
      <w:proofErr w:type="gramEnd"/>
      <w:r w:rsidRPr="00866542">
        <w:rPr>
          <w:shd w:val="clear" w:color="auto" w:fill="FFFFFF"/>
          <w:lang w:val="pl-PL"/>
        </w:rPr>
        <w:t>. 1.</w:t>
      </w:r>
    </w:p>
  </w:footnote>
  <w:footnote w:id="28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r w:rsidRPr="00866542">
        <w:rPr>
          <w:lang w:val="pl-PL"/>
        </w:rPr>
        <w:t xml:space="preserve"> </w:t>
      </w:r>
      <w:r w:rsidRPr="00866542">
        <w:rPr>
          <w:shd w:val="clear" w:color="auto" w:fill="FFFFFF"/>
          <w:lang w:val="pl-PL"/>
        </w:rPr>
        <w:t xml:space="preserve">Dyrektywa Parlamentu Europejskiego i Rady 2011/83/UE z dnia 25 października 2011 r. w sprawie praw konsumentów, zmieniająca dyrektywę Rady 93/13/EWG i dyrektywę 1999/44/WE Parlamentu Europejskiego i Rady oraz uchylająca dyrektywę Rady 85/577/EWG i dyrektywę 97/7/WE Parlamentu Europejskiego i Rady, Dz.U. L 304 z 22.11.2011, </w:t>
      </w:r>
      <w:proofErr w:type="gramStart"/>
      <w:r w:rsidRPr="00866542">
        <w:rPr>
          <w:shd w:val="clear" w:color="auto" w:fill="FFFFFF"/>
          <w:lang w:val="pl-PL"/>
        </w:rPr>
        <w:t>s</w:t>
      </w:r>
      <w:proofErr w:type="gramEnd"/>
      <w:r w:rsidRPr="00866542">
        <w:rPr>
          <w:shd w:val="clear" w:color="auto" w:fill="FFFFFF"/>
          <w:lang w:val="pl-PL"/>
        </w:rPr>
        <w:t>. 64.</w:t>
      </w:r>
    </w:p>
  </w:footnote>
  <w:footnote w:id="29">
    <w:p w:rsidR="005630CF" w:rsidRPr="00866542" w:rsidRDefault="005630CF" w:rsidP="00866542">
      <w:pPr>
        <w:pStyle w:val="FootnoteText"/>
        <w:ind w:left="567" w:hanging="567"/>
        <w:rPr>
          <w:lang w:val="pl-PL"/>
        </w:rPr>
      </w:pPr>
      <w:r w:rsidRPr="00866542">
        <w:rPr>
          <w:rStyle w:val="FootnoteReference"/>
          <w:lang w:val="pl-PL"/>
        </w:rPr>
        <w:footnoteRef/>
      </w:r>
      <w:r w:rsidRPr="00866542">
        <w:rPr>
          <w:lang w:val="pl-PL"/>
        </w:rPr>
        <w:t xml:space="preserve"> </w:t>
      </w:r>
      <w:r w:rsidRPr="00866542">
        <w:rPr>
          <w:shd w:val="clear" w:color="auto" w:fill="FFFFFF"/>
          <w:lang w:val="pl-PL"/>
        </w:rPr>
        <w:t xml:space="preserve">Dyrektywa Rady 93/13/EWG z dnia 5 kwietnia 1993 r. w sprawie nieuczciwych warunków w umowach konsumenckich, Dz.U. L 95 z 21.4.1993, </w:t>
      </w:r>
      <w:proofErr w:type="gramStart"/>
      <w:r w:rsidRPr="00866542">
        <w:rPr>
          <w:shd w:val="clear" w:color="auto" w:fill="FFFFFF"/>
          <w:lang w:val="pl-PL"/>
        </w:rPr>
        <w:t>s</w:t>
      </w:r>
      <w:proofErr w:type="gramEnd"/>
      <w:r w:rsidRPr="00866542">
        <w:rPr>
          <w:shd w:val="clear" w:color="auto" w:fill="FFFFFF"/>
          <w:lang w:val="pl-PL"/>
        </w:rPr>
        <w:t>. 29.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5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5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65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2/2023"/>
    <w:docVar w:name="dvlangue" w:val="PL"/>
    <w:docVar w:name="dvnumam" w:val="0"/>
    <w:docVar w:name="dvpe" w:val="753.772"/>
    <w:docVar w:name="dvrapporteur" w:val="Sprawozdawca: "/>
    <w:docVar w:name="dvtitre" w:val="Rezolucja Parlamentu Europejskiego z dnia  2024 r. w sprawie skutków politycznych rozwoju światów wirtualnych – kwestie dotyczące prawa cywilnego, prawa spółek, prawa handlowego i prawa własności intelektualnej(2023/2062(INI))"/>
  </w:docVars>
  <w:rsids>
    <w:rsidRoot w:val="00BC5EF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535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0CF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54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5B6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5EF4"/>
    <w:rsid w:val="00BD48FE"/>
    <w:rsid w:val="00BD7BD8"/>
    <w:rsid w:val="00BE6ADC"/>
    <w:rsid w:val="00C05BFE"/>
    <w:rsid w:val="00C23CD4"/>
    <w:rsid w:val="00C411C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719FCB"/>
  <w15:chartTrackingRefBased/>
  <w15:docId w15:val="{E8BFC917-126E-4538-AAC6-5804E1AE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630CF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qFormat/>
    <w:rsid w:val="005630CF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5630CF"/>
    <w:rPr>
      <w:b/>
      <w:i/>
      <w:u w:val="none"/>
    </w:rPr>
  </w:style>
  <w:style w:type="character" w:customStyle="1" w:styleId="Italic">
    <w:name w:val="Italic"/>
    <w:uiPriority w:val="1"/>
    <w:rsid w:val="005630CF"/>
    <w:rPr>
      <w:i/>
    </w:rPr>
  </w:style>
  <w:style w:type="character" w:styleId="Hyperlink">
    <w:name w:val="Hyperlink"/>
    <w:basedOn w:val="DefaultParagraphFont"/>
    <w:unhideWhenUsed/>
    <w:rsid w:val="005630C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630CF"/>
    <w:rPr>
      <w:snapToGrid w:val="0"/>
      <w:sz w:val="24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L/TXT/?uri=CELEX:32016L0943" TargetMode="External"/><Relationship Id="rId13" Type="http://schemas.openxmlformats.org/officeDocument/2006/relationships/hyperlink" Target="https://eur-lex.europa.eu/legal-content/PL/TXT/?uri=CELEX:32018R1725&amp;qid=1697204746016" TargetMode="External"/><Relationship Id="rId18" Type="http://schemas.openxmlformats.org/officeDocument/2006/relationships/hyperlink" Target="https://eur-lex.europa.eu/legal-content/PL/TXT/?uri=celex:32019R1150" TargetMode="External"/><Relationship Id="rId3" Type="http://schemas.openxmlformats.org/officeDocument/2006/relationships/hyperlink" Target="https://eur-lex.europa.eu/legal-content/PL/TXT/?uri=celex:32007R0864" TargetMode="External"/><Relationship Id="rId21" Type="http://schemas.openxmlformats.org/officeDocument/2006/relationships/hyperlink" Target="https://eur-lex.europa.eu/legal-content/PL/TXT/?uri=celex:32022R2065" TargetMode="External"/><Relationship Id="rId7" Type="http://schemas.openxmlformats.org/officeDocument/2006/relationships/hyperlink" Target="https://eur-lex.europa.eu/legal-content/PL/TXT/?uri=uriserv:OJ.L_.2014.257.01.0073.01.POL" TargetMode="External"/><Relationship Id="rId12" Type="http://schemas.openxmlformats.org/officeDocument/2006/relationships/hyperlink" Target="https://eur-lex.europa.eu/legal-content/PL/TXT/?uri=CELEX:32017R1001" TargetMode="External"/><Relationship Id="rId17" Type="http://schemas.openxmlformats.org/officeDocument/2006/relationships/hyperlink" Target="https://eur-lex.europa.eu/legal-content/PL/TXT/?uri=celex:32019L1024" TargetMode="External"/><Relationship Id="rId25" Type="http://schemas.openxmlformats.org/officeDocument/2006/relationships/hyperlink" Target="https://eur-lex.europa.eu/legal-content/PL/TXT/?uri=CELEX:52021IP0453" TargetMode="External"/><Relationship Id="rId2" Type="http://schemas.openxmlformats.org/officeDocument/2006/relationships/hyperlink" Target="https://eur-lex.europa.eu/legal-content/PL/TXT/?uri=celex:32005L0029" TargetMode="External"/><Relationship Id="rId16" Type="http://schemas.openxmlformats.org/officeDocument/2006/relationships/hyperlink" Target="https://eur-lex.europa.eu/legal-content/PL/TXT/?uri=celex:32019L0882" TargetMode="External"/><Relationship Id="rId20" Type="http://schemas.openxmlformats.org/officeDocument/2006/relationships/hyperlink" Target="https://eur-lex.europa.eu/legal-content/PL/TXT/?uri=CELEX:32022R1925&amp;qid=1697205445062" TargetMode="External"/><Relationship Id="rId1" Type="http://schemas.openxmlformats.org/officeDocument/2006/relationships/hyperlink" Target="https://eur-lex.europa.eu/legal-content/PL/TXT/?uri=celex:31996L0009" TargetMode="External"/><Relationship Id="rId6" Type="http://schemas.openxmlformats.org/officeDocument/2006/relationships/hyperlink" Target="https://eur-lex.europa.eu/legal-content/EN/TXT/?uri=CELEX:02012R1215-20150226" TargetMode="External"/><Relationship Id="rId11" Type="http://schemas.openxmlformats.org/officeDocument/2006/relationships/hyperlink" Target="https://eur-lex.europa.eu/legal-content/PL/TXT/?uri=CELEX:32016L2102&amp;qid=1697204447140" TargetMode="External"/><Relationship Id="rId24" Type="http://schemas.openxmlformats.org/officeDocument/2006/relationships/hyperlink" Target="https://eur-lex.europa.eu/legal-content/PL/TXT/?uri=CELEX:52020IP0277" TargetMode="External"/><Relationship Id="rId5" Type="http://schemas.openxmlformats.org/officeDocument/2006/relationships/hyperlink" Target="https://eur-lex.europa.eu/legal-content/PL/ALL/?uri=CELEX:32009L0024" TargetMode="External"/><Relationship Id="rId15" Type="http://schemas.openxmlformats.org/officeDocument/2006/relationships/hyperlink" Target="https://eur-lex.europa.eu/legal-content/PL/TXT/?uri=CELEX:32019L0790&amp;qid=1697204814130" TargetMode="External"/><Relationship Id="rId23" Type="http://schemas.openxmlformats.org/officeDocument/2006/relationships/hyperlink" Target="https://eur-lex.europa.eu/legal-content/PL/TXT/?uri=CELEX:32023R1114" TargetMode="External"/><Relationship Id="rId10" Type="http://schemas.openxmlformats.org/officeDocument/2006/relationships/hyperlink" Target="https://eur-lex.europa.eu/legal-content/PL/TXT/?uri=celex:32016L0680" TargetMode="External"/><Relationship Id="rId19" Type="http://schemas.openxmlformats.org/officeDocument/2006/relationships/hyperlink" Target="https://eur-lex.europa.eu/legal-content/PL/TXT/?uri=celex:32022R0868" TargetMode="External"/><Relationship Id="rId4" Type="http://schemas.openxmlformats.org/officeDocument/2006/relationships/hyperlink" Target="https://eur-lex.europa.eu/legal-content/PL/ALL/?uri=CELEX:32008R0593" TargetMode="External"/><Relationship Id="rId9" Type="http://schemas.openxmlformats.org/officeDocument/2006/relationships/hyperlink" Target="https://eur-lex.europa.eu/legal-content/PL/TXT/?uri=CELEX:32016R0679&amp;qid=1697204364930" TargetMode="External"/><Relationship Id="rId14" Type="http://schemas.openxmlformats.org/officeDocument/2006/relationships/hyperlink" Target="https://eur-lex.europa.eu/legal-content/PL/TXT/?uri=celex:32018R1807" TargetMode="External"/><Relationship Id="rId22" Type="http://schemas.openxmlformats.org/officeDocument/2006/relationships/hyperlink" Target="https://eur-lex.europa.eu/legal-content/PL/TXT/?toc=OJ:L:2023:135:TOC&amp;uri=uriserv:OJ.L_.2023.135.01.0001.01.P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6E0E9-53DF-4F25-8EE7-95D04D91A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3625</Words>
  <Characters>25024</Characters>
  <Application>Microsoft Office Word</Application>
  <DocSecurity>0</DocSecurity>
  <Lines>472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2024-02-15T15:11:00Z</dcterms:created>
  <dcterms:modified xsi:type="dcterms:W3CDTF">2024-02-15T15:11:00Z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A9-0442/2023</vt:lpwstr>
  </property>
  <property fmtid="{D5CDD505-2E9C-101B-9397-08002B2CF9AE}" pid="4" name="&lt;Type&gt;">
    <vt:lpwstr>RR</vt:lpwstr>
  </property>
</Properties>
</file>