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7AB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E7AB2" w:rsidRDefault="00C13B54" w:rsidP="0010095E">
            <w:pPr>
              <w:pStyle w:val="EPName"/>
            </w:pPr>
            <w:r w:rsidRPr="00DE7AB2">
              <w:t>Evropský parlament</w:t>
            </w:r>
          </w:p>
          <w:p w:rsidR="00751A4A" w:rsidRPr="00DE7AB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7AB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E7AB2" w:rsidRDefault="00187494" w:rsidP="0010095E">
            <w:pPr>
              <w:pStyle w:val="EPLogo"/>
            </w:pPr>
            <w:r w:rsidRPr="00DE7AB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E7AB2" w:rsidRDefault="00D058B8" w:rsidP="004C5D52">
      <w:pPr>
        <w:pStyle w:val="LineTop"/>
      </w:pPr>
    </w:p>
    <w:p w:rsidR="00680577" w:rsidRPr="00DE7AB2" w:rsidRDefault="00C13B54" w:rsidP="00680577">
      <w:pPr>
        <w:pStyle w:val="EPBodyTA1"/>
      </w:pPr>
      <w:r w:rsidRPr="00DE7AB2">
        <w:t>PŘIJATÉ TEXTY</w:t>
      </w:r>
    </w:p>
    <w:p w:rsidR="00D058B8" w:rsidRPr="00DE7AB2" w:rsidRDefault="00D058B8" w:rsidP="00D058B8">
      <w:pPr>
        <w:pStyle w:val="LineBottom"/>
      </w:pPr>
    </w:p>
    <w:p w:rsidR="00C13B54" w:rsidRPr="00DE7AB2" w:rsidRDefault="00C13B54" w:rsidP="00C13B54">
      <w:pPr>
        <w:pStyle w:val="ATHeading1"/>
      </w:pPr>
      <w:bookmarkStart w:id="0" w:name="TANumber"/>
      <w:r w:rsidRPr="00DE7AB2">
        <w:t>P9_TA(2024)00</w:t>
      </w:r>
      <w:bookmarkEnd w:id="0"/>
      <w:r w:rsidR="001072B0">
        <w:t>30</w:t>
      </w:r>
    </w:p>
    <w:p w:rsidR="00C13B54" w:rsidRPr="00DE7AB2" w:rsidRDefault="00C13B54" w:rsidP="00C13B54">
      <w:pPr>
        <w:pStyle w:val="ATHeading2"/>
      </w:pPr>
      <w:bookmarkStart w:id="1" w:name="title"/>
      <w:r w:rsidRPr="00DE7AB2">
        <w:t>Evropské historické vědomí</w:t>
      </w:r>
      <w:bookmarkEnd w:id="1"/>
    </w:p>
    <w:p w:rsidR="00C13B54" w:rsidRPr="00DE7AB2" w:rsidRDefault="00C13B54" w:rsidP="00C13B54">
      <w:pPr>
        <w:rPr>
          <w:i/>
          <w:vanish/>
        </w:rPr>
      </w:pPr>
      <w:r w:rsidRPr="00DE7AB2">
        <w:rPr>
          <w:i/>
        </w:rPr>
        <w:fldChar w:fldCharType="begin"/>
      </w:r>
      <w:r w:rsidRPr="00DE7AB2">
        <w:rPr>
          <w:i/>
        </w:rPr>
        <w:instrText xml:space="preserve"> TC"(</w:instrText>
      </w:r>
      <w:bookmarkStart w:id="2" w:name="DocNumber"/>
      <w:r w:rsidRPr="00DE7AB2">
        <w:rPr>
          <w:i/>
        </w:rPr>
        <w:instrText>A9-0402/2023</w:instrText>
      </w:r>
      <w:bookmarkEnd w:id="2"/>
      <w:r w:rsidRPr="00DE7AB2">
        <w:rPr>
          <w:i/>
        </w:rPr>
        <w:instrText xml:space="preserve"> - Zpravodajka: Sabine Verheyen)"\l3 \n&gt; \* MERGEFORMAT </w:instrText>
      </w:r>
      <w:r w:rsidRPr="00DE7AB2">
        <w:rPr>
          <w:i/>
        </w:rPr>
        <w:fldChar w:fldCharType="end"/>
      </w:r>
    </w:p>
    <w:p w:rsidR="00C13B54" w:rsidRPr="00DE7AB2" w:rsidRDefault="00C13B54" w:rsidP="00C13B54">
      <w:pPr>
        <w:rPr>
          <w:vanish/>
        </w:rPr>
      </w:pPr>
      <w:bookmarkStart w:id="3" w:name="Commission"/>
      <w:r w:rsidRPr="00DE7AB2">
        <w:rPr>
          <w:vanish/>
        </w:rPr>
        <w:t>Výbor pro kulturu a vzdělávání</w:t>
      </w:r>
      <w:bookmarkEnd w:id="3"/>
    </w:p>
    <w:p w:rsidR="00C13B54" w:rsidRPr="00DE7AB2" w:rsidRDefault="00C13B54" w:rsidP="00C13B54">
      <w:pPr>
        <w:rPr>
          <w:vanish/>
        </w:rPr>
      </w:pPr>
      <w:bookmarkStart w:id="4" w:name="PE"/>
      <w:r w:rsidRPr="00DE7AB2">
        <w:rPr>
          <w:vanish/>
        </w:rPr>
        <w:t>PE752.701</w:t>
      </w:r>
      <w:bookmarkEnd w:id="4"/>
    </w:p>
    <w:p w:rsidR="00C13B54" w:rsidRPr="00DE7AB2" w:rsidRDefault="00C13B54" w:rsidP="00C13B54">
      <w:pPr>
        <w:pStyle w:val="ATHeading3"/>
      </w:pPr>
      <w:bookmarkStart w:id="5" w:name="Sujet"/>
      <w:r w:rsidRPr="00DE7AB2">
        <w:t xml:space="preserve">Usnesení </w:t>
      </w:r>
      <w:r w:rsidR="001072B0">
        <w:t>Evropského parlamentu ze dne 17</w:t>
      </w:r>
      <w:bookmarkStart w:id="6" w:name="_GoBack"/>
      <w:bookmarkEnd w:id="6"/>
      <w:r w:rsidR="00324A39">
        <w:t>. ledna</w:t>
      </w:r>
      <w:r w:rsidRPr="00DE7AB2">
        <w:t xml:space="preserve"> 2024 o evropském historickém vědomí</w:t>
      </w:r>
      <w:bookmarkEnd w:id="5"/>
      <w:r w:rsidRPr="00DE7AB2">
        <w:t xml:space="preserve"> </w:t>
      </w:r>
      <w:bookmarkStart w:id="7" w:name="References"/>
      <w:r w:rsidRPr="00DE7AB2">
        <w:t>(2023/2112(INI))</w:t>
      </w:r>
      <w:bookmarkEnd w:id="7"/>
    </w:p>
    <w:p w:rsidR="007F7D62" w:rsidRPr="00DE7AB2" w:rsidRDefault="007F7D62" w:rsidP="007F7D62">
      <w:pPr>
        <w:pStyle w:val="EPComma"/>
        <w:rPr>
          <w:lang w:val="cs-CZ"/>
        </w:rPr>
      </w:pPr>
      <w:bookmarkStart w:id="8" w:name="TextBodyBegin"/>
      <w:bookmarkEnd w:id="8"/>
      <w:r w:rsidRPr="00DE7AB2">
        <w:rPr>
          <w:rStyle w:val="Italic"/>
          <w:lang w:val="cs-CZ"/>
        </w:rPr>
        <w:t>Evropský parlament</w:t>
      </w:r>
      <w:r w:rsidRPr="00DE7AB2">
        <w:rPr>
          <w:lang w:val="cs-CZ"/>
        </w:rPr>
        <w:t>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 ohledem na článek 165 Smlouvy o fungování Evropské unie,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 ohledem na své usnesení ze dne 19. září 2019 o významu evropské paměti pro budoucnost Evropy</w:t>
      </w:r>
      <w:r w:rsidRPr="00DE7AB2">
        <w:rPr>
          <w:rStyle w:val="FootnoteReference"/>
          <w:lang w:val="cs-CZ"/>
        </w:rPr>
        <w:footnoteReference w:id="1"/>
      </w:r>
      <w:r w:rsidRPr="00DE7AB2">
        <w:rPr>
          <w:lang w:val="cs-CZ"/>
        </w:rPr>
        <w:t>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 ohledem na své usnesení ze dne 2. dubna 2009 o svědomí Evropy a totalitě</w:t>
      </w:r>
      <w:r w:rsidRPr="00DE7AB2">
        <w:rPr>
          <w:rStyle w:val="FootnoteReference"/>
          <w:lang w:val="cs-CZ"/>
        </w:rPr>
        <w:footnoteReference w:id="2"/>
      </w:r>
      <w:r w:rsidRPr="00DE7AB2">
        <w:rPr>
          <w:lang w:val="cs-CZ"/>
        </w:rPr>
        <w:t>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 ohledem na nařízení Evropského parlamentu a Rady (EU) 2021/692 ze dne 28. dubna 2021, kterým se zavádí program Občané, rovnost, práva a hodnoty a zrušují nařízení Evropského parlamentu a Rady (EU) č. 1381/2013 a nařízení Rady (EU) č. 390/2014</w:t>
      </w:r>
      <w:r w:rsidRPr="00DE7AB2">
        <w:rPr>
          <w:rStyle w:val="FootnoteReference"/>
          <w:lang w:val="cs-CZ"/>
        </w:rPr>
        <w:footnoteReference w:id="3"/>
      </w:r>
      <w:r w:rsidRPr="00DE7AB2">
        <w:rPr>
          <w:lang w:val="cs-CZ"/>
        </w:rPr>
        <w:t>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 ohledem na své usnesení ze dne 11. listopadu 2021 o Evropském prostoru vzdělávání: sdílený holistický přístup</w:t>
      </w:r>
      <w:r w:rsidRPr="00DE7AB2">
        <w:rPr>
          <w:rStyle w:val="FootnoteReference"/>
          <w:lang w:val="cs-CZ"/>
        </w:rPr>
        <w:footnoteReference w:id="4"/>
      </w:r>
      <w:r w:rsidRPr="00DE7AB2">
        <w:rPr>
          <w:lang w:val="cs-CZ"/>
        </w:rPr>
        <w:t>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 ohledem na své usnesení ze dne 8. března 2022 o úloze kultury, vzdělávání, sdělovacích prostředků a sportu v boji proti rasismu</w:t>
      </w:r>
      <w:r w:rsidRPr="00DE7AB2">
        <w:rPr>
          <w:rStyle w:val="FootnoteReference"/>
          <w:lang w:val="cs-CZ"/>
        </w:rPr>
        <w:footnoteReference w:id="5"/>
      </w:r>
      <w:r w:rsidRPr="00DE7AB2">
        <w:rPr>
          <w:lang w:val="cs-CZ"/>
        </w:rPr>
        <w:t>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 ohledem na své usnesení ze dne 6. dubna 2022 o provádění opatření v oblasti výchovy k občanství</w:t>
      </w:r>
      <w:r w:rsidRPr="00DE7AB2">
        <w:rPr>
          <w:rStyle w:val="FootnoteReference"/>
          <w:lang w:val="cs-CZ"/>
        </w:rPr>
        <w:footnoteReference w:id="6"/>
      </w:r>
      <w:r w:rsidRPr="00DE7AB2">
        <w:rPr>
          <w:lang w:val="cs-CZ"/>
        </w:rPr>
        <w:t>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lastRenderedPageBreak/>
        <w:t>–</w:t>
      </w:r>
      <w:r w:rsidRPr="00DE7AB2">
        <w:rPr>
          <w:lang w:val="cs-CZ"/>
        </w:rPr>
        <w:tab/>
        <w:t>s ohledem na své usnesení ze dne 14. prosince 2022 k provádění Nové evropské agendy pro kulturu a strategie EU pro mezinárodní kulturní vztahy</w:t>
      </w:r>
      <w:r w:rsidRPr="00DE7AB2">
        <w:rPr>
          <w:rStyle w:val="FootnoteReference"/>
          <w:lang w:val="cs-CZ"/>
        </w:rPr>
        <w:footnoteReference w:id="7"/>
      </w:r>
      <w:r w:rsidRPr="00DE7AB2">
        <w:rPr>
          <w:lang w:val="cs-CZ"/>
        </w:rPr>
        <w:t>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 ohledem na své usnesení ze dne 21. ledna 2021 o strategii EU pro rovnost žen a mužů</w:t>
      </w:r>
      <w:r w:rsidRPr="00DE7AB2">
        <w:rPr>
          <w:rStyle w:val="FootnoteReference"/>
          <w:lang w:val="cs-CZ"/>
        </w:rPr>
        <w:footnoteReference w:id="8"/>
      </w:r>
      <w:r w:rsidRPr="00DE7AB2">
        <w:rPr>
          <w:lang w:val="cs-CZ"/>
        </w:rPr>
        <w:t>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 ohledem na sdělení Komise ze dne 18. září 2020 nazvané „Unie rovnosti: akční plán EU proti rasismu na období 2020–2025“ (</w:t>
      </w:r>
      <w:proofErr w:type="gramStart"/>
      <w:r w:rsidRPr="00DE7AB2">
        <w:rPr>
          <w:lang w:val="cs-CZ"/>
        </w:rPr>
        <w:t>COM(2020</w:t>
      </w:r>
      <w:proofErr w:type="gramEnd"/>
      <w:r w:rsidRPr="00DE7AB2">
        <w:rPr>
          <w:lang w:val="cs-CZ"/>
        </w:rPr>
        <w:t>)0565),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 ohledem na sdělení Komise ze dne 14. června 2016 nazvané „Podpora prevence radikalizace vedoucí k násilnému extremismu“ (</w:t>
      </w:r>
      <w:proofErr w:type="gramStart"/>
      <w:r w:rsidRPr="00DE7AB2">
        <w:rPr>
          <w:lang w:val="cs-CZ"/>
        </w:rPr>
        <w:t>COM(2016</w:t>
      </w:r>
      <w:proofErr w:type="gramEnd"/>
      <w:r w:rsidRPr="00DE7AB2">
        <w:rPr>
          <w:lang w:val="cs-CZ"/>
        </w:rPr>
        <w:t>)0379),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 ohledem na Evropskou kulturní úmluvu ze dne 19. prosince 1954</w:t>
      </w:r>
      <w:r w:rsidRPr="00DE7AB2">
        <w:rPr>
          <w:rStyle w:val="FootnoteReference"/>
          <w:lang w:val="cs-CZ"/>
        </w:rPr>
        <w:footnoteReference w:id="9"/>
      </w:r>
      <w:r w:rsidRPr="00DE7AB2">
        <w:rPr>
          <w:lang w:val="cs-CZ"/>
        </w:rPr>
        <w:t>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 ohledem na studii vypracovanou pro Výbor pro kulturu a vzdělávání nazvanou „Evropská historická paměť: politiky, výzvy a perspektivy“</w:t>
      </w:r>
      <w:r w:rsidRPr="00DE7AB2">
        <w:rPr>
          <w:rStyle w:val="FootnoteReference"/>
          <w:lang w:val="cs-CZ"/>
        </w:rPr>
        <w:footnoteReference w:id="10"/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 ohledem na studii vypracovanou pro parlamentní Výbor pro kulturu a vzdělávání nazvanou „Evropská identita“</w:t>
      </w:r>
      <w:r w:rsidRPr="00DE7AB2">
        <w:rPr>
          <w:rStyle w:val="FootnoteReference"/>
          <w:lang w:val="cs-CZ"/>
        </w:rPr>
        <w:footnoteReference w:id="11"/>
      </w:r>
      <w:r w:rsidRPr="00DE7AB2">
        <w:rPr>
          <w:lang w:val="cs-CZ"/>
        </w:rPr>
        <w:t>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 ohledem na článek 54 jednacího řádu,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–</w:t>
      </w:r>
      <w:r w:rsidRPr="00DE7AB2">
        <w:rPr>
          <w:lang w:val="cs-CZ"/>
        </w:rPr>
        <w:tab/>
        <w:t>s ohledem na zprávu Výboru pro kulturu a vzdělávání (</w:t>
      </w:r>
      <w:proofErr w:type="gramStart"/>
      <w:r w:rsidRPr="00DE7AB2">
        <w:rPr>
          <w:lang w:val="cs-CZ"/>
        </w:rPr>
        <w:t>A9</w:t>
      </w:r>
      <w:proofErr w:type="gramEnd"/>
      <w:r w:rsidRPr="00DE7AB2">
        <w:rPr>
          <w:lang w:val="cs-CZ"/>
        </w:rPr>
        <w:t>–</w:t>
      </w:r>
      <w:proofErr w:type="gramStart"/>
      <w:r w:rsidRPr="00DE7AB2">
        <w:rPr>
          <w:lang w:val="cs-CZ"/>
        </w:rPr>
        <w:t>0402/2023</w:t>
      </w:r>
      <w:proofErr w:type="gramEnd"/>
      <w:r w:rsidRPr="00DE7AB2">
        <w:rPr>
          <w:lang w:val="cs-CZ"/>
        </w:rPr>
        <w:t>),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A.</w:t>
      </w:r>
      <w:r w:rsidRPr="00DE7AB2">
        <w:rPr>
          <w:lang w:val="cs-CZ"/>
        </w:rPr>
        <w:tab/>
        <w:t>vzhledem k tomu, že složitá, konfliktní a sporná minulost Evropy představuje pro evropskou integraci výzvu i příležitost, neboť uznáváme, že dobře informované historické vědomí podporuje vzájemné porozumění a toleranci;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B.</w:t>
      </w:r>
      <w:r w:rsidRPr="00DE7AB2">
        <w:rPr>
          <w:lang w:val="cs-CZ"/>
        </w:rPr>
        <w:tab/>
        <w:t>vzhledem k tomu, že nespravedlnost založená na pohlaví, přesvědčení a etnickém původu je v evropských dějinách zakotvena po mnoho staletí, a to i v podobě antisemitismu a protiromského smýšlení, což má důsledky pro Evropu a zbytek světa;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C.</w:t>
      </w:r>
      <w:r w:rsidRPr="00DE7AB2">
        <w:rPr>
          <w:lang w:val="cs-CZ"/>
        </w:rPr>
        <w:tab/>
        <w:t>vzhledem k tomu, že vědomé zabývání se historií a historickými nespravedlnostmi pomáhá řešit různé formy nesnášenlivosti a nerovnosti a budovat inkluzivnější společnosti;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D.</w:t>
      </w:r>
      <w:r w:rsidRPr="00DE7AB2">
        <w:rPr>
          <w:lang w:val="cs-CZ"/>
        </w:rPr>
        <w:tab/>
        <w:t>vzhledem k tomu, že historie nesmí být nikdy relativizována, zkreslována nebo falšována pro politické účely;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E.</w:t>
      </w:r>
      <w:r w:rsidRPr="00DE7AB2">
        <w:rPr>
          <w:lang w:val="cs-CZ"/>
        </w:rPr>
        <w:tab/>
        <w:t>vzhledem k tomu, že popírání historie („</w:t>
      </w:r>
      <w:proofErr w:type="spellStart"/>
      <w:r w:rsidRPr="00DE7AB2">
        <w:rPr>
          <w:rStyle w:val="Italic"/>
          <w:lang w:val="cs-CZ"/>
        </w:rPr>
        <w:t>historical</w:t>
      </w:r>
      <w:proofErr w:type="spellEnd"/>
      <w:r w:rsidRPr="00DE7AB2">
        <w:rPr>
          <w:rStyle w:val="Italic"/>
          <w:lang w:val="cs-CZ"/>
        </w:rPr>
        <w:t xml:space="preserve"> </w:t>
      </w:r>
      <w:proofErr w:type="spellStart"/>
      <w:r w:rsidRPr="00DE7AB2">
        <w:rPr>
          <w:rStyle w:val="Italic"/>
          <w:lang w:val="cs-CZ"/>
        </w:rPr>
        <w:t>negationism</w:t>
      </w:r>
      <w:proofErr w:type="spellEnd"/>
      <w:r w:rsidRPr="00DE7AB2">
        <w:rPr>
          <w:lang w:val="cs-CZ"/>
        </w:rPr>
        <w:t xml:space="preserve">“) a další formy předpojatých výkladů historie představují velkou hrozbu, která podněcuje nedůvěru a </w:t>
      </w:r>
      <w:r w:rsidRPr="00DE7AB2">
        <w:rPr>
          <w:lang w:val="cs-CZ"/>
        </w:rPr>
        <w:lastRenderedPageBreak/>
        <w:t>konflikty mezi lidmi a národy a podkopává úsilí o podporu historické spravedlnosti a usmíření;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F.</w:t>
      </w:r>
      <w:r w:rsidRPr="00DE7AB2">
        <w:rPr>
          <w:lang w:val="cs-CZ"/>
        </w:rPr>
        <w:tab/>
        <w:t>vzhledem k tomu, že vyrovnávání se s minulostí vyžaduje co největší nestrannost a objektivitu jak ve vědeckém historickém bádání, tak v politické oblasti;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G.</w:t>
      </w:r>
      <w:r w:rsidRPr="00DE7AB2">
        <w:rPr>
          <w:lang w:val="cs-CZ"/>
        </w:rPr>
        <w:tab/>
        <w:t>vzhledem k tomu, že historická paměť zahrnuje výraznou míru subjektivity, neboť volba toho, na co vzpomínat a jak bude minulost vykládána, nutně zahrnuje hodnotové úsudky;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H.</w:t>
      </w:r>
      <w:r w:rsidRPr="00DE7AB2">
        <w:rPr>
          <w:lang w:val="cs-CZ"/>
        </w:rPr>
        <w:tab/>
        <w:t>vzhledem k tomu, že ačkoli existují „historické skutečnosti“ založené na profesionální práci historiků, včetně výzkumu, výuky a ochrany zdrojů a historických památek, neexistuje jediná monolitická, nezpochybnitelná a trvalá „historická pravda“, kterou by si mohla monopolizovat a výhradně si pro sebe nárokovat jedna konkrétní skupina nebo národ, nebo ji využít k popírání existence jiných národů nebo států;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I.</w:t>
      </w:r>
      <w:r w:rsidRPr="00DE7AB2">
        <w:rPr>
          <w:lang w:val="cs-CZ"/>
        </w:rPr>
        <w:tab/>
        <w:t xml:space="preserve">vzhledem k tomu, že interdisciplinární přístupy a </w:t>
      </w:r>
      <w:proofErr w:type="spellStart"/>
      <w:r w:rsidRPr="00DE7AB2">
        <w:rPr>
          <w:lang w:val="cs-CZ"/>
        </w:rPr>
        <w:t>kontextualizace</w:t>
      </w:r>
      <w:proofErr w:type="spellEnd"/>
      <w:r w:rsidRPr="00DE7AB2">
        <w:rPr>
          <w:lang w:val="cs-CZ"/>
        </w:rPr>
        <w:t xml:space="preserve"> jsou základními prvky vzdělání v oblasti historie, které musí být spojeny s výchovou k evropskému občanství, jakož i s výměnnými programy a programy mobility;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J.</w:t>
      </w:r>
      <w:r w:rsidRPr="00DE7AB2">
        <w:rPr>
          <w:lang w:val="cs-CZ"/>
        </w:rPr>
        <w:tab/>
        <w:t>vzhledem k tomu, že podpora kritického historického vědomí napříč hranicemi prostřednictvím vzdělávacích a jiných prostředků má zásadní význam pro to, aby Evropané mohli porozumět své minulosti, vyrovnat se s ní, čelit sebejistě současnosti a pracovat na společné budoucnosti;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K.</w:t>
      </w:r>
      <w:r w:rsidRPr="00DE7AB2">
        <w:rPr>
          <w:lang w:val="cs-CZ"/>
        </w:rPr>
        <w:tab/>
        <w:t>vzhledem k tomu, že evropské historické vědomí je chápáno jako individuální i kolektivní schopnost a dovednost porozumět historii, kriticky a přemýšlivě ji hodnotit a poučit se z ní, a lépe si tak uvědomovat, že minulost, současnost a budoucnost jsou neoddělitelně provázány a existuje mezi nimi vzájemná závislost;</w:t>
      </w:r>
    </w:p>
    <w:p w:rsidR="007F7D62" w:rsidRPr="00DE7AB2" w:rsidRDefault="007F7D62" w:rsidP="007F7D62">
      <w:pPr>
        <w:pStyle w:val="Normal12a24b"/>
        <w:rPr>
          <w:lang w:val="cs-CZ"/>
        </w:rPr>
      </w:pPr>
      <w:r w:rsidRPr="00DE7AB2">
        <w:rPr>
          <w:rStyle w:val="BoldItalic"/>
          <w:lang w:val="cs-CZ"/>
        </w:rPr>
        <w:t>Rizika a příležitosti spojené s evropskou minulostí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1.</w:t>
      </w:r>
      <w:r w:rsidRPr="00DE7AB2">
        <w:rPr>
          <w:lang w:val="cs-CZ"/>
        </w:rPr>
        <w:tab/>
        <w:t>uznává, že různorodá a často rozporuplná historie evropských národů a států činí veškeré úsilí o vnímání dějin na politické úrovni obtížným a případně nebezpečným úkolem a že pokusy o směrování toho, jak připomínat a interpretovat minulost, se vždy ukazují jako problematické;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2.</w:t>
      </w:r>
      <w:r w:rsidRPr="00DE7AB2">
        <w:rPr>
          <w:lang w:val="cs-CZ"/>
        </w:rPr>
        <w:tab/>
        <w:t>zdůrazňuje potenciál zásady „</w:t>
      </w:r>
      <w:proofErr w:type="spellStart"/>
      <w:r w:rsidRPr="00DE7AB2">
        <w:rPr>
          <w:rStyle w:val="Italic"/>
          <w:lang w:val="cs-CZ"/>
        </w:rPr>
        <w:t>historia</w:t>
      </w:r>
      <w:proofErr w:type="spellEnd"/>
      <w:r w:rsidRPr="00DE7AB2">
        <w:rPr>
          <w:rStyle w:val="Italic"/>
          <w:lang w:val="cs-CZ"/>
        </w:rPr>
        <w:t xml:space="preserve"> magistra vitae</w:t>
      </w:r>
      <w:r w:rsidRPr="00DE7AB2">
        <w:rPr>
          <w:lang w:val="cs-CZ"/>
        </w:rPr>
        <w:t>“ („historie učitelka života“) a považuje zejména tragická období a temné stránky evropské historie nejen za důraznou připomínku minulých chyb, jejichž opakování je třeba zabránit, ale také za výzvu ke společnému úsilí o vytvoření demokratických a inkluzivních společností v Unii i na celém světě;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3.</w:t>
      </w:r>
      <w:r w:rsidRPr="00DE7AB2">
        <w:rPr>
          <w:lang w:val="cs-CZ"/>
        </w:rPr>
        <w:tab/>
        <w:t xml:space="preserve">domnívá se, že odpovědný, fakticky podložený a kritický přístup k historii, který se zaměřuje na společné evropské hodnoty, </w:t>
      </w:r>
      <w:r w:rsidRPr="00DE7AB2">
        <w:rPr>
          <w:rStyle w:val="Italic"/>
          <w:lang w:val="cs-CZ"/>
        </w:rPr>
        <w:t>je nezbytnou podmínkou pro</w:t>
      </w:r>
      <w:r w:rsidRPr="00DE7AB2">
        <w:rPr>
          <w:lang w:val="cs-CZ"/>
        </w:rPr>
        <w:t xml:space="preserve"> jakoukoli politiku demokratických orgánů s cílem zvýšit vnímavost současných i budoucích generací k úspěchům a chybám minulosti, posílit veřejný diskurz zaměřený na sebereflexi a podpořit porozumění a usmíření v rámci konkrétních sociálních skupin, národů a států i mezi nimi;</w:t>
      </w:r>
    </w:p>
    <w:p w:rsidR="007F7D62" w:rsidRPr="00DE7AB2" w:rsidRDefault="007F7D62" w:rsidP="007F7D62">
      <w:pPr>
        <w:pStyle w:val="Normal12a24b"/>
        <w:rPr>
          <w:lang w:val="cs-CZ"/>
        </w:rPr>
      </w:pPr>
      <w:r w:rsidRPr="00DE7AB2">
        <w:rPr>
          <w:rStyle w:val="BoldItalic"/>
          <w:lang w:val="cs-CZ"/>
        </w:rPr>
        <w:t>Politika minulosti v Evropské unii – kritické hodnocení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lastRenderedPageBreak/>
        <w:t>4.</w:t>
      </w:r>
      <w:r w:rsidRPr="00DE7AB2">
        <w:rPr>
          <w:lang w:val="cs-CZ"/>
        </w:rPr>
        <w:tab/>
        <w:t>zdůrazňuje, že je třeba upřímně posuzovat „politiku minulosti“ EU, jejímž prostřednictvím usilovala o zvýšení legitimity evropského projektu, posílení evropského pocitu sounáležitosti a podporu mírového soužití národů našeho kontinentu, a to stejným uznáním úspěchů i stávajících nedostatků a kontrolou způsobů, jakými byli občané povzbuzováni k tomu, aby se zabývali minulostí;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5.</w:t>
      </w:r>
      <w:r w:rsidRPr="00DE7AB2">
        <w:rPr>
          <w:lang w:val="cs-CZ"/>
        </w:rPr>
        <w:tab/>
        <w:t>všímá si řady minulých a současných evropských iniciativ na podporu společné evropské historické paměti, včetně Dne památky obětí holokaustu, Evropského dne památky obětí všech totalitních a autoritářských režimů, vytvoření zvláštní složky věnované historickému povědomí v bývalém programu Evropa pro občany a současných programech Občanství, rovnost, práva a hodnoty (CERV), a různých usnesení Parlamentu, jako je usnesení ze dne 2. dubna 2009 o svědomí Evropy a totalitě a usnesení ze dne 19. září 2019 o významu evropské paměti pro budoucnost Evropy;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6.</w:t>
      </w:r>
      <w:r w:rsidRPr="00DE7AB2">
        <w:rPr>
          <w:lang w:val="cs-CZ"/>
        </w:rPr>
        <w:tab/>
        <w:t>vyjadřuje znepokojení nad tím, že i nadále dochází k latentnímu soutěžení a částečné neslučitelnosti mezi různými rámci pamětí a kulturami historického povědomí v Evropě, a to i mezi západní a východní Evropou, ale také mezi zeměmi a národy v některých částech kontinentu; zdůrazňuje, že všechny evropské země mají společné a odlišné zkušenosti, které stejně patří do společné evropské historie; uznává zločiny spáchané nacistickými, fašistickými a komunistickými totalitními režimy, jakož zločiny v rámci kolonialismu a úlohu, kterou tyto zločiny sehrály při utváření historického vnímání v Evropě; zdůrazňuje, že je třeba překlenout stávající regionální a ideologické rozdíly v historickém povědomí mezi evropskými zeměmi a národy s cílem vytvořit společný základ pro dialog, vzájemné porozumění a respekt;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7.</w:t>
      </w:r>
      <w:r w:rsidRPr="00DE7AB2">
        <w:rPr>
          <w:lang w:val="cs-CZ"/>
        </w:rPr>
        <w:tab/>
        <w:t xml:space="preserve">uznává, že hrůzy minulosti slouží jako „negativní základový mýtus“ a navozují silný pocit smysluplnosti evropského projektu, uznává však, že zájem Unie především o vyprávění příběhu o sobě </w:t>
      </w:r>
      <w:r w:rsidRPr="00DE7AB2">
        <w:rPr>
          <w:rStyle w:val="Italic"/>
          <w:lang w:val="cs-CZ"/>
        </w:rPr>
        <w:t xml:space="preserve">ex </w:t>
      </w:r>
      <w:proofErr w:type="spellStart"/>
      <w:r w:rsidRPr="00DE7AB2">
        <w:rPr>
          <w:rStyle w:val="Italic"/>
          <w:lang w:val="cs-CZ"/>
        </w:rPr>
        <w:t>negativo</w:t>
      </w:r>
      <w:proofErr w:type="spellEnd"/>
      <w:r w:rsidRPr="00DE7AB2">
        <w:rPr>
          <w:lang w:val="cs-CZ"/>
        </w:rPr>
        <w:t xml:space="preserve"> s sebou nese riziko rozvoje teleologického a zjednodušujícího černobílého systému historie, který může bránit plně informovanému pochopení složité minulosti Evropy a snižuje </w:t>
      </w:r>
      <w:proofErr w:type="spellStart"/>
      <w:r w:rsidRPr="00DE7AB2">
        <w:rPr>
          <w:lang w:val="cs-CZ"/>
        </w:rPr>
        <w:t>motivacplně</w:t>
      </w:r>
      <w:proofErr w:type="spellEnd"/>
      <w:r w:rsidRPr="00DE7AB2">
        <w:rPr>
          <w:lang w:val="cs-CZ"/>
        </w:rPr>
        <w:t xml:space="preserve"> informovanému pochopení složité minulosti Evropy a snižuje motivaci ke zpochybňování stereotypů a „nedotknutelných“ příběhů historie jednotlivých národů;</w:t>
      </w:r>
    </w:p>
    <w:p w:rsidR="007F7D62" w:rsidRPr="00DE7AB2" w:rsidRDefault="007F7D62" w:rsidP="007F7D62">
      <w:pPr>
        <w:pStyle w:val="Normal12a24b"/>
        <w:rPr>
          <w:lang w:val="cs-CZ"/>
        </w:rPr>
      </w:pPr>
      <w:r w:rsidRPr="00DE7AB2">
        <w:rPr>
          <w:rStyle w:val="BoldItalic"/>
          <w:lang w:val="cs-CZ"/>
        </w:rPr>
        <w:t xml:space="preserve">Cesta k informovanému historickému vědomí v Evropě   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8.</w:t>
      </w:r>
      <w:r w:rsidRPr="00DE7AB2">
        <w:rPr>
          <w:lang w:val="cs-CZ"/>
        </w:rPr>
        <w:tab/>
        <w:t xml:space="preserve">uznává potřebu širšího a </w:t>
      </w:r>
      <w:proofErr w:type="spellStart"/>
      <w:r w:rsidRPr="00DE7AB2">
        <w:rPr>
          <w:lang w:val="cs-CZ"/>
        </w:rPr>
        <w:t>celostnějšího</w:t>
      </w:r>
      <w:proofErr w:type="spellEnd"/>
      <w:r w:rsidRPr="00DE7AB2">
        <w:rPr>
          <w:lang w:val="cs-CZ"/>
        </w:rPr>
        <w:t xml:space="preserve"> porozumění evropským dějinám, aby mohlo vzniknout kritické a </w:t>
      </w:r>
      <w:proofErr w:type="spellStart"/>
      <w:r w:rsidRPr="00DE7AB2">
        <w:rPr>
          <w:lang w:val="cs-CZ"/>
        </w:rPr>
        <w:t>sebereflexní</w:t>
      </w:r>
      <w:proofErr w:type="spellEnd"/>
      <w:r w:rsidRPr="00DE7AB2">
        <w:rPr>
          <w:lang w:val="cs-CZ"/>
        </w:rPr>
        <w:t xml:space="preserve"> evropské historické vědomí, zejména rozšířením zaměření stávajících iniciativ týkajících se evropské historické paměti, přičemž je třeba náležitě zohlednit i dosud nedostatečně zastoupené skupiny, a prostřednictvím podpory inovativních způsobů výuky historie;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9.</w:t>
      </w:r>
      <w:r w:rsidRPr="00DE7AB2">
        <w:rPr>
          <w:lang w:val="cs-CZ"/>
        </w:rPr>
        <w:tab/>
        <w:t>zdůrazňuje, že je důležité opustit evropskou „kulturu připomínání“, která funguje zejména shora dolů a jejímž základem je definování toho, co by si Evropané měli pamatovat, a směřovat ke „kultuře vzpomínání“, která funguje zdola nahoru, vychází od občanů a je založena na společných evropských zásadách a hodnotách, a že je třeba soustředit se na rozvoj kapacit pro kritické „přepracování“ minulosti na místní, národní a evropské úrovni se zapojením organizací občanské společnosti;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10.</w:t>
      </w:r>
      <w:r w:rsidRPr="00DE7AB2">
        <w:rPr>
          <w:lang w:val="cs-CZ"/>
        </w:rPr>
        <w:tab/>
        <w:t xml:space="preserve">uznává zásadní význam přístupu k minulosti Evropy na základě základních evropských hodnot zakotvených v článku 2 Smlouvy o Evropské unii a etických a filozofických tradic, na nichž jsou tyto hodnoty založeny, jakož i vytvoření otevřené diskuse, která </w:t>
      </w:r>
      <w:r w:rsidRPr="00DE7AB2">
        <w:rPr>
          <w:lang w:val="cs-CZ"/>
        </w:rPr>
        <w:lastRenderedPageBreak/>
        <w:t>umožní zabývat se rovněž obtížnými prvky národních historií a zajistí vzájemné porozumění a usmíření jak v rámci evropských národů, tak mezi evropskými národy a zbytkem světa;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11.</w:t>
      </w:r>
      <w:r w:rsidRPr="00DE7AB2">
        <w:rPr>
          <w:lang w:val="cs-CZ"/>
        </w:rPr>
        <w:tab/>
        <w:t>domnívá se, že svoboda vyučovat, studovat a provádět výzkum, včetně svobodného přístupu k archivům a zdrojům, spolu se svobodným uměleckým vyjádřením, je předpokladem pro vytváření a šíření objektivních znalostí založených na důkazech v demokratických společnostech, a zejména pro kritické zabývání se historií; vyzývá Komisi a členské státy, aby chránily tyto svobody, které jsou v současné době ohroženy, zejména v důsledku případů zneužití právních předpisů týkajících se historické paměti, a to i prostřednictvím mechanismu EU na podporu právního státu;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12.</w:t>
      </w:r>
      <w:r w:rsidRPr="00DE7AB2">
        <w:rPr>
          <w:lang w:val="cs-CZ"/>
        </w:rPr>
        <w:tab/>
        <w:t>zdůrazňuje zásadní úlohu vzdělávání a vyzývá členské státy, aby aktualizovaly stávající učební osnovy a metodiky výuky s cílem přesunout pozornost z národních dějin na evropské a celosvětové dějiny a umožnit klást větší důraz na nadnárodní historické porozumění, zejména tím, že se umožní vidět více pohledů na dějiny a podpoří se odpovídající výukové styly, které budou upřednostňovat reflexi a diskuse před předáváním znalostí a které se budou řídit obecným cílem, jímž je, aby se studenti učili spíše „jak přemýšlet“ než „co si myslet“;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13.</w:t>
      </w:r>
      <w:r w:rsidRPr="00DE7AB2">
        <w:rPr>
          <w:lang w:val="cs-CZ"/>
        </w:rPr>
        <w:tab/>
        <w:t xml:space="preserve">zdůrazňuje zásadní význam, jež má vzdělávání o evropské integraci, historii, institucích a základních hodnotách Unie a evropském občanství pro vznik evropského pocitu sounáležitosti; vyzývá k výuce evropských dějin a evropské integrace, které je třeba vnímat v globálním kontextu, a k tomu, aby se nedílnou součástí vnitrostátních vzdělávacích systémů stalo vzdělávání k evropskému občanství; oceňuje úsilí vyvíjené na úrovni EU s cílem zlepšit znalosti o Unii a její historii, včetně tzv. akcí Jean </w:t>
      </w:r>
      <w:proofErr w:type="spellStart"/>
      <w:r w:rsidRPr="00DE7AB2">
        <w:rPr>
          <w:lang w:val="cs-CZ"/>
        </w:rPr>
        <w:t>Monnet</w:t>
      </w:r>
      <w:proofErr w:type="spellEnd"/>
      <w:r w:rsidRPr="00DE7AB2">
        <w:rPr>
          <w:lang w:val="cs-CZ"/>
        </w:rPr>
        <w:t>; vyzývá Komisi a členské státy, aby – a to i prostřednictvím pracovní skupiny Evropského prostoru vzdělávání pro rovnost a hodnoty – pracovaly na cílech, které se konkrétně zaměřují na rozvoj evropského historického vědomí, a aby společně vypracovaly „příručku EU“ pro vzdělávací programy, která poskytne společné pokyny a nestranné fakta a údaje pro výuku evropských dějin;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14.</w:t>
      </w:r>
      <w:r w:rsidRPr="00DE7AB2">
        <w:rPr>
          <w:lang w:val="cs-CZ"/>
        </w:rPr>
        <w:tab/>
        <w:t xml:space="preserve">domnívá se, že v evropských dějinách jsou hluboce zakořeněny šovinismus, genderové stereotypy, mocenské asymetrie a strukturální nerovnosti, a vyjadřuje politování nad tím, že ve výuce historie neexistuje dostatečně multikulturní a </w:t>
      </w:r>
      <w:proofErr w:type="spellStart"/>
      <w:r w:rsidRPr="00DE7AB2">
        <w:rPr>
          <w:lang w:val="cs-CZ"/>
        </w:rPr>
        <w:t>genderově</w:t>
      </w:r>
      <w:proofErr w:type="spellEnd"/>
      <w:r w:rsidRPr="00DE7AB2">
        <w:rPr>
          <w:lang w:val="cs-CZ"/>
        </w:rPr>
        <w:t xml:space="preserve"> citlivý přístup; domnívá se, že je nezbytné řešit marginalizaci žen a dalších nedostatečně zastoupených společenských skupin v dějepisu, a vyzývá členské státy, aby ve vnitrostátních učebních osnovách zajistily větší zaměření v tomto směru;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15.</w:t>
      </w:r>
      <w:r w:rsidRPr="00DE7AB2">
        <w:rPr>
          <w:lang w:val="cs-CZ"/>
        </w:rPr>
        <w:tab/>
        <w:t>zdůrazňuje, že je potřebná interdisciplinární a meziodvětvová výuka historie, která bude uplatňovat inovativní pedagogiku zaměřenou na účastníky vzdělávání, jako je přístup založený na interaktivním vyprávění příběhů a získaných zkušenostech pro všechny generace, využívat komplexní soubory zdrojů, technologií a učebních materiálů, včetně přeshraničních a nadnárodních učebnic historie a ústní historie, a podporovat analytické dovednosti a dovednosti kritického myšlení;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16.</w:t>
      </w:r>
      <w:r w:rsidRPr="00DE7AB2">
        <w:rPr>
          <w:lang w:val="cs-CZ"/>
        </w:rPr>
        <w:tab/>
        <w:t xml:space="preserve">uznává ústřední úlohu učitelů při vytváření a předávání kompetencí potřebných k pochopení a kritickému posouzení historických skutečností a zdůrazňuje, že je důležité, aby učitelé nejen absolvovali odpovídající odbornou přípravu, ale také se zapojili do dalšího profesního rozvoje, včetně činností vzájemného učení a sdílení osvědčených </w:t>
      </w:r>
      <w:r w:rsidRPr="00DE7AB2">
        <w:rPr>
          <w:lang w:val="cs-CZ"/>
        </w:rPr>
        <w:lastRenderedPageBreak/>
        <w:t>postupů na vnitrostátní i nadnárodní úrovni; v této souvislosti zdůrazňuje přidanou hodnotu pedagogických akademií programu Erasmus+;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17.</w:t>
      </w:r>
      <w:r w:rsidRPr="00DE7AB2">
        <w:rPr>
          <w:lang w:val="cs-CZ"/>
        </w:rPr>
        <w:tab/>
        <w:t>vyzývá členské státy, aby poskytovaly individuálně uzpůsobené (historické) výukové materiály a odbornou přípravu, které učitelům umožní lépe se zaměřit na nadnárodní aspekty a mnohotvárnost historie, bude jim poskytovat odpovídající didaktické postupy a zásady moderní výuky a zaměří se především na utváření mladých lidí se schopností sebereflexe;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18.</w:t>
      </w:r>
      <w:r w:rsidRPr="00DE7AB2">
        <w:rPr>
          <w:lang w:val="cs-CZ"/>
        </w:rPr>
        <w:tab/>
        <w:t>zdůrazňuje, že  má velký význam shromažďování údajů a srovnávání a hodnocení metod a nástrojů pro výuku historie, a vítá práci specializovaných vládních i nevládních organizací působících v této oblasti, včetně Střediska Rady Evropy pro sledování výuky historie v Evropě a EUROCLIO; zdůrazňuje, že je třeba, aby se práce tohoto střediska účastnilo více členských států EU;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19.</w:t>
      </w:r>
      <w:r w:rsidRPr="00DE7AB2">
        <w:rPr>
          <w:lang w:val="cs-CZ"/>
        </w:rPr>
        <w:tab/>
        <w:t>uznává potenciál muzeí, která se kriticky zabývají spornou historií Evropy, jako nástrojů pro získávání poznatků o minulosti a budování historického povědomí, zejména pokud jde o „Dům evropských dějin“, jakožto stěžejní projekt, pro který by měly být k dispozici dostatečné zdroje, aby se zajistilo širší oslovení evropské veřejnosti;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20.</w:t>
      </w:r>
      <w:r w:rsidRPr="00DE7AB2">
        <w:rPr>
          <w:lang w:val="cs-CZ"/>
        </w:rPr>
        <w:tab/>
        <w:t xml:space="preserve">zdůrazňuje význam zachování bohatého evropského kulturního a historického dědictví a památníků, zejména jako prostředku k nastolení kritického historického vědomí za předpokladu, že nebudou zneužívány k ideologickým účelům, a zdůrazňuje úlohu, kterou v tomto ohledu mohou hrát označení „Evropské dědictví“ i nezávislé instituce podporující evropské dědictví, a to jak hmotné, tak nehmotné; vybízí členské státy, aby zvýšily své úsilí o vymezení a ochranu míst demokratické paměti, zejména těch, která se týkají nedostatečně zastoupených skupin; zdůrazňuje potenciál portálu </w:t>
      </w:r>
      <w:proofErr w:type="spellStart"/>
      <w:r w:rsidRPr="00DE7AB2">
        <w:rPr>
          <w:lang w:val="cs-CZ"/>
        </w:rPr>
        <w:t>Europeana</w:t>
      </w:r>
      <w:proofErr w:type="spellEnd"/>
      <w:r w:rsidRPr="00DE7AB2">
        <w:rPr>
          <w:lang w:val="cs-CZ"/>
        </w:rPr>
        <w:t>, jenž může sloužit jako evropská digitální knihovna, archiv, muzeum a vzdělávací platforma;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21.</w:t>
      </w:r>
      <w:r w:rsidRPr="00DE7AB2">
        <w:rPr>
          <w:lang w:val="cs-CZ"/>
        </w:rPr>
        <w:tab/>
        <w:t>uznává potenciál digitálních médií a rostoucí úrovně digitalizace ve vzdělávání a zároveň vyjadřuje hluboké znepokojení nad tím, že digitální kanály jsou stále více zneužívány k politické manipulaci a šíření dezinformací, včetně dezinformací týkajících se historie, což ukazuje ruský historický revizionismus doprovázející ruskou útočnou válku proti Ukrajině; vyzývá Komisi a členské státy, aby zvýšily své úsilí o posílení mediální a digitální gramotnosti a vybavily učitele a studenty odpovídajícími dovednostmi a nástroji, které usnadní výuku historie založenou na faktech a umožní jim identifikovat tradiční i moderní historické zdroje, zasadit je do kontextu a analyzovat je;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22.</w:t>
      </w:r>
      <w:r w:rsidRPr="00DE7AB2">
        <w:rPr>
          <w:lang w:val="cs-CZ"/>
        </w:rPr>
        <w:tab/>
        <w:t>zdůrazňuje, že příležitosti k přeshraniční mobilitě ve vzdělávání, které poskytují evropské programy a jiné programy mobility, podporují výměnu myšlenek a podporují průřezové znalosti a mezikulturní porozumění, neboť pomáhají odstraňovat národní překážky a umožňují lepší pochopení minulosti i současnosti;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23.</w:t>
      </w:r>
      <w:r w:rsidRPr="00DE7AB2">
        <w:rPr>
          <w:lang w:val="cs-CZ"/>
        </w:rPr>
        <w:tab/>
        <w:t xml:space="preserve">vyzývá Komisi a členské státy, aby posílily nástroje, které jsou v současné době na evropské úrovni k dispozici, s cílem podpořit kritické a </w:t>
      </w:r>
      <w:proofErr w:type="spellStart"/>
      <w:r w:rsidRPr="00DE7AB2">
        <w:rPr>
          <w:lang w:val="cs-CZ"/>
        </w:rPr>
        <w:t>sebereflektivní</w:t>
      </w:r>
      <w:proofErr w:type="spellEnd"/>
      <w:r w:rsidRPr="00DE7AB2">
        <w:rPr>
          <w:lang w:val="cs-CZ"/>
        </w:rPr>
        <w:t xml:space="preserve"> evropské historické vědomí, zejména program Erasmus+, který podporuje mobilitu a mezikulturní učení jakožto klíčové nástroje ke zlepšení porozumění ostatním kulturám a národům, a program Občané, rovnost, práva a hodnoty, jenž podporuje nadnárodní </w:t>
      </w:r>
      <w:r w:rsidRPr="00DE7AB2">
        <w:rPr>
          <w:lang w:val="cs-CZ"/>
        </w:rPr>
        <w:lastRenderedPageBreak/>
        <w:t>projekty spojené s připomínáním historických událostí a podněcuje občanskou angažovanost;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24.</w:t>
      </w:r>
      <w:r w:rsidRPr="00DE7AB2">
        <w:rPr>
          <w:lang w:val="cs-CZ"/>
        </w:rPr>
        <w:tab/>
        <w:t>požaduje, aby evropské orgány, členské státy, kandidátské a potenciální kandidátské země, vzdělávací instituce a subjekty občanské společnosti zintenzivnily své úsilí o podporu usmíření, zdržovaly se jakýchkoli pokusů o zneužívání historie pro politické účely a bojovaly proti historickému revizionismu a popírání historie v Evropské unii i mimo ni; připomíná význam těchto aspektů pro budoucí rozšíření Unie;</w:t>
      </w:r>
    </w:p>
    <w:p w:rsidR="007F7D62" w:rsidRPr="00DE7AB2" w:rsidRDefault="007F7D62" w:rsidP="007F7D62">
      <w:pPr>
        <w:pStyle w:val="Normal12a24b"/>
        <w:rPr>
          <w:lang w:val="cs-CZ"/>
        </w:rPr>
      </w:pPr>
      <w:r w:rsidRPr="00DE7AB2">
        <w:rPr>
          <w:rStyle w:val="BoldItalic"/>
          <w:lang w:val="cs-CZ"/>
        </w:rPr>
        <w:t>Výhled: odkaz minulosti a budoucnost EU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25.</w:t>
      </w:r>
      <w:r w:rsidRPr="00DE7AB2">
        <w:rPr>
          <w:lang w:val="cs-CZ"/>
        </w:rPr>
        <w:tab/>
        <w:t>podporuje myšlenku „kultury vzpomínání“ a historické vědomí, která je založena na společných evropských hodnotách a postupech v přístupu k minulosti, ale zároveň se vyhýbá jakémukoli nepřiměřenému zplošťování nebo zjednodušování historie;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26.</w:t>
      </w:r>
      <w:r w:rsidRPr="00DE7AB2">
        <w:rPr>
          <w:lang w:val="cs-CZ"/>
        </w:rPr>
        <w:tab/>
        <w:t>vyjadřuje naději, že na základě kritického sebehodnocení týkajícího se historie a historické odpovědnosti na vnitrostátní úrovni může započít skutečně evropská reflexní diskuse o minulosti našeho kontinentu, v jejímž rámci nebude historie zneužívána k mocenským politickým účelům, a vyjadřuje naději, že ze společné historické práce vyplyne „společenství osudu“ evropských národů;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27.</w:t>
      </w:r>
      <w:r w:rsidRPr="00DE7AB2">
        <w:rPr>
          <w:lang w:val="cs-CZ"/>
        </w:rPr>
        <w:tab/>
        <w:t>předpokládá, že kolektivní vzpomínky nakonec přispějí k evropské veřejné sféře a stanou se její součástí, přičemž různé kultury historického povědomí se budou namísto toho, aby mezi sebou soupeřily, vzájemně doplňovat, a že přístup k historii se stane spíše občanskou otázkou, nikoli politickou;</w:t>
      </w:r>
    </w:p>
    <w:p w:rsidR="007F7D62" w:rsidRPr="00DE7AB2" w:rsidRDefault="007F7D62" w:rsidP="007F7D62">
      <w:pPr>
        <w:pStyle w:val="NormalCenter12a"/>
        <w:rPr>
          <w:lang w:val="cs-CZ"/>
        </w:rPr>
      </w:pPr>
      <w:r w:rsidRPr="00DE7AB2">
        <w:rPr>
          <w:lang w:val="cs-CZ"/>
        </w:rPr>
        <w:t>°</w:t>
      </w:r>
    </w:p>
    <w:p w:rsidR="007F7D62" w:rsidRPr="00DE7AB2" w:rsidRDefault="007F7D62" w:rsidP="007F7D62">
      <w:pPr>
        <w:pStyle w:val="NormalCenter12a"/>
        <w:rPr>
          <w:lang w:val="cs-CZ"/>
        </w:rPr>
      </w:pPr>
      <w:r w:rsidRPr="00DE7AB2">
        <w:rPr>
          <w:lang w:val="cs-CZ"/>
        </w:rPr>
        <w:t>°</w:t>
      </w:r>
      <w:r w:rsidRPr="00DE7AB2">
        <w:rPr>
          <w:lang w:val="cs-CZ"/>
        </w:rPr>
        <w:tab/>
        <w:t>°</w:t>
      </w:r>
    </w:p>
    <w:p w:rsidR="007F7D62" w:rsidRPr="00DE7AB2" w:rsidRDefault="007F7D62" w:rsidP="007F7D62">
      <w:pPr>
        <w:pStyle w:val="NormalHanging12a"/>
        <w:rPr>
          <w:lang w:val="cs-CZ"/>
        </w:rPr>
      </w:pPr>
      <w:r w:rsidRPr="00DE7AB2">
        <w:rPr>
          <w:lang w:val="cs-CZ"/>
        </w:rPr>
        <w:t>28.</w:t>
      </w:r>
      <w:r w:rsidRPr="00DE7AB2">
        <w:rPr>
          <w:lang w:val="cs-CZ"/>
        </w:rPr>
        <w:tab/>
        <w:t>pověřuje svou předsedkyni, aby předala toto usnesení Radě a Komisi.</w:t>
      </w:r>
    </w:p>
    <w:p w:rsidR="007F7D62" w:rsidRPr="00DE7AB2" w:rsidRDefault="007F7D62" w:rsidP="007F7D62"/>
    <w:sectPr w:rsidR="007F7D62" w:rsidRPr="00DE7AB2" w:rsidSect="00DE7A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B54" w:rsidRPr="00DE7AB2" w:rsidRDefault="00C13B54">
      <w:r w:rsidRPr="00DE7AB2">
        <w:separator/>
      </w:r>
    </w:p>
  </w:endnote>
  <w:endnote w:type="continuationSeparator" w:id="0">
    <w:p w:rsidR="00C13B54" w:rsidRPr="00DE7AB2" w:rsidRDefault="00C13B54">
      <w:r w:rsidRPr="00DE7A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7A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7A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7A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B54" w:rsidRPr="00DE7AB2" w:rsidRDefault="00C13B54">
      <w:r w:rsidRPr="00DE7AB2">
        <w:separator/>
      </w:r>
    </w:p>
  </w:footnote>
  <w:footnote w:type="continuationSeparator" w:id="0">
    <w:p w:rsidR="00C13B54" w:rsidRPr="00DE7AB2" w:rsidRDefault="00C13B54">
      <w:r w:rsidRPr="00DE7AB2">
        <w:continuationSeparator/>
      </w:r>
    </w:p>
  </w:footnote>
  <w:footnote w:id="1">
    <w:p w:rsidR="007F7D62" w:rsidRPr="00363411" w:rsidRDefault="007F7D62" w:rsidP="00DE7AB2">
      <w:pPr>
        <w:pStyle w:val="FootnoteText"/>
        <w:ind w:left="567" w:hanging="567"/>
        <w:rPr>
          <w:sz w:val="24"/>
          <w:u w:color="0000FF"/>
          <w:lang w:val="cs-CZ"/>
        </w:rPr>
      </w:pPr>
      <w:r w:rsidRPr="00DE7AB2">
        <w:rPr>
          <w:rStyle w:val="FootnoteReference"/>
          <w:sz w:val="24"/>
          <w:lang w:val="cs-CZ"/>
        </w:rPr>
        <w:footnoteRef/>
      </w:r>
      <w:r w:rsidR="00DE7AB2" w:rsidRPr="00DE7AB2">
        <w:rPr>
          <w:sz w:val="24"/>
          <w:lang w:val="cs-CZ"/>
        </w:rPr>
        <w:t xml:space="preserve"> </w:t>
      </w:r>
      <w:r w:rsidR="00DE7AB2" w:rsidRPr="00DE7AB2">
        <w:rPr>
          <w:sz w:val="24"/>
          <w:lang w:val="cs-CZ"/>
        </w:rPr>
        <w:tab/>
      </w:r>
      <w:proofErr w:type="spellStart"/>
      <w:r w:rsidRPr="00363411">
        <w:rPr>
          <w:sz w:val="24"/>
          <w:u w:color="0000FF"/>
          <w:lang w:val="cs-CZ"/>
        </w:rPr>
        <w:t>Úř</w:t>
      </w:r>
      <w:proofErr w:type="spellEnd"/>
      <w:r w:rsidRPr="00363411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363411">
        <w:rPr>
          <w:sz w:val="24"/>
          <w:u w:color="0000FF"/>
          <w:lang w:val="cs-CZ"/>
        </w:rPr>
        <w:t>věst</w:t>
      </w:r>
      <w:proofErr w:type="spellEnd"/>
      <w:proofErr w:type="gramEnd"/>
      <w:r w:rsidRPr="00363411">
        <w:rPr>
          <w:sz w:val="24"/>
          <w:u w:color="0000FF"/>
          <w:lang w:val="cs-CZ"/>
        </w:rPr>
        <w:t xml:space="preserve">. C 171, </w:t>
      </w:r>
      <w:proofErr w:type="gramStart"/>
      <w:r w:rsidRPr="00363411">
        <w:rPr>
          <w:sz w:val="24"/>
          <w:u w:color="0000FF"/>
          <w:lang w:val="cs-CZ"/>
        </w:rPr>
        <w:t>6.5.2021</w:t>
      </w:r>
      <w:proofErr w:type="gramEnd"/>
      <w:r w:rsidRPr="00363411">
        <w:rPr>
          <w:sz w:val="24"/>
          <w:u w:color="0000FF"/>
          <w:lang w:val="cs-CZ"/>
        </w:rPr>
        <w:t>, s. 25.</w:t>
      </w:r>
    </w:p>
  </w:footnote>
  <w:footnote w:id="2">
    <w:p w:rsidR="007F7D62" w:rsidRPr="00363411" w:rsidRDefault="007F7D62" w:rsidP="00DE7AB2">
      <w:pPr>
        <w:pStyle w:val="FootnoteText"/>
        <w:ind w:left="567" w:hanging="567"/>
        <w:rPr>
          <w:sz w:val="24"/>
          <w:u w:color="0000FF"/>
          <w:lang w:val="cs-CZ"/>
        </w:rPr>
      </w:pPr>
      <w:r w:rsidRPr="00363411">
        <w:rPr>
          <w:rStyle w:val="FootnoteReference"/>
          <w:sz w:val="24"/>
          <w:lang w:val="cs-CZ"/>
        </w:rPr>
        <w:footnoteRef/>
      </w:r>
      <w:r w:rsidR="00DE7AB2" w:rsidRPr="00363411">
        <w:rPr>
          <w:sz w:val="24"/>
          <w:lang w:val="cs-CZ"/>
        </w:rPr>
        <w:t xml:space="preserve"> </w:t>
      </w:r>
      <w:r w:rsidR="00DE7AB2" w:rsidRPr="00363411">
        <w:rPr>
          <w:sz w:val="24"/>
          <w:lang w:val="cs-CZ"/>
        </w:rPr>
        <w:tab/>
      </w:r>
      <w:proofErr w:type="spellStart"/>
      <w:r w:rsidRPr="00363411">
        <w:rPr>
          <w:sz w:val="24"/>
          <w:u w:color="0000FF"/>
          <w:lang w:val="cs-CZ"/>
        </w:rPr>
        <w:t>Úř</w:t>
      </w:r>
      <w:proofErr w:type="spellEnd"/>
      <w:r w:rsidRPr="00363411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363411">
        <w:rPr>
          <w:sz w:val="24"/>
          <w:u w:color="0000FF"/>
          <w:lang w:val="cs-CZ"/>
        </w:rPr>
        <w:t>věst</w:t>
      </w:r>
      <w:proofErr w:type="spellEnd"/>
      <w:proofErr w:type="gramEnd"/>
      <w:r w:rsidRPr="00363411">
        <w:rPr>
          <w:sz w:val="24"/>
          <w:u w:color="0000FF"/>
          <w:lang w:val="cs-CZ"/>
        </w:rPr>
        <w:t xml:space="preserve">. C 137 E, </w:t>
      </w:r>
      <w:proofErr w:type="gramStart"/>
      <w:r w:rsidRPr="00363411">
        <w:rPr>
          <w:sz w:val="24"/>
          <w:u w:color="0000FF"/>
          <w:lang w:val="cs-CZ"/>
        </w:rPr>
        <w:t>27.5.2010</w:t>
      </w:r>
      <w:proofErr w:type="gramEnd"/>
      <w:r w:rsidRPr="00363411">
        <w:rPr>
          <w:sz w:val="24"/>
          <w:u w:color="0000FF"/>
          <w:lang w:val="cs-CZ"/>
        </w:rPr>
        <w:t>, s. 25.</w:t>
      </w:r>
    </w:p>
  </w:footnote>
  <w:footnote w:id="3">
    <w:p w:rsidR="007F7D62" w:rsidRPr="00363411" w:rsidRDefault="007F7D62" w:rsidP="00DE7AB2">
      <w:pPr>
        <w:pStyle w:val="FootnoteText"/>
        <w:ind w:left="567" w:hanging="567"/>
        <w:rPr>
          <w:sz w:val="24"/>
          <w:u w:color="0000FF"/>
          <w:lang w:val="cs-CZ"/>
        </w:rPr>
      </w:pPr>
      <w:r w:rsidRPr="00363411">
        <w:rPr>
          <w:rStyle w:val="FootnoteReference"/>
          <w:sz w:val="24"/>
          <w:lang w:val="cs-CZ"/>
        </w:rPr>
        <w:footnoteRef/>
      </w:r>
      <w:r w:rsidR="00DE7AB2" w:rsidRPr="00363411">
        <w:rPr>
          <w:sz w:val="24"/>
          <w:lang w:val="cs-CZ"/>
        </w:rPr>
        <w:t xml:space="preserve"> </w:t>
      </w:r>
      <w:r w:rsidR="00DE7AB2" w:rsidRPr="00363411">
        <w:rPr>
          <w:sz w:val="24"/>
          <w:lang w:val="cs-CZ"/>
        </w:rPr>
        <w:tab/>
      </w:r>
      <w:proofErr w:type="spellStart"/>
      <w:r w:rsidRPr="00363411">
        <w:rPr>
          <w:sz w:val="24"/>
          <w:u w:color="0000FF"/>
          <w:lang w:val="cs-CZ"/>
        </w:rPr>
        <w:t>Úř</w:t>
      </w:r>
      <w:proofErr w:type="spellEnd"/>
      <w:r w:rsidRPr="00363411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363411">
        <w:rPr>
          <w:sz w:val="24"/>
          <w:u w:color="0000FF"/>
          <w:lang w:val="cs-CZ"/>
        </w:rPr>
        <w:t>věst</w:t>
      </w:r>
      <w:proofErr w:type="spellEnd"/>
      <w:proofErr w:type="gramEnd"/>
      <w:r w:rsidRPr="00363411">
        <w:rPr>
          <w:sz w:val="24"/>
          <w:u w:color="0000FF"/>
          <w:lang w:val="cs-CZ"/>
        </w:rPr>
        <w:t xml:space="preserve">. L 156, </w:t>
      </w:r>
      <w:proofErr w:type="gramStart"/>
      <w:r w:rsidRPr="00363411">
        <w:rPr>
          <w:sz w:val="24"/>
          <w:u w:color="0000FF"/>
          <w:lang w:val="cs-CZ"/>
        </w:rPr>
        <w:t>5.5.2021</w:t>
      </w:r>
      <w:proofErr w:type="gramEnd"/>
      <w:r w:rsidRPr="00363411">
        <w:rPr>
          <w:sz w:val="24"/>
          <w:u w:color="0000FF"/>
          <w:lang w:val="cs-CZ"/>
        </w:rPr>
        <w:t>, s. 1.</w:t>
      </w:r>
    </w:p>
  </w:footnote>
  <w:footnote w:id="4">
    <w:p w:rsidR="007F7D62" w:rsidRPr="00363411" w:rsidRDefault="007F7D62" w:rsidP="00DE7AB2">
      <w:pPr>
        <w:pStyle w:val="FootnoteText"/>
        <w:ind w:left="567" w:hanging="567"/>
        <w:rPr>
          <w:sz w:val="24"/>
          <w:u w:color="0000FF"/>
          <w:lang w:val="cs-CZ"/>
        </w:rPr>
      </w:pPr>
      <w:r w:rsidRPr="00363411">
        <w:rPr>
          <w:rStyle w:val="FootnoteReference"/>
          <w:sz w:val="24"/>
          <w:lang w:val="cs-CZ"/>
        </w:rPr>
        <w:footnoteRef/>
      </w:r>
      <w:r w:rsidR="00DE7AB2" w:rsidRPr="00363411">
        <w:rPr>
          <w:sz w:val="24"/>
          <w:lang w:val="cs-CZ"/>
        </w:rPr>
        <w:t xml:space="preserve"> </w:t>
      </w:r>
      <w:r w:rsidR="00DE7AB2" w:rsidRPr="00363411">
        <w:rPr>
          <w:sz w:val="24"/>
          <w:lang w:val="cs-CZ"/>
        </w:rPr>
        <w:tab/>
      </w:r>
      <w:proofErr w:type="spellStart"/>
      <w:r w:rsidRPr="00363411">
        <w:rPr>
          <w:sz w:val="24"/>
          <w:u w:color="0000FF"/>
          <w:lang w:val="cs-CZ"/>
        </w:rPr>
        <w:t>Úř</w:t>
      </w:r>
      <w:proofErr w:type="spellEnd"/>
      <w:r w:rsidRPr="00363411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363411">
        <w:rPr>
          <w:sz w:val="24"/>
          <w:u w:color="0000FF"/>
          <w:lang w:val="cs-CZ"/>
        </w:rPr>
        <w:t>věst</w:t>
      </w:r>
      <w:proofErr w:type="spellEnd"/>
      <w:proofErr w:type="gramEnd"/>
      <w:r w:rsidRPr="00363411">
        <w:rPr>
          <w:sz w:val="24"/>
          <w:u w:color="0000FF"/>
          <w:lang w:val="cs-CZ"/>
        </w:rPr>
        <w:t xml:space="preserve">. C 205, </w:t>
      </w:r>
      <w:proofErr w:type="gramStart"/>
      <w:r w:rsidRPr="00363411">
        <w:rPr>
          <w:sz w:val="24"/>
          <w:u w:color="0000FF"/>
          <w:lang w:val="cs-CZ"/>
        </w:rPr>
        <w:t>20.5.2022</w:t>
      </w:r>
      <w:proofErr w:type="gramEnd"/>
      <w:r w:rsidRPr="00363411">
        <w:rPr>
          <w:sz w:val="24"/>
          <w:u w:color="0000FF"/>
          <w:lang w:val="cs-CZ"/>
        </w:rPr>
        <w:t>, s. 17.</w:t>
      </w:r>
    </w:p>
  </w:footnote>
  <w:footnote w:id="5">
    <w:p w:rsidR="007F7D62" w:rsidRPr="00363411" w:rsidRDefault="007F7D62" w:rsidP="00DE7AB2">
      <w:pPr>
        <w:pStyle w:val="FootnoteText"/>
        <w:ind w:left="567" w:hanging="567"/>
        <w:rPr>
          <w:sz w:val="24"/>
          <w:u w:color="0000FF"/>
          <w:lang w:val="cs-CZ"/>
        </w:rPr>
      </w:pPr>
      <w:r w:rsidRPr="00363411">
        <w:rPr>
          <w:rStyle w:val="FootnoteReference"/>
          <w:sz w:val="24"/>
          <w:lang w:val="cs-CZ"/>
        </w:rPr>
        <w:footnoteRef/>
      </w:r>
      <w:r w:rsidR="00DE7AB2" w:rsidRPr="00363411">
        <w:rPr>
          <w:sz w:val="24"/>
          <w:lang w:val="cs-CZ"/>
        </w:rPr>
        <w:t xml:space="preserve"> </w:t>
      </w:r>
      <w:r w:rsidR="00DE7AB2" w:rsidRPr="00363411">
        <w:rPr>
          <w:sz w:val="24"/>
          <w:lang w:val="cs-CZ"/>
        </w:rPr>
        <w:tab/>
      </w:r>
      <w:proofErr w:type="spellStart"/>
      <w:r w:rsidRPr="00363411">
        <w:rPr>
          <w:sz w:val="24"/>
          <w:u w:color="0000FF"/>
          <w:lang w:val="cs-CZ"/>
        </w:rPr>
        <w:t>Úř</w:t>
      </w:r>
      <w:proofErr w:type="spellEnd"/>
      <w:r w:rsidRPr="00363411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363411">
        <w:rPr>
          <w:sz w:val="24"/>
          <w:u w:color="0000FF"/>
          <w:lang w:val="cs-CZ"/>
        </w:rPr>
        <w:t>věst</w:t>
      </w:r>
      <w:proofErr w:type="spellEnd"/>
      <w:proofErr w:type="gramEnd"/>
      <w:r w:rsidRPr="00363411">
        <w:rPr>
          <w:sz w:val="24"/>
          <w:u w:color="0000FF"/>
          <w:lang w:val="cs-CZ"/>
        </w:rPr>
        <w:t xml:space="preserve">. C 347, </w:t>
      </w:r>
      <w:proofErr w:type="gramStart"/>
      <w:r w:rsidRPr="00363411">
        <w:rPr>
          <w:sz w:val="24"/>
          <w:u w:color="0000FF"/>
          <w:lang w:val="cs-CZ"/>
        </w:rPr>
        <w:t>9.9.2022</w:t>
      </w:r>
      <w:proofErr w:type="gramEnd"/>
      <w:r w:rsidRPr="00363411">
        <w:rPr>
          <w:sz w:val="24"/>
          <w:u w:color="0000FF"/>
          <w:lang w:val="cs-CZ"/>
        </w:rPr>
        <w:t>, s. 15.</w:t>
      </w:r>
    </w:p>
  </w:footnote>
  <w:footnote w:id="6">
    <w:p w:rsidR="007F7D62" w:rsidRPr="00363411" w:rsidRDefault="007F7D62" w:rsidP="00DE7AB2">
      <w:pPr>
        <w:pStyle w:val="FootnoteText"/>
        <w:ind w:left="567" w:hanging="567"/>
        <w:rPr>
          <w:sz w:val="24"/>
          <w:u w:color="0000FF"/>
          <w:lang w:val="cs-CZ"/>
        </w:rPr>
      </w:pPr>
      <w:r w:rsidRPr="00363411">
        <w:rPr>
          <w:rStyle w:val="FootnoteReference"/>
          <w:sz w:val="24"/>
          <w:lang w:val="cs-CZ"/>
        </w:rPr>
        <w:footnoteRef/>
      </w:r>
      <w:r w:rsidR="00DE7AB2" w:rsidRPr="00363411">
        <w:rPr>
          <w:sz w:val="24"/>
          <w:lang w:val="cs-CZ"/>
        </w:rPr>
        <w:t xml:space="preserve"> </w:t>
      </w:r>
      <w:r w:rsidR="00DE7AB2" w:rsidRPr="00363411">
        <w:rPr>
          <w:sz w:val="24"/>
          <w:lang w:val="cs-CZ"/>
        </w:rPr>
        <w:tab/>
      </w:r>
      <w:proofErr w:type="spellStart"/>
      <w:r w:rsidRPr="00363411">
        <w:rPr>
          <w:sz w:val="24"/>
          <w:u w:color="0000FF"/>
          <w:lang w:val="cs-CZ"/>
        </w:rPr>
        <w:t>Úř</w:t>
      </w:r>
      <w:proofErr w:type="spellEnd"/>
      <w:r w:rsidRPr="00363411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363411">
        <w:rPr>
          <w:sz w:val="24"/>
          <w:u w:color="0000FF"/>
          <w:lang w:val="cs-CZ"/>
        </w:rPr>
        <w:t>věst</w:t>
      </w:r>
      <w:proofErr w:type="spellEnd"/>
      <w:proofErr w:type="gramEnd"/>
      <w:r w:rsidRPr="00363411">
        <w:rPr>
          <w:sz w:val="24"/>
          <w:u w:color="0000FF"/>
          <w:lang w:val="cs-CZ"/>
        </w:rPr>
        <w:t xml:space="preserve">. C 434, </w:t>
      </w:r>
      <w:proofErr w:type="gramStart"/>
      <w:r w:rsidRPr="00363411">
        <w:rPr>
          <w:sz w:val="24"/>
          <w:u w:color="0000FF"/>
          <w:lang w:val="cs-CZ"/>
        </w:rPr>
        <w:t>15.11.2022</w:t>
      </w:r>
      <w:proofErr w:type="gramEnd"/>
      <w:r w:rsidRPr="00363411">
        <w:rPr>
          <w:sz w:val="24"/>
          <w:u w:color="0000FF"/>
          <w:lang w:val="cs-CZ"/>
        </w:rPr>
        <w:t>, s. 31.</w:t>
      </w:r>
    </w:p>
  </w:footnote>
  <w:footnote w:id="7">
    <w:p w:rsidR="007F7D62" w:rsidRPr="00363411" w:rsidRDefault="007F7D62" w:rsidP="00DE7AB2">
      <w:pPr>
        <w:pStyle w:val="FootnoteText"/>
        <w:ind w:left="567" w:hanging="567"/>
        <w:rPr>
          <w:sz w:val="24"/>
          <w:u w:color="0000FF"/>
          <w:lang w:val="cs-CZ"/>
        </w:rPr>
      </w:pPr>
      <w:r w:rsidRPr="00DE7AB2">
        <w:rPr>
          <w:rStyle w:val="FootnoteReference"/>
          <w:sz w:val="24"/>
          <w:lang w:val="cs-CZ"/>
        </w:rPr>
        <w:footnoteRef/>
      </w:r>
      <w:r w:rsidR="00DE7AB2" w:rsidRPr="00DE7AB2">
        <w:rPr>
          <w:sz w:val="24"/>
          <w:lang w:val="cs-CZ"/>
        </w:rPr>
        <w:t xml:space="preserve"> </w:t>
      </w:r>
      <w:r w:rsidR="00DE7AB2" w:rsidRPr="00DE7AB2">
        <w:rPr>
          <w:sz w:val="24"/>
          <w:lang w:val="cs-CZ"/>
        </w:rPr>
        <w:tab/>
      </w:r>
      <w:proofErr w:type="spellStart"/>
      <w:r w:rsidRPr="00363411">
        <w:rPr>
          <w:sz w:val="24"/>
          <w:u w:color="0000FF"/>
          <w:lang w:val="cs-CZ"/>
        </w:rPr>
        <w:t>Úř</w:t>
      </w:r>
      <w:proofErr w:type="spellEnd"/>
      <w:r w:rsidRPr="00363411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363411">
        <w:rPr>
          <w:sz w:val="24"/>
          <w:u w:color="0000FF"/>
          <w:lang w:val="cs-CZ"/>
        </w:rPr>
        <w:t>věst</w:t>
      </w:r>
      <w:proofErr w:type="spellEnd"/>
      <w:proofErr w:type="gramEnd"/>
      <w:r w:rsidRPr="00363411">
        <w:rPr>
          <w:sz w:val="24"/>
          <w:u w:color="0000FF"/>
          <w:lang w:val="cs-CZ"/>
        </w:rPr>
        <w:t xml:space="preserve">. C 177, </w:t>
      </w:r>
      <w:proofErr w:type="gramStart"/>
      <w:r w:rsidRPr="00363411">
        <w:rPr>
          <w:sz w:val="24"/>
          <w:u w:color="0000FF"/>
          <w:lang w:val="cs-CZ"/>
        </w:rPr>
        <w:t>17.5.2023</w:t>
      </w:r>
      <w:proofErr w:type="gramEnd"/>
      <w:r w:rsidRPr="00363411">
        <w:rPr>
          <w:sz w:val="24"/>
          <w:u w:color="0000FF"/>
          <w:lang w:val="cs-CZ"/>
        </w:rPr>
        <w:t>, s. 78.</w:t>
      </w:r>
    </w:p>
  </w:footnote>
  <w:footnote w:id="8">
    <w:p w:rsidR="007F7D62" w:rsidRPr="00363411" w:rsidRDefault="007F7D62" w:rsidP="00DE7AB2">
      <w:pPr>
        <w:pStyle w:val="FootnoteText"/>
        <w:ind w:left="567" w:hanging="567"/>
        <w:rPr>
          <w:sz w:val="24"/>
          <w:u w:color="0000FF"/>
          <w:lang w:val="cs-CZ"/>
        </w:rPr>
      </w:pPr>
      <w:r w:rsidRPr="00363411">
        <w:rPr>
          <w:rStyle w:val="FootnoteReference"/>
          <w:sz w:val="24"/>
          <w:lang w:val="cs-CZ"/>
        </w:rPr>
        <w:footnoteRef/>
      </w:r>
      <w:r w:rsidR="00DE7AB2" w:rsidRPr="00363411">
        <w:rPr>
          <w:sz w:val="24"/>
          <w:lang w:val="cs-CZ"/>
        </w:rPr>
        <w:t xml:space="preserve"> </w:t>
      </w:r>
      <w:r w:rsidR="00DE7AB2" w:rsidRPr="00363411">
        <w:rPr>
          <w:sz w:val="24"/>
          <w:lang w:val="cs-CZ"/>
        </w:rPr>
        <w:tab/>
      </w:r>
      <w:proofErr w:type="spellStart"/>
      <w:r w:rsidRPr="00363411">
        <w:rPr>
          <w:sz w:val="24"/>
          <w:u w:color="0000FF"/>
          <w:lang w:val="cs-CZ"/>
        </w:rPr>
        <w:t>Úř</w:t>
      </w:r>
      <w:proofErr w:type="spellEnd"/>
      <w:r w:rsidRPr="00363411">
        <w:rPr>
          <w:sz w:val="24"/>
          <w:u w:color="0000FF"/>
          <w:lang w:val="cs-CZ"/>
        </w:rPr>
        <w:t xml:space="preserve">. </w:t>
      </w:r>
      <w:proofErr w:type="spellStart"/>
      <w:proofErr w:type="gramStart"/>
      <w:r w:rsidRPr="00363411">
        <w:rPr>
          <w:sz w:val="24"/>
          <w:u w:color="0000FF"/>
          <w:lang w:val="cs-CZ"/>
        </w:rPr>
        <w:t>věst</w:t>
      </w:r>
      <w:proofErr w:type="spellEnd"/>
      <w:proofErr w:type="gramEnd"/>
      <w:r w:rsidRPr="00363411">
        <w:rPr>
          <w:sz w:val="24"/>
          <w:u w:color="0000FF"/>
          <w:lang w:val="cs-CZ"/>
        </w:rPr>
        <w:t xml:space="preserve">. C 456, </w:t>
      </w:r>
      <w:proofErr w:type="gramStart"/>
      <w:r w:rsidRPr="00363411">
        <w:rPr>
          <w:sz w:val="24"/>
          <w:u w:color="0000FF"/>
          <w:lang w:val="cs-CZ"/>
        </w:rPr>
        <w:t>10.11.2021</w:t>
      </w:r>
      <w:proofErr w:type="gramEnd"/>
      <w:r w:rsidRPr="00363411">
        <w:rPr>
          <w:sz w:val="24"/>
          <w:u w:color="0000FF"/>
          <w:lang w:val="cs-CZ"/>
        </w:rPr>
        <w:t>, s. 208.</w:t>
      </w:r>
    </w:p>
  </w:footnote>
  <w:footnote w:id="9">
    <w:p w:rsidR="007F7D62" w:rsidRPr="00DE7AB2" w:rsidRDefault="007F7D62" w:rsidP="00DE7AB2">
      <w:pPr>
        <w:pStyle w:val="FootnoteText"/>
        <w:ind w:left="567" w:hanging="567"/>
        <w:rPr>
          <w:sz w:val="24"/>
          <w:lang w:val="cs-CZ"/>
        </w:rPr>
      </w:pPr>
      <w:r w:rsidRPr="00DE7AB2">
        <w:rPr>
          <w:rStyle w:val="FootnoteReference"/>
          <w:sz w:val="24"/>
          <w:lang w:val="cs-CZ"/>
        </w:rPr>
        <w:footnoteRef/>
      </w:r>
      <w:r w:rsidR="00DE7AB2" w:rsidRPr="00DE7AB2">
        <w:rPr>
          <w:sz w:val="24"/>
          <w:lang w:val="cs-CZ"/>
        </w:rPr>
        <w:t xml:space="preserve"> </w:t>
      </w:r>
      <w:r w:rsidR="00DE7AB2" w:rsidRPr="00DE7AB2">
        <w:rPr>
          <w:sz w:val="24"/>
          <w:lang w:val="cs-CZ"/>
        </w:rPr>
        <w:tab/>
      </w:r>
      <w:r w:rsidRPr="00DE7AB2">
        <w:rPr>
          <w:sz w:val="24"/>
          <w:lang w:val="cs-CZ"/>
        </w:rPr>
        <w:t xml:space="preserve">Viz: </w:t>
      </w:r>
      <w:r w:rsidR="001072B0">
        <w:fldChar w:fldCharType="begin"/>
      </w:r>
      <w:r w:rsidR="001072B0" w:rsidRPr="001072B0">
        <w:rPr>
          <w:lang w:val="cs-CZ"/>
        </w:rPr>
        <w:instrText xml:space="preserve"> HYPERLINK "https://rm.coe.int/168006457e." </w:instrText>
      </w:r>
      <w:r w:rsidR="001072B0">
        <w:fldChar w:fldCharType="separate"/>
      </w:r>
      <w:r w:rsidRPr="00324A39">
        <w:rPr>
          <w:rStyle w:val="Hyperlink"/>
          <w:sz w:val="24"/>
          <w:lang w:val="cs-CZ"/>
        </w:rPr>
        <w:t>https://rm.coe.int/168006457e.</w:t>
      </w:r>
      <w:r w:rsidR="001072B0">
        <w:rPr>
          <w:rStyle w:val="Hyperlink"/>
          <w:sz w:val="24"/>
          <w:lang w:val="cs-CZ"/>
        </w:rPr>
        <w:fldChar w:fldCharType="end"/>
      </w:r>
    </w:p>
  </w:footnote>
  <w:footnote w:id="10">
    <w:p w:rsidR="007F7D62" w:rsidRPr="00DE7AB2" w:rsidRDefault="007F7D62" w:rsidP="00DE7AB2">
      <w:pPr>
        <w:pStyle w:val="FootnoteText"/>
        <w:ind w:left="567" w:hanging="567"/>
        <w:rPr>
          <w:color w:val="0000FF"/>
          <w:sz w:val="24"/>
          <w:u w:val="single" w:color="0000FF"/>
          <w:lang w:val="cs-CZ"/>
        </w:rPr>
      </w:pPr>
      <w:r w:rsidRPr="00DE7AB2">
        <w:rPr>
          <w:rStyle w:val="FootnoteReference"/>
          <w:sz w:val="24"/>
          <w:lang w:val="cs-CZ"/>
        </w:rPr>
        <w:footnoteRef/>
      </w:r>
      <w:r w:rsidR="00DE7AB2" w:rsidRPr="00DE7AB2">
        <w:rPr>
          <w:sz w:val="24"/>
          <w:lang w:val="cs-CZ"/>
        </w:rPr>
        <w:t xml:space="preserve"> </w:t>
      </w:r>
      <w:r w:rsidR="00DE7AB2" w:rsidRPr="00DE7AB2">
        <w:rPr>
          <w:sz w:val="24"/>
          <w:lang w:val="cs-CZ"/>
        </w:rPr>
        <w:tab/>
      </w:r>
      <w:r w:rsidR="001072B0">
        <w:fldChar w:fldCharType="begin"/>
      </w:r>
      <w:r w:rsidR="001072B0" w:rsidRPr="001072B0">
        <w:rPr>
          <w:lang w:val="cs-CZ"/>
        </w:rPr>
        <w:instrText xml:space="preserve"> HYPERLINK "https://ww</w:instrText>
      </w:r>
      <w:r w:rsidR="001072B0" w:rsidRPr="001072B0">
        <w:rPr>
          <w:lang w:val="cs-CZ"/>
        </w:rPr>
        <w:instrText xml:space="preserve">w.europarl.europa.eu/thinktank/en/document/IPOL_STU(2015)540364" </w:instrText>
      </w:r>
      <w:r w:rsidR="001072B0">
        <w:fldChar w:fldCharType="separate"/>
      </w:r>
      <w:r w:rsidRPr="00DE7AB2">
        <w:rPr>
          <w:color w:val="0000FF"/>
          <w:sz w:val="24"/>
          <w:u w:val="single" w:color="0000FF"/>
          <w:lang w:val="cs-CZ"/>
        </w:rPr>
        <w:t>Studie „Evropská historická paměť: politiky, výzvy a perspektivy“, Evropský parlament, generální ředitelství pro vnitřní politiky, tematická sekce B – Strukturální politika a politika soudržnosti, duben 2015.</w:t>
      </w:r>
      <w:r w:rsidR="001072B0">
        <w:rPr>
          <w:color w:val="0000FF"/>
          <w:sz w:val="24"/>
          <w:u w:val="single" w:color="0000FF"/>
          <w:lang w:val="cs-CZ"/>
        </w:rPr>
        <w:fldChar w:fldCharType="end"/>
      </w:r>
    </w:p>
  </w:footnote>
  <w:footnote w:id="11">
    <w:p w:rsidR="007F7D62" w:rsidRPr="00DE7AB2" w:rsidRDefault="007F7D62" w:rsidP="00DE7AB2">
      <w:pPr>
        <w:pStyle w:val="FootnoteText"/>
        <w:ind w:left="567" w:hanging="567"/>
        <w:rPr>
          <w:color w:val="0000FF"/>
          <w:sz w:val="24"/>
          <w:u w:val="single" w:color="0000FF"/>
          <w:lang w:val="cs-CZ"/>
        </w:rPr>
      </w:pPr>
      <w:r w:rsidRPr="00DE7AB2">
        <w:rPr>
          <w:rStyle w:val="FootnoteReference"/>
          <w:sz w:val="24"/>
          <w:lang w:val="cs-CZ"/>
        </w:rPr>
        <w:footnoteRef/>
      </w:r>
      <w:r w:rsidR="00DE7AB2" w:rsidRPr="00DE7AB2">
        <w:rPr>
          <w:sz w:val="24"/>
          <w:lang w:val="cs-CZ"/>
        </w:rPr>
        <w:t xml:space="preserve"> </w:t>
      </w:r>
      <w:r w:rsidR="00DE7AB2" w:rsidRPr="00DE7AB2">
        <w:rPr>
          <w:sz w:val="24"/>
          <w:lang w:val="cs-CZ"/>
        </w:rPr>
        <w:tab/>
      </w:r>
      <w:r w:rsidR="001072B0">
        <w:fldChar w:fldCharType="begin"/>
      </w:r>
      <w:r w:rsidR="001072B0" w:rsidRPr="001072B0">
        <w:rPr>
          <w:lang w:val="cs-CZ"/>
        </w:rPr>
        <w:instrText xml:space="preserve"> HYPERLINK "https://www.europarl.europa.eu/thinktank/en/document/IPOL_STU(2017)585921" </w:instrText>
      </w:r>
      <w:r w:rsidR="001072B0">
        <w:fldChar w:fldCharType="separate"/>
      </w:r>
      <w:r w:rsidRPr="00DE7AB2">
        <w:rPr>
          <w:color w:val="0000FF"/>
          <w:sz w:val="24"/>
          <w:u w:val="single" w:color="0000FF"/>
          <w:lang w:val="cs-CZ"/>
        </w:rPr>
        <w:t>Studie „Evropská identita“, Evropský parlament, generální ředitelství pro vnitřní politiky Unie, tematická sekce B – Strukturální politika a politika soudržnosti, duben 2017.</w:t>
      </w:r>
      <w:r w:rsidR="001072B0">
        <w:rPr>
          <w:color w:val="0000FF"/>
          <w:sz w:val="24"/>
          <w:u w:val="single" w:color="0000FF"/>
          <w:lang w:val="cs-CZ"/>
        </w:rPr>
        <w:fldChar w:fldCharType="end"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7A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7A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7A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2/2023"/>
    <w:docVar w:name="dvlangue" w:val="CS"/>
    <w:docVar w:name="dvnumam" w:val="0"/>
    <w:docVar w:name="dvpe" w:val="752.701"/>
    <w:docVar w:name="dvrapporteur" w:val="Zpravodajka: "/>
    <w:docVar w:name="dvtitre" w:val="Usnesení Evropského parlamentu ze dne.... 2024 o evropském historickém vědomí(2023/2112(INI))"/>
  </w:docVars>
  <w:rsids>
    <w:rsidRoot w:val="00C13B54"/>
    <w:rsid w:val="00002272"/>
    <w:rsid w:val="00064002"/>
    <w:rsid w:val="000677B9"/>
    <w:rsid w:val="000831BA"/>
    <w:rsid w:val="000A42CC"/>
    <w:rsid w:val="000E7DD9"/>
    <w:rsid w:val="0010095E"/>
    <w:rsid w:val="001072B0"/>
    <w:rsid w:val="00125B37"/>
    <w:rsid w:val="00187494"/>
    <w:rsid w:val="001F32AE"/>
    <w:rsid w:val="002767FF"/>
    <w:rsid w:val="002B18FE"/>
    <w:rsid w:val="002B5493"/>
    <w:rsid w:val="00324A39"/>
    <w:rsid w:val="00343214"/>
    <w:rsid w:val="00361C00"/>
    <w:rsid w:val="0036341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D6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3B5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7AB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CE039"/>
  <w15:chartTrackingRefBased/>
  <w15:docId w15:val="{997D19C9-8810-435C-9013-32DB523C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7D62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7F7D62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7F7D62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7F7D62"/>
    <w:rPr>
      <w:b/>
      <w:i/>
      <w:u w:val="none"/>
    </w:rPr>
  </w:style>
  <w:style w:type="character" w:customStyle="1" w:styleId="Italic">
    <w:name w:val="Italic"/>
    <w:uiPriority w:val="1"/>
    <w:rsid w:val="007F7D62"/>
    <w:rPr>
      <w:i/>
    </w:rPr>
  </w:style>
  <w:style w:type="paragraph" w:customStyle="1" w:styleId="Normal12a24b">
    <w:name w:val="Normal12a24b"/>
    <w:basedOn w:val="Normal"/>
    <w:rsid w:val="007F7D62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324A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2C00A-7DB1-4D2A-B565-D4F550A1C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2491</Words>
  <Characters>15160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2024-01-17T12:32:00Z</dcterms:created>
  <dcterms:modified xsi:type="dcterms:W3CDTF">2024-01-17T12:32:00Z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A9-0402/2023</vt:lpwstr>
  </property>
  <property fmtid="{D5CDD505-2E9C-101B-9397-08002B2CF9AE}" pid="4" name="&lt;Type&gt;">
    <vt:lpwstr>RR</vt:lpwstr>
  </property>
</Properties>
</file>