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589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E5891" w:rsidRDefault="00864877" w:rsidP="0010095E">
            <w:pPr>
              <w:pStyle w:val="EPName"/>
            </w:pPr>
            <w:r w:rsidRPr="008E5891">
              <w:t>Europski parlament</w:t>
            </w:r>
          </w:p>
          <w:p w:rsidR="00751A4A" w:rsidRPr="008E589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589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E5891" w:rsidRDefault="00187494" w:rsidP="0010095E">
            <w:pPr>
              <w:pStyle w:val="EPLogo"/>
            </w:pPr>
            <w:r w:rsidRPr="008E5891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E5891" w:rsidRDefault="00D058B8" w:rsidP="004C5D52">
      <w:pPr>
        <w:pStyle w:val="LineTop"/>
      </w:pPr>
    </w:p>
    <w:p w:rsidR="00680577" w:rsidRPr="008E5891" w:rsidRDefault="00864877" w:rsidP="00680577">
      <w:pPr>
        <w:pStyle w:val="EPBodyTA1"/>
      </w:pPr>
      <w:r w:rsidRPr="008E5891">
        <w:t>USVOJENI TEKSTOVI</w:t>
      </w:r>
    </w:p>
    <w:p w:rsidR="00D058B8" w:rsidRPr="008E5891" w:rsidRDefault="00D058B8" w:rsidP="00D058B8">
      <w:pPr>
        <w:pStyle w:val="LineBottom"/>
      </w:pPr>
    </w:p>
    <w:p w:rsidR="00864877" w:rsidRPr="008E5891" w:rsidRDefault="00864877" w:rsidP="00864877">
      <w:pPr>
        <w:pStyle w:val="ATHeading1"/>
      </w:pPr>
      <w:bookmarkStart w:id="0" w:name="TANumber"/>
      <w:r w:rsidRPr="008E5891">
        <w:t>P9_TA(2024)00</w:t>
      </w:r>
      <w:r w:rsidR="009E3423">
        <w:t>3</w:t>
      </w:r>
      <w:r w:rsidRPr="008E5891">
        <w:t>0</w:t>
      </w:r>
      <w:bookmarkStart w:id="1" w:name="_GoBack"/>
      <w:bookmarkEnd w:id="0"/>
      <w:bookmarkEnd w:id="1"/>
    </w:p>
    <w:p w:rsidR="00864877" w:rsidRPr="008E5891" w:rsidRDefault="00864877" w:rsidP="00864877">
      <w:pPr>
        <w:pStyle w:val="ATHeading2"/>
      </w:pPr>
      <w:bookmarkStart w:id="2" w:name="title"/>
      <w:r w:rsidRPr="008E5891">
        <w:t>Europska povijesna svijest</w:t>
      </w:r>
      <w:bookmarkEnd w:id="2"/>
    </w:p>
    <w:p w:rsidR="00864877" w:rsidRPr="008E5891" w:rsidRDefault="00864877" w:rsidP="00864877">
      <w:pPr>
        <w:rPr>
          <w:i/>
          <w:vanish/>
        </w:rPr>
      </w:pPr>
      <w:r w:rsidRPr="008E5891">
        <w:rPr>
          <w:i/>
        </w:rPr>
        <w:fldChar w:fldCharType="begin"/>
      </w:r>
      <w:r w:rsidRPr="008E5891">
        <w:rPr>
          <w:i/>
        </w:rPr>
        <w:instrText xml:space="preserve"> TC"(</w:instrText>
      </w:r>
      <w:bookmarkStart w:id="3" w:name="DocNumber"/>
      <w:r w:rsidRPr="008E5891">
        <w:rPr>
          <w:i/>
        </w:rPr>
        <w:instrText>A9-0402/2023</w:instrText>
      </w:r>
      <w:bookmarkEnd w:id="3"/>
      <w:r w:rsidRPr="008E5891">
        <w:rPr>
          <w:i/>
        </w:rPr>
        <w:instrText xml:space="preserve"> - Izvjestiteljica: Sabine </w:instrText>
      </w:r>
      <w:proofErr w:type="spellStart"/>
      <w:r w:rsidRPr="008E5891">
        <w:rPr>
          <w:i/>
        </w:rPr>
        <w:instrText>Verheyen</w:instrText>
      </w:r>
      <w:proofErr w:type="spellEnd"/>
      <w:r w:rsidRPr="008E5891">
        <w:rPr>
          <w:i/>
        </w:rPr>
        <w:instrText xml:space="preserve">)"\l3 \n&gt; \* MERGEFORMAT </w:instrText>
      </w:r>
      <w:r w:rsidRPr="008E5891">
        <w:rPr>
          <w:i/>
        </w:rPr>
        <w:fldChar w:fldCharType="end"/>
      </w:r>
    </w:p>
    <w:p w:rsidR="00864877" w:rsidRPr="008E5891" w:rsidRDefault="00864877" w:rsidP="00864877">
      <w:pPr>
        <w:rPr>
          <w:vanish/>
        </w:rPr>
      </w:pPr>
      <w:bookmarkStart w:id="4" w:name="Commission"/>
      <w:r w:rsidRPr="008E5891">
        <w:rPr>
          <w:vanish/>
        </w:rPr>
        <w:t>Odbor za kulturu i obrazovanje</w:t>
      </w:r>
      <w:bookmarkEnd w:id="4"/>
    </w:p>
    <w:p w:rsidR="00864877" w:rsidRPr="008E5891" w:rsidRDefault="00864877" w:rsidP="00864877">
      <w:pPr>
        <w:rPr>
          <w:vanish/>
        </w:rPr>
      </w:pPr>
      <w:bookmarkStart w:id="5" w:name="PE"/>
      <w:r w:rsidRPr="008E5891">
        <w:rPr>
          <w:vanish/>
        </w:rPr>
        <w:t>PE752.701</w:t>
      </w:r>
      <w:bookmarkEnd w:id="5"/>
    </w:p>
    <w:p w:rsidR="00864877" w:rsidRPr="008E5891" w:rsidRDefault="00864877" w:rsidP="00864877">
      <w:pPr>
        <w:pStyle w:val="ATHeading3"/>
      </w:pPr>
      <w:bookmarkStart w:id="6" w:name="Sujet"/>
      <w:r w:rsidRPr="008E5891">
        <w:t>Rezolu</w:t>
      </w:r>
      <w:r w:rsidR="008E5891">
        <w:t>cija Europskog parlamenta od 17</w:t>
      </w:r>
      <w:r w:rsidRPr="008E5891">
        <w:t xml:space="preserve">. </w:t>
      </w:r>
      <w:r w:rsidR="008E5891">
        <w:t xml:space="preserve">siječnja </w:t>
      </w:r>
      <w:r w:rsidRPr="008E5891">
        <w:t>2024. o europskoj povijesnoj svijesti</w:t>
      </w:r>
      <w:bookmarkEnd w:id="6"/>
      <w:r w:rsidRPr="008E5891">
        <w:t xml:space="preserve"> </w:t>
      </w:r>
      <w:bookmarkStart w:id="7" w:name="References"/>
      <w:r w:rsidRPr="008E5891">
        <w:t>(2023/2112(INI))</w:t>
      </w:r>
      <w:bookmarkEnd w:id="7"/>
    </w:p>
    <w:p w:rsidR="00704DFA" w:rsidRPr="008E5891" w:rsidRDefault="00704DFA" w:rsidP="00704DFA">
      <w:pPr>
        <w:pStyle w:val="EPComma"/>
        <w:rPr>
          <w:lang w:val="hr-HR"/>
        </w:rPr>
      </w:pPr>
      <w:bookmarkStart w:id="8" w:name="TextBodyBegin"/>
      <w:bookmarkEnd w:id="8"/>
      <w:r w:rsidRPr="008E5891">
        <w:rPr>
          <w:rStyle w:val="Italic"/>
          <w:lang w:val="hr-HR"/>
        </w:rPr>
        <w:t>Europski parlament</w:t>
      </w:r>
      <w:r w:rsidRPr="008E5891">
        <w:rPr>
          <w:lang w:val="hr-HR"/>
        </w:rPr>
        <w:t>,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–</w:t>
      </w:r>
      <w:r w:rsidRPr="008E5891">
        <w:rPr>
          <w:lang w:val="hr-HR"/>
        </w:rPr>
        <w:tab/>
        <w:t>uzimajući u obzir članak 165. Ugovora o funkcioniranju Europske unije,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–</w:t>
      </w:r>
      <w:r w:rsidRPr="008E5891">
        <w:rPr>
          <w:lang w:val="hr-HR"/>
        </w:rPr>
        <w:tab/>
        <w:t>uzimajući u obzir svoju Rezoluciju o važnosti europskog sjećanja za budućnost Europe od 19. rujna 2019.</w:t>
      </w:r>
      <w:r w:rsidRPr="008E5891">
        <w:rPr>
          <w:rStyle w:val="FootnoteReference"/>
          <w:lang w:val="hr-HR"/>
        </w:rPr>
        <w:footnoteReference w:id="1"/>
      </w:r>
      <w:r w:rsidRPr="008E5891">
        <w:rPr>
          <w:lang w:val="hr-HR"/>
        </w:rPr>
        <w:t>,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–</w:t>
      </w:r>
      <w:r w:rsidRPr="008E5891">
        <w:rPr>
          <w:lang w:val="hr-HR"/>
        </w:rPr>
        <w:tab/>
        <w:t>uzimajući u obzir svoju Rezoluciju od 2. travnja 2009. o europskoj savjesti i totalitarizmu</w:t>
      </w:r>
      <w:r w:rsidRPr="008E5891">
        <w:rPr>
          <w:rStyle w:val="FootnoteReference"/>
          <w:lang w:val="hr-HR"/>
        </w:rPr>
        <w:footnoteReference w:id="2"/>
      </w:r>
      <w:r w:rsidRPr="008E5891">
        <w:rPr>
          <w:lang w:val="hr-HR"/>
        </w:rPr>
        <w:t>,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–</w:t>
      </w:r>
      <w:r w:rsidRPr="008E5891">
        <w:rPr>
          <w:lang w:val="hr-HR"/>
        </w:rPr>
        <w:tab/>
        <w:t>uzimajući u obzir Uredbu (EU) 2021/692 Europskog parlamenta i Vijeća od 28. travnja 2021. o uspostavi programa Građani, jednakost, prava i vrijednosti te o stavljanju izvan snage Uredbe (EU) br. 1381/2013 Europskog parlamenta i Vijeća i Uredbe Vijeća (EU) br. 390/2014</w:t>
      </w:r>
      <w:r w:rsidRPr="008E5891">
        <w:rPr>
          <w:rStyle w:val="FootnoteReference"/>
          <w:lang w:val="hr-HR"/>
        </w:rPr>
        <w:footnoteReference w:id="3"/>
      </w:r>
      <w:r w:rsidRPr="008E5891">
        <w:rPr>
          <w:lang w:val="hr-HR"/>
        </w:rPr>
        <w:t>,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–</w:t>
      </w:r>
      <w:r w:rsidRPr="008E5891">
        <w:rPr>
          <w:lang w:val="hr-HR"/>
        </w:rPr>
        <w:tab/>
        <w:t>uzimajući u obzir svoju Rezoluciju od 11. studenoga 2021. o europskom prostoru obrazovanja: zajednički holistički pristup</w:t>
      </w:r>
      <w:r w:rsidRPr="008E5891">
        <w:rPr>
          <w:rStyle w:val="FootnoteReference"/>
          <w:lang w:val="hr-HR"/>
        </w:rPr>
        <w:footnoteReference w:id="4"/>
      </w:r>
      <w:r w:rsidRPr="008E5891">
        <w:rPr>
          <w:lang w:val="hr-HR"/>
        </w:rPr>
        <w:t>,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–</w:t>
      </w:r>
      <w:r w:rsidRPr="008E5891">
        <w:rPr>
          <w:lang w:val="hr-HR"/>
        </w:rPr>
        <w:tab/>
        <w:t>uzimajući u obzir svoju Rezoluciju od 8. ožujka 2022. o ulozi kulture, obrazovanja, medija i sporta u borbi protiv rasizma</w:t>
      </w:r>
      <w:r w:rsidRPr="008E5891">
        <w:rPr>
          <w:rStyle w:val="FootnoteReference"/>
          <w:lang w:val="hr-HR"/>
        </w:rPr>
        <w:footnoteReference w:id="5"/>
      </w:r>
      <w:r w:rsidRPr="008E5891">
        <w:rPr>
          <w:lang w:val="hr-HR"/>
        </w:rPr>
        <w:t>,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–</w:t>
      </w:r>
      <w:r w:rsidRPr="008E5891">
        <w:rPr>
          <w:lang w:val="hr-HR"/>
        </w:rPr>
        <w:tab/>
        <w:t>uzimajući u obzir svoju Rezoluciju od 6. travnja 2022. o provedbi mjera u području građanskog odgoja</w:t>
      </w:r>
      <w:r w:rsidRPr="008E5891">
        <w:rPr>
          <w:rStyle w:val="FootnoteReference"/>
          <w:lang w:val="hr-HR"/>
        </w:rPr>
        <w:footnoteReference w:id="6"/>
      </w:r>
      <w:r w:rsidRPr="008E5891">
        <w:rPr>
          <w:lang w:val="hr-HR"/>
        </w:rPr>
        <w:t>,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lastRenderedPageBreak/>
        <w:t>–</w:t>
      </w:r>
      <w:r w:rsidRPr="008E5891">
        <w:rPr>
          <w:lang w:val="hr-HR"/>
        </w:rPr>
        <w:tab/>
        <w:t xml:space="preserve">uzimajući u obzir svoju Rezoluciju od 14. prosinca 2022. o provedbi Nove europske </w:t>
      </w:r>
      <w:proofErr w:type="spellStart"/>
      <w:r w:rsidRPr="008E5891">
        <w:rPr>
          <w:lang w:val="hr-HR"/>
        </w:rPr>
        <w:t>agende</w:t>
      </w:r>
      <w:proofErr w:type="spellEnd"/>
      <w:r w:rsidRPr="008E5891">
        <w:rPr>
          <w:lang w:val="hr-HR"/>
        </w:rPr>
        <w:t xml:space="preserve"> za kulturu i Strategije EU-a za međunarodne kulturne odnose</w:t>
      </w:r>
      <w:r w:rsidRPr="008E5891">
        <w:rPr>
          <w:rStyle w:val="FootnoteReference"/>
          <w:lang w:val="hr-HR"/>
        </w:rPr>
        <w:footnoteReference w:id="7"/>
      </w:r>
      <w:r w:rsidRPr="008E5891">
        <w:rPr>
          <w:lang w:val="hr-HR"/>
        </w:rPr>
        <w:t>,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–</w:t>
      </w:r>
      <w:r w:rsidRPr="008E5891">
        <w:rPr>
          <w:lang w:val="hr-HR"/>
        </w:rPr>
        <w:tab/>
        <w:t>uzimajući u obzir svoju Rezoluciju od 21. siječnja 2021. o Strategiji EU-a za rodnu ravnopravnost</w:t>
      </w:r>
      <w:r w:rsidRPr="008E5891">
        <w:rPr>
          <w:rStyle w:val="FootnoteReference"/>
          <w:lang w:val="hr-HR"/>
        </w:rPr>
        <w:footnoteReference w:id="8"/>
      </w:r>
      <w:r w:rsidRPr="008E5891">
        <w:rPr>
          <w:lang w:val="hr-HR"/>
        </w:rPr>
        <w:t>,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–</w:t>
      </w:r>
      <w:r w:rsidRPr="008E5891">
        <w:rPr>
          <w:lang w:val="hr-HR"/>
        </w:rPr>
        <w:tab/>
        <w:t>uzimajući u obzir komunikaciju Komisije od 18. rujna 2020. naslovljenu „Unija ravnopravnosti: Akcijski plan EU-a za antirasizam za razdoblje 2020. – 2025.” (COM(2020)0565),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–</w:t>
      </w:r>
      <w:r w:rsidRPr="008E5891">
        <w:rPr>
          <w:lang w:val="hr-HR"/>
        </w:rPr>
        <w:tab/>
        <w:t>uzimajući u obzir komunikaciju Komisije od 14. lipnja 2016. o podupiranju sprečavanja radikalizacije koja vodi k nasilnom ekstremizmu (COM(2016)0379),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–</w:t>
      </w:r>
      <w:r w:rsidRPr="008E5891">
        <w:rPr>
          <w:lang w:val="hr-HR"/>
        </w:rPr>
        <w:tab/>
        <w:t>uzimajući u obzir Europsku kulturnu konvenciju od 19. prosinca 1954.</w:t>
      </w:r>
      <w:r w:rsidRPr="008E5891">
        <w:rPr>
          <w:rStyle w:val="FootnoteReference"/>
          <w:lang w:val="hr-HR"/>
        </w:rPr>
        <w:footnoteReference w:id="9"/>
      </w:r>
      <w:r w:rsidRPr="008E5891">
        <w:rPr>
          <w:lang w:val="hr-HR"/>
        </w:rPr>
        <w:t>,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–</w:t>
      </w:r>
      <w:r w:rsidRPr="008E5891">
        <w:rPr>
          <w:lang w:val="hr-HR"/>
        </w:rPr>
        <w:tab/>
        <w:t>uzimajući u obzir studiju provedenu za Odbor za kulturu i obrazovanje naslovljenu: „Europsko povijesno sjećanje: politike, izazovi i perspektive”</w:t>
      </w:r>
      <w:r w:rsidRPr="008E5891">
        <w:rPr>
          <w:rStyle w:val="FootnoteReference"/>
          <w:lang w:val="hr-HR"/>
        </w:rPr>
        <w:footnoteReference w:id="10"/>
      </w:r>
      <w:r w:rsidRPr="008E5891">
        <w:rPr>
          <w:lang w:val="hr-HR"/>
        </w:rPr>
        <w:t>,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–</w:t>
      </w:r>
      <w:r w:rsidRPr="008E5891">
        <w:rPr>
          <w:lang w:val="hr-HR"/>
        </w:rPr>
        <w:tab/>
        <w:t>uzimajući u obzir studiju provedenu za svoj Odbor za kulturu i obrazovanje naslovljenu „Europski identitet”</w:t>
      </w:r>
      <w:r w:rsidRPr="008E5891">
        <w:rPr>
          <w:rStyle w:val="FootnoteReference"/>
          <w:lang w:val="hr-HR"/>
        </w:rPr>
        <w:footnoteReference w:id="11"/>
      </w:r>
      <w:r w:rsidRPr="008E5891">
        <w:rPr>
          <w:lang w:val="hr-HR"/>
        </w:rPr>
        <w:t>,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–</w:t>
      </w:r>
      <w:r w:rsidRPr="008E5891">
        <w:rPr>
          <w:lang w:val="hr-HR"/>
        </w:rPr>
        <w:tab/>
        <w:t>uzimajući u obzir članak 54. Poslovnika,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–</w:t>
      </w:r>
      <w:r w:rsidRPr="008E5891">
        <w:rPr>
          <w:lang w:val="hr-HR"/>
        </w:rPr>
        <w:tab/>
        <w:t>uzimajući u obzir izvješće Odbora za kulturu i obrazovanje (A9-0402/2023),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A.</w:t>
      </w:r>
      <w:r w:rsidRPr="008E5891">
        <w:rPr>
          <w:lang w:val="hr-HR"/>
        </w:rPr>
        <w:tab/>
        <w:t>budući da je europska povijest složena, sporna i obilježena sukobima te ujedno predstavlja i izazov i priliku za europsku integraciju, uviđajući pritom da dobro informirana povijesna svijest potiče uzajamno razumijevanje i toleranciju;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B.</w:t>
      </w:r>
      <w:r w:rsidRPr="008E5891">
        <w:rPr>
          <w:lang w:val="hr-HR"/>
        </w:rPr>
        <w:tab/>
        <w:t xml:space="preserve">budući da su nepravde utemeljene na rodu, uvjerenju i etničkoj pripadnosti već stoljećima utkane u europsku povijest, među ostalim u obliku antisemitizma i </w:t>
      </w:r>
      <w:proofErr w:type="spellStart"/>
      <w:r w:rsidRPr="008E5891">
        <w:rPr>
          <w:lang w:val="hr-HR"/>
        </w:rPr>
        <w:t>antiromizma</w:t>
      </w:r>
      <w:proofErr w:type="spellEnd"/>
      <w:r w:rsidRPr="008E5891">
        <w:rPr>
          <w:lang w:val="hr-HR"/>
        </w:rPr>
        <w:t>, što ima posljedice na Europu i na ostatak svijeta;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C.</w:t>
      </w:r>
      <w:r w:rsidRPr="008E5891">
        <w:rPr>
          <w:lang w:val="hr-HR"/>
        </w:rPr>
        <w:tab/>
        <w:t xml:space="preserve">budući da nam osviješten pristup u pogledu povijesti i povijesnih nepravdi pomaže u borbi protiv različitih oblika netolerancije i nejednakosti te u izgradnji </w:t>
      </w:r>
      <w:proofErr w:type="spellStart"/>
      <w:r w:rsidRPr="008E5891">
        <w:rPr>
          <w:lang w:val="hr-HR"/>
        </w:rPr>
        <w:t>uključivijih</w:t>
      </w:r>
      <w:proofErr w:type="spellEnd"/>
      <w:r w:rsidRPr="008E5891">
        <w:rPr>
          <w:lang w:val="hr-HR"/>
        </w:rPr>
        <w:t xml:space="preserve"> društava;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D.</w:t>
      </w:r>
      <w:r w:rsidRPr="008E5891">
        <w:rPr>
          <w:lang w:val="hr-HR"/>
        </w:rPr>
        <w:tab/>
        <w:t>budući da se povijest nikada ne smije relativizirati, iskriviti ili krivotvoriti u političke svrhe;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lastRenderedPageBreak/>
        <w:t>E.</w:t>
      </w:r>
      <w:r w:rsidRPr="008E5891">
        <w:rPr>
          <w:lang w:val="hr-HR"/>
        </w:rPr>
        <w:tab/>
        <w:t>budući da povijesno negiranje i drugi oblici pristranog tumačenja povijesti predstavljaju veliku prijetnju koja raspiruje nepovjerenje i sukobe između naroda i nacija te potkopava napore za poticanje povijesne pravde i pomirenja;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F.</w:t>
      </w:r>
      <w:r w:rsidRPr="008E5891">
        <w:rPr>
          <w:lang w:val="hr-HR"/>
        </w:rPr>
        <w:tab/>
        <w:t>budući da su za suočavanje s prošlošću potrebni apsolutna nepristranost i objektivnost, kako u povijesnom istraživanju, tako i u politici;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G.</w:t>
      </w:r>
      <w:r w:rsidRPr="008E5891">
        <w:rPr>
          <w:lang w:val="hr-HR"/>
        </w:rPr>
        <w:tab/>
        <w:t>budući da povijesno pamćenje uključuje određen stupanj subjektivnosti, s obzirom na to da odabir onoga čega ćemo se sjećati i načina na koji se tumači prošlost nužno uključuje vrijednosne prosudbe;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H.</w:t>
      </w:r>
      <w:r w:rsidRPr="008E5891">
        <w:rPr>
          <w:lang w:val="hr-HR"/>
        </w:rPr>
        <w:tab/>
        <w:t>budući da, iako postoje „povijesne činjenice” koje se temelje na profesionalnom povijesnom radu, uključujući istraživanje, poučavanje i očuvanje izvora i povijesnih lokacija, ne postoji monolitna, neosporiva i sveprisutna „povijesna istina” koju određena skupina ili država može monopolizirati i prisvojiti isključivo za sebe ili koristiti da bi negirala postojanje drugih naroda, nacija i država;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I.</w:t>
      </w:r>
      <w:r w:rsidRPr="008E5891">
        <w:rPr>
          <w:lang w:val="hr-HR"/>
        </w:rPr>
        <w:tab/>
        <w:t xml:space="preserve">budući da su interdisciplinarni pristupi i </w:t>
      </w:r>
      <w:proofErr w:type="spellStart"/>
      <w:r w:rsidRPr="008E5891">
        <w:rPr>
          <w:lang w:val="hr-HR"/>
        </w:rPr>
        <w:t>kontekstualizacija</w:t>
      </w:r>
      <w:proofErr w:type="spellEnd"/>
      <w:r w:rsidRPr="008E5891">
        <w:rPr>
          <w:lang w:val="hr-HR"/>
        </w:rPr>
        <w:t xml:space="preserve"> ključni elementi obrazovanja o povijesti, koje treba povezati s europskim građanskim odgojem te s programima razmjene i mobilnosti;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J.</w:t>
      </w:r>
      <w:r w:rsidRPr="008E5891">
        <w:rPr>
          <w:lang w:val="hr-HR"/>
        </w:rPr>
        <w:tab/>
        <w:t>budući da je izgradnja prekogranične kritičke povijesne svijesti s pomoću obrazovnih i drugih sredstava ključna kako bi Europljani mogli razumjeti svoju prošlost te se s njom pomiriti, kako bi sa samopouzdanjem mogli svladavati izazove sadašnjosti i stremiti prema zajedničkoj budućnosti;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K.</w:t>
      </w:r>
      <w:r w:rsidRPr="008E5891">
        <w:rPr>
          <w:lang w:val="hr-HR"/>
        </w:rPr>
        <w:tab/>
        <w:t>budući da se europska povijesna svijest shvaća kao individualna i kolektivna sposobnost i vještina razumijevanja, kritičke procjene i promišljenog učenja na temelju povijesti, kojom se olakšava priznavanje neraskidive povezanosti i međuovisnosti prošlosti, sadašnjosti i budućnosti;</w:t>
      </w:r>
    </w:p>
    <w:p w:rsidR="00704DFA" w:rsidRPr="008E5891" w:rsidRDefault="00704DFA" w:rsidP="00704DFA">
      <w:pPr>
        <w:pStyle w:val="Normal12a24b"/>
        <w:rPr>
          <w:lang w:val="hr-HR"/>
        </w:rPr>
      </w:pPr>
      <w:r w:rsidRPr="008E5891">
        <w:rPr>
          <w:rStyle w:val="BoldItalic"/>
          <w:lang w:val="hr-HR"/>
        </w:rPr>
        <w:t>Suočavanje s europskom prošlošću – rizik i prilika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1.</w:t>
      </w:r>
      <w:r w:rsidRPr="008E5891">
        <w:rPr>
          <w:lang w:val="hr-HR"/>
        </w:rPr>
        <w:tab/>
        <w:t xml:space="preserve">uviđa da raznoliki i često proturječni povijesni </w:t>
      </w:r>
      <w:proofErr w:type="spellStart"/>
      <w:r w:rsidRPr="008E5891">
        <w:rPr>
          <w:lang w:val="hr-HR"/>
        </w:rPr>
        <w:t>narativi</w:t>
      </w:r>
      <w:proofErr w:type="spellEnd"/>
      <w:r w:rsidRPr="008E5891">
        <w:rPr>
          <w:lang w:val="hr-HR"/>
        </w:rPr>
        <w:t xml:space="preserve"> europskih nacija i država otežavaju svaki pokušaj pristupanja povijesti s političke razine i čine ga potencijalno opasnim te da su pokušaji usmjeravanja načina obilježavanja i tumačenja prošlosti uvijek izazovni;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2.</w:t>
      </w:r>
      <w:r w:rsidRPr="008E5891">
        <w:rPr>
          <w:lang w:val="hr-HR"/>
        </w:rPr>
        <w:tab/>
        <w:t>naglašava potencijal načela povijesti kao učiteljice života (</w:t>
      </w:r>
      <w:proofErr w:type="spellStart"/>
      <w:r w:rsidRPr="008E5891">
        <w:rPr>
          <w:rStyle w:val="Italic"/>
          <w:lang w:val="hr-HR"/>
        </w:rPr>
        <w:t>historia</w:t>
      </w:r>
      <w:proofErr w:type="spellEnd"/>
      <w:r w:rsidRPr="008E5891">
        <w:rPr>
          <w:rStyle w:val="Italic"/>
          <w:lang w:val="hr-HR"/>
        </w:rPr>
        <w:t xml:space="preserve"> magistra </w:t>
      </w:r>
      <w:proofErr w:type="spellStart"/>
      <w:r w:rsidRPr="008E5891">
        <w:rPr>
          <w:rStyle w:val="Italic"/>
          <w:lang w:val="hr-HR"/>
        </w:rPr>
        <w:t>vitae</w:t>
      </w:r>
      <w:proofErr w:type="spellEnd"/>
      <w:r w:rsidRPr="008E5891">
        <w:rPr>
          <w:lang w:val="hr-HR"/>
        </w:rPr>
        <w:t xml:space="preserve">) i smatra da su naročito tragična razdoblja i mračni elementi europske povijesti ne samo snažan podsjetnik na pogreške iz prošlosti koje se ne smiju ponoviti, već i poziv na zajednički rad na stvaranju demokratskih i </w:t>
      </w:r>
      <w:proofErr w:type="spellStart"/>
      <w:r w:rsidRPr="008E5891">
        <w:rPr>
          <w:lang w:val="hr-HR"/>
        </w:rPr>
        <w:t>uključivih</w:t>
      </w:r>
      <w:proofErr w:type="spellEnd"/>
      <w:r w:rsidRPr="008E5891">
        <w:rPr>
          <w:lang w:val="hr-HR"/>
        </w:rPr>
        <w:t xml:space="preserve"> društava u Uniji i svijetu;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3.</w:t>
      </w:r>
      <w:r w:rsidRPr="008E5891">
        <w:rPr>
          <w:lang w:val="hr-HR"/>
        </w:rPr>
        <w:tab/>
        <w:t xml:space="preserve">smatra da je odgovoran i kritički pristup povijesti, utemeljen na dokazima i usmjeren na zajedničke europske vrijednosti, nužan preduvjet za javne politike svih demokratskih tijela, kako bi se sadašnje i buduće generacije osvijestilo o povijesnim postignućima, ali i aberacijama, kako bi se osnažio javni </w:t>
      </w:r>
      <w:proofErr w:type="spellStart"/>
      <w:r w:rsidRPr="008E5891">
        <w:rPr>
          <w:lang w:val="hr-HR"/>
        </w:rPr>
        <w:t>narativ</w:t>
      </w:r>
      <w:proofErr w:type="spellEnd"/>
      <w:r w:rsidRPr="008E5891">
        <w:rPr>
          <w:lang w:val="hr-HR"/>
        </w:rPr>
        <w:t xml:space="preserve"> koji karakterizira </w:t>
      </w:r>
      <w:proofErr w:type="spellStart"/>
      <w:r w:rsidRPr="008E5891">
        <w:rPr>
          <w:lang w:val="hr-HR"/>
        </w:rPr>
        <w:t>samorefleksija</w:t>
      </w:r>
      <w:proofErr w:type="spellEnd"/>
      <w:r w:rsidRPr="008E5891">
        <w:rPr>
          <w:lang w:val="hr-HR"/>
        </w:rPr>
        <w:t xml:space="preserve"> te potaknulo razumijevanje i pomirenje unutar određenih društvenih skupina, nacija i država, ali i među njima;</w:t>
      </w:r>
    </w:p>
    <w:p w:rsidR="00704DFA" w:rsidRPr="008E5891" w:rsidRDefault="00704DFA" w:rsidP="00704DFA">
      <w:pPr>
        <w:pStyle w:val="Normal12a24b"/>
        <w:rPr>
          <w:lang w:val="hr-HR"/>
        </w:rPr>
      </w:pPr>
      <w:r w:rsidRPr="008E5891">
        <w:rPr>
          <w:rStyle w:val="BoldItalic"/>
          <w:lang w:val="hr-HR"/>
        </w:rPr>
        <w:t>Politike prošlosti u Europskoj uniji – kritička procjena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lastRenderedPageBreak/>
        <w:t>4.</w:t>
      </w:r>
      <w:r w:rsidRPr="008E5891">
        <w:rPr>
          <w:lang w:val="hr-HR"/>
        </w:rPr>
        <w:tab/>
        <w:t>naglašava potrebu za iskrenom procjenom „politike prošlosti” EU-a kojom je EU nastojao dati legitimitet europskom projektu i ojačati europski osjećaj pripadnosti te potaknuti miran suživot europskih naroda, jednako uvažavajući postignuća i postojeće nedostatke i preispitujući načine na koje se građane potiče da pristupaju prošlosti;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5.</w:t>
      </w:r>
      <w:r w:rsidRPr="008E5891">
        <w:rPr>
          <w:lang w:val="hr-HR"/>
        </w:rPr>
        <w:tab/>
        <w:t>prima na znanje niz prošlih i sadašnjih inicijativa na europskoj razini kojima je cilj potaknuti zajedničko europsko povijesno sjećanje, uključujući Dan sjećanja na holokaust, Europski dan sjećanja na žrtve svih totalitarnih i autoritarnih režima, uspostavu posebnog potprograma sjećanja u okviru bivšeg programa Europa za građane i aktualnog programa Građanstvo, jednakost, prava i vrijednosti (CERV) te razne rezolucije Parlamenta, kao što su one od 2. travnja 2009. o europskoj savjesti i totalitarizmu i od 19. rujna 2019. o važnosti europskog sjećanja za budućnost Europe;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6.</w:t>
      </w:r>
      <w:r w:rsidRPr="008E5891">
        <w:rPr>
          <w:lang w:val="hr-HR"/>
        </w:rPr>
        <w:tab/>
        <w:t>izražava zabrinutost zbog toga što i dalje postoji nevidljivo natjecanje i djelomična neusklađenost između različitih okvira i kultura sjećanja u Europi, ne samo između zapadne i istočne Europe, već i među zemljama i nacijama na određenim dijelovima kontinenta; naglašava da sve europske zemlje imaju neka jednaka, a neka p</w:t>
      </w:r>
      <w:r w:rsidR="006024A8">
        <w:rPr>
          <w:lang w:val="hr-HR"/>
        </w:rPr>
        <w:t xml:space="preserve">otpuno različita iskustva koja </w:t>
      </w:r>
      <w:r w:rsidRPr="008E5891">
        <w:rPr>
          <w:lang w:val="hr-HR"/>
        </w:rPr>
        <w:t>pripadaju zajedničkoj europskoj povijesti; svjestan je zločina koje su počinili nacistički, fašistički i komunistički totalitarni režimi, kao i kolonijalizam, te uloge koju su ti zločini imali u oblikovanju povijesnih percepcija u Europi; ističe potrebu za premošćivanjem postojećih regionalnih i ideoloških razlika u povijesnoj osviještenosti među europskim zemljama i narodima kako bi se izgradili zajednički temelji za dijalog te međusobno razumijevanje i poštovanje;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7.</w:t>
      </w:r>
      <w:r w:rsidRPr="008E5891">
        <w:rPr>
          <w:lang w:val="hr-HR"/>
        </w:rPr>
        <w:tab/>
        <w:t xml:space="preserve">uviđa da su strahote prošlosti poslužile kao „negativan mit utemeljenja” i da pružaju snažan osjećaj svrhe za europski projekt, ali svjestan je i da nastojanja Unije da u povijesnom prikazu sebe prikaže uglavnom </w:t>
      </w:r>
      <w:r w:rsidRPr="008E5891">
        <w:rPr>
          <w:rStyle w:val="Italic"/>
          <w:lang w:val="hr-HR"/>
        </w:rPr>
        <w:t xml:space="preserve">ex </w:t>
      </w:r>
      <w:proofErr w:type="spellStart"/>
      <w:r w:rsidRPr="008E5891">
        <w:rPr>
          <w:rStyle w:val="Italic"/>
          <w:lang w:val="hr-HR"/>
        </w:rPr>
        <w:t>negativo</w:t>
      </w:r>
      <w:proofErr w:type="spellEnd"/>
      <w:r w:rsidRPr="008E5891">
        <w:rPr>
          <w:lang w:val="hr-HR"/>
        </w:rPr>
        <w:t xml:space="preserve"> nose i rizik od njegovanja teleološkog i pojednostavljenog crno-bijelog poimanja povijesti, što potencijalno otežava potpuno informirano razumijevanje europske složene prošlosti i smanjuje nastojanja za osporavanjem stereotipa i nedodirljivih nacionalnih povijesnih </w:t>
      </w:r>
      <w:proofErr w:type="spellStart"/>
      <w:r w:rsidRPr="008E5891">
        <w:rPr>
          <w:lang w:val="hr-HR"/>
        </w:rPr>
        <w:t>narativa</w:t>
      </w:r>
      <w:proofErr w:type="spellEnd"/>
      <w:r w:rsidRPr="008E5891">
        <w:rPr>
          <w:lang w:val="hr-HR"/>
        </w:rPr>
        <w:t>;</w:t>
      </w:r>
    </w:p>
    <w:p w:rsidR="00704DFA" w:rsidRPr="008E5891" w:rsidRDefault="00704DFA" w:rsidP="00704DFA">
      <w:pPr>
        <w:pStyle w:val="Normal12a24b"/>
        <w:rPr>
          <w:lang w:val="hr-HR"/>
        </w:rPr>
      </w:pPr>
      <w:r w:rsidRPr="008E5891">
        <w:rPr>
          <w:rStyle w:val="BoldItalic"/>
          <w:lang w:val="hr-HR"/>
        </w:rPr>
        <w:t>Prema informirano</w:t>
      </w:r>
      <w:r w:rsidR="006024A8">
        <w:rPr>
          <w:rStyle w:val="BoldItalic"/>
          <w:lang w:val="hr-HR"/>
        </w:rPr>
        <w:t>j povijesnoj svijesti u Europi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8.</w:t>
      </w:r>
      <w:r w:rsidRPr="008E5891">
        <w:rPr>
          <w:lang w:val="hr-HR"/>
        </w:rPr>
        <w:tab/>
        <w:t xml:space="preserve">svjestan je da je za nastanak kritičke i </w:t>
      </w:r>
      <w:proofErr w:type="spellStart"/>
      <w:r w:rsidRPr="008E5891">
        <w:rPr>
          <w:lang w:val="hr-HR"/>
        </w:rPr>
        <w:t>samorefleksivne</w:t>
      </w:r>
      <w:proofErr w:type="spellEnd"/>
      <w:r w:rsidRPr="008E5891">
        <w:rPr>
          <w:lang w:val="hr-HR"/>
        </w:rPr>
        <w:t xml:space="preserve"> europske povijesne svijesti potrebno šire i sveobuhvatnije razumijevanje europske povijesti, koje je prije svega moguće postići širenjem fokusa postojećih inicijativa europskog sjećanja, uzimajući u obzir i dosad nedovoljno zastupljene skupine, te promicanjem inovativnih načina poučavanja povijesti;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9.</w:t>
      </w:r>
      <w:r w:rsidRPr="008E5891">
        <w:rPr>
          <w:lang w:val="hr-HR"/>
        </w:rPr>
        <w:tab/>
        <w:t>naglašava da je važno odmaknuti se od europske „kulture sjećanja” koja je uglavnom orijentirana pristupom odozgo prema dolje i koja se bavi definiranjem onoga čega bi se Europljani trebali sjećati i približiti se „kulturi sjećanja” koju pokreću građani i koja je orijentirana pristupom odozdo prema gore te se temelji na zajedničkim europskim načelima i vrijednostima, s naglaskom na razvoju sposobnosti za kritičko tumačenje prošlosti na lokalnoj, regionalnoj, nacionalnoj i europskoj razini, uključujući i organizacije civilnog društva;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10.</w:t>
      </w:r>
      <w:r w:rsidRPr="008E5891">
        <w:rPr>
          <w:lang w:val="hr-HR"/>
        </w:rPr>
        <w:tab/>
        <w:t xml:space="preserve">uviđa da je od ključne važnosti odabrati pristup prošlosti Europe na temelju ključnih europskih vrijednosti navedenih u članku 2. Ugovora o Europskoj uniji te etičke i filozofske tradicije na kojima se te vrijednosti temelje, te pokrenuti otvorenu raspravu kojom se omogućuje ispravljanje problematičnih elemenata nacionalnih povijesti i </w:t>
      </w:r>
      <w:r w:rsidRPr="008E5891">
        <w:rPr>
          <w:lang w:val="hr-HR"/>
        </w:rPr>
        <w:lastRenderedPageBreak/>
        <w:t>osigurava uzajamno razumijevanje i pomirenje unutar i između europskih nacija kao i između europskih nacija i ostatka svijeta;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11.</w:t>
      </w:r>
      <w:r w:rsidRPr="008E5891">
        <w:rPr>
          <w:lang w:val="hr-HR"/>
        </w:rPr>
        <w:tab/>
        <w:t>smatra da je sloboda podučavanja, studiranja i provođenja istraživanja, uključujući slobodan pristup arhivima i izvorima, uz slobodno umjetničko izražavanje, preduvjet za stvaranje i širenje nepristranog znanja utemeljenog na dokazima u demokratskim društvima, a naročito za kritički pristup povijesti; poziva Komisiju i države članice da zaštite one slobode koje su trenutačno ugrožene, posebno zbog slučajeva zlouporabe zakona o sjećanju, među ostalim s pomoću mehanizma EU-a za vladavinu prava;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12.</w:t>
      </w:r>
      <w:r w:rsidRPr="008E5891">
        <w:rPr>
          <w:lang w:val="hr-HR"/>
        </w:rPr>
        <w:tab/>
        <w:t>naglašava ključnu ulogu obrazovanja i poziva države članice da ažuriraju postojeće kurikulume i metodologije poučavanja kako bi se pozornost s nacionalne preusmjerila na europsku i globalnu povijest te kako bi se stavio veći naglasak na nadnacionalno povijesno razumijevanje, posebno omogućavanjem višestrukih viđenja povijesti te poticanjem odgovarajućih stilova podučavanja kojima je cilj potaknuti promišljanje i raspravu, a ne samo izvršiti prijenos znanja i koji su vođeni općim ciljem da učenici uče „kako razmišljati”, a ne „što razmišljati”;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13.</w:t>
      </w:r>
      <w:r w:rsidRPr="008E5891">
        <w:rPr>
          <w:lang w:val="hr-HR"/>
        </w:rPr>
        <w:tab/>
        <w:t xml:space="preserve">naglašava da je za stvaranje osjećaja pripadnosti Europi od ključne važnosti učiti o europskoj integraciji, povijesti, institucijama i temeljnim vrijednostima Unije i europskog građanstva; poziva na to da se učenje o europskoj povijesti i europskim integracijama, koje treba promatrati u globalnom kontekstu, te o europskom građanskom odgoju uključi u nacionalne obrazovne sustave; prima na znanje napore uložene na razini EU-a za poboljšanje znanja o Uniji i njezinoj povijesti, uključujući takozvane aktivnosti Jean </w:t>
      </w:r>
      <w:proofErr w:type="spellStart"/>
      <w:r w:rsidRPr="008E5891">
        <w:rPr>
          <w:lang w:val="hr-HR"/>
        </w:rPr>
        <w:t>Monnet</w:t>
      </w:r>
      <w:proofErr w:type="spellEnd"/>
      <w:r w:rsidRPr="008E5891">
        <w:rPr>
          <w:lang w:val="hr-HR"/>
        </w:rPr>
        <w:t>; poziva Komisiju i države članice da rade, među ostalim u okviru Radne skupine europskog prostora obrazovanja za jednakost i vrijednosti, na ciljevima koji se posebno odnose na razvoj europske povijesne svijesti te da zajednički izrade „priručnik EU-a” za nastavne aktivnosti u kojem će se pružati zajedničke smjernice i nepristrane činjenice i brojke za podučavanje europske povijesti;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14.</w:t>
      </w:r>
      <w:r w:rsidRPr="008E5891">
        <w:rPr>
          <w:lang w:val="hr-HR"/>
        </w:rPr>
        <w:tab/>
        <w:t xml:space="preserve">smatra da su šovinizam, rodni stereotipi, asimetrije moći i strukturne nejednakosti duboko ukorijenjeni u europsku povijest te žali zbog nedostatka dovoljno multikulturnog i rodno osjetljivog pristupa poučavanju povijesti; smatra da je ključno riješiti problem marginalizacije žena i drugih nedovoljno zastupljenih društvenih skupina kroz povijest te poziva države članice da im u nacionalnim </w:t>
      </w:r>
      <w:proofErr w:type="spellStart"/>
      <w:r w:rsidRPr="008E5891">
        <w:rPr>
          <w:lang w:val="hr-HR"/>
        </w:rPr>
        <w:t>kurikulima</w:t>
      </w:r>
      <w:proofErr w:type="spellEnd"/>
      <w:r w:rsidRPr="008E5891">
        <w:rPr>
          <w:lang w:val="hr-HR"/>
        </w:rPr>
        <w:t xml:space="preserve"> daju više prostora;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15.</w:t>
      </w:r>
      <w:r w:rsidRPr="008E5891">
        <w:rPr>
          <w:lang w:val="hr-HR"/>
        </w:rPr>
        <w:tab/>
        <w:t xml:space="preserve">naglašava potrebu za interdisciplinarnim i </w:t>
      </w:r>
      <w:proofErr w:type="spellStart"/>
      <w:r w:rsidRPr="008E5891">
        <w:rPr>
          <w:lang w:val="hr-HR"/>
        </w:rPr>
        <w:t>intersekcijskim</w:t>
      </w:r>
      <w:proofErr w:type="spellEnd"/>
      <w:r w:rsidRPr="008E5891">
        <w:rPr>
          <w:lang w:val="hr-HR"/>
        </w:rPr>
        <w:t xml:space="preserve"> podučavanjem povijesti u kojem se primjenjuje inovativna pedagogija usmjerena na učenika, kao što su interaktivan i pripovijedajući pristup te pristup temeljen na stečenim iskustvima za sve generacije, u kojem se koriste sveobuhvatni izvori, tehnologije i materijali za učenje, uključujući prekogranične i transnacionalne udžbenike iz povijesti i usmenu povijest, te u kojem se promiču analitičke vještine i vještine kritičkog razmišljanja;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16.</w:t>
      </w:r>
      <w:r w:rsidRPr="008E5891">
        <w:rPr>
          <w:lang w:val="hr-HR"/>
        </w:rPr>
        <w:tab/>
        <w:t xml:space="preserve">prepoznaje središnju ulogu koju ima nastavnik u stvaranju i prijenosu kompetencija potrebnih za razumijevanje i kritičku procjenu povijesnih činjenica te naglašava koliko je važno nastavnicima osigurati ne samo odgovarajuće osposobljavanje nego i sudjelovanje u trajnom stručnom usavršavanju, uključujući aktivnosti uzajamnog učenja i razmjenu najboljih praksi na nacionalnoj i transnacionalnoj razini; u tom kontekstu ističe dodanu vrijednost Akademija za stručno usavršavanje učitelja u okviru programa </w:t>
      </w:r>
      <w:proofErr w:type="spellStart"/>
      <w:r w:rsidRPr="008E5891">
        <w:rPr>
          <w:lang w:val="hr-HR"/>
        </w:rPr>
        <w:t>Erasmus</w:t>
      </w:r>
      <w:proofErr w:type="spellEnd"/>
      <w:r w:rsidRPr="008E5891">
        <w:rPr>
          <w:lang w:val="hr-HR"/>
        </w:rPr>
        <w:t>+;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lastRenderedPageBreak/>
        <w:t>17.</w:t>
      </w:r>
      <w:r w:rsidRPr="008E5891">
        <w:rPr>
          <w:lang w:val="hr-HR"/>
        </w:rPr>
        <w:tab/>
        <w:t xml:space="preserve">poziva države članice da osiguraju prilagođene materijale za održavanje nastave (iz povijesti) i pohađanje obuke, kojima se nastavnicima omogućuje da se bolje usredotoče na transnacionalne aspekte i višedimenzionalnost povijesti, da usvoje odgovarajuću didaktiku i načela modernog poučavanja i kojima se prvenstveno nastoji formirati </w:t>
      </w:r>
      <w:proofErr w:type="spellStart"/>
      <w:r w:rsidRPr="008E5891">
        <w:rPr>
          <w:lang w:val="hr-HR"/>
        </w:rPr>
        <w:t>samorefleksivne</w:t>
      </w:r>
      <w:proofErr w:type="spellEnd"/>
      <w:r w:rsidRPr="008E5891">
        <w:rPr>
          <w:lang w:val="hr-HR"/>
        </w:rPr>
        <w:t xml:space="preserve"> mlade osobe;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18.</w:t>
      </w:r>
      <w:r w:rsidRPr="008E5891">
        <w:rPr>
          <w:lang w:val="hr-HR"/>
        </w:rPr>
        <w:tab/>
        <w:t>naglašava da su prikupljanje podataka te usporedba i ocjenjivanje metoda i alata za podučavanje povijesti od velike vrijednosti te pozdravlja rad specijaliziranih vladinih i nevladinih organizacija aktivnih u tom području, uključujući Opservatorij Vijeća Europe za podučavanje povijesti u Europi i EUROCLIO; naglašava da bi veći broj država članica EU-a trebao sudjelovati u tom Opservatoriju;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19.</w:t>
      </w:r>
      <w:r w:rsidRPr="008E5891">
        <w:rPr>
          <w:lang w:val="hr-HR"/>
        </w:rPr>
        <w:tab/>
        <w:t>uviđa potencijal muzeja koji se kritički bave spornom europskom poviješću kao alata za učenje o prošlosti i izgradnju povijesne svijesti, a naročito ističe „Kuću europske povijesti” kao vodeći projekt za koji bi trebalo staviti na raspolaganje dostatna sredstva kako bi se osiguralo da dopre do šire europske javnosti;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20.</w:t>
      </w:r>
      <w:r w:rsidRPr="008E5891">
        <w:rPr>
          <w:lang w:val="hr-HR"/>
        </w:rPr>
        <w:tab/>
        <w:t xml:space="preserve">ističe da je važno očuvati bogatu europsku kulturnu i povijesnu baštinu i mjesta sjećanja, posebno kao sredstva za uspostavu kritičke povijesne svijesti, pod uvjetom da se ne zloupotrebljavaju u ideološke svrhe, te ističe ulogu koju u tom pogledu mogu imati oznaka europske baštine i neovisne institucije koje promiču materijalnu i nematerijalnu baštinu; potiče države članice da ulože više napora u definiranje i zaštitu mjesta demokratskog sjećanja, posebno onih povezanih s nedovoljno zastupljenim skupinama; naglašava potencijal </w:t>
      </w:r>
      <w:proofErr w:type="spellStart"/>
      <w:r w:rsidRPr="008E5891">
        <w:rPr>
          <w:lang w:val="hr-HR"/>
        </w:rPr>
        <w:t>Europeane</w:t>
      </w:r>
      <w:proofErr w:type="spellEnd"/>
      <w:r w:rsidRPr="008E5891">
        <w:rPr>
          <w:lang w:val="hr-HR"/>
        </w:rPr>
        <w:t xml:space="preserve"> kao europske digitalne knjižnice, arhiva, muzeja i obrazovne platforme;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21.</w:t>
      </w:r>
      <w:r w:rsidRPr="008E5891">
        <w:rPr>
          <w:lang w:val="hr-HR"/>
        </w:rPr>
        <w:tab/>
        <w:t xml:space="preserve">prepoznaje potencijal digitalnih medija i sve veću razinu digitalizacije u obrazovanju te izražava duboku zabrinutost zbog toga što se digitalni kanali sve više zloupotrebljavaju za političku manipulaciju i kolanje dezinformacija, među ostalim u vezi s poviješću, što je vidljivo iz ruskog povijesnog revizionizma koji prati rusku ratnu agresiju na Ukrajinu; poziva Komisiju i države članice da pojačaju napore za jačanje medijske i digitalne pismenosti te da nastavnicima i učenicima pruže odgovarajuće vještine i alate kojima se olakšava podučavanje povijesti na temelju činjenica te kojima im se omogućuje da utvrde, </w:t>
      </w:r>
      <w:proofErr w:type="spellStart"/>
      <w:r w:rsidRPr="008E5891">
        <w:rPr>
          <w:lang w:val="hr-HR"/>
        </w:rPr>
        <w:t>kontekstualiziraju</w:t>
      </w:r>
      <w:proofErr w:type="spellEnd"/>
      <w:r w:rsidRPr="008E5891">
        <w:rPr>
          <w:lang w:val="hr-HR"/>
        </w:rPr>
        <w:t xml:space="preserve"> i analiziraju tradicionalne i moderne povijesne izvore;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22.</w:t>
      </w:r>
      <w:r w:rsidRPr="008E5891">
        <w:rPr>
          <w:lang w:val="hr-HR"/>
        </w:rPr>
        <w:tab/>
        <w:t>naglašava da se mogućnostima prekogranične mobilnosti u svrhu učenja koje pružaju europski i drugi programi mobilnosti pogoduje razmjeni ideja i promiče transverzalno znanje i međukulturno razumijevanje, te da se pritom pomaže u uklanjanju nacionalnih prepreka i omogućuje bolje razumijevanje prošlosti i sadašnjosti;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23.</w:t>
      </w:r>
      <w:r w:rsidRPr="008E5891">
        <w:rPr>
          <w:lang w:val="hr-HR"/>
        </w:rPr>
        <w:tab/>
        <w:t xml:space="preserve">poziva Komisiju i države članice da ojačaju alate koji su trenutačno dostupni na europskoj razini kako bi se potaknula kritička i </w:t>
      </w:r>
      <w:proofErr w:type="spellStart"/>
      <w:r w:rsidRPr="008E5891">
        <w:rPr>
          <w:lang w:val="hr-HR"/>
        </w:rPr>
        <w:t>samorefleksivna</w:t>
      </w:r>
      <w:proofErr w:type="spellEnd"/>
      <w:r w:rsidRPr="008E5891">
        <w:rPr>
          <w:lang w:val="hr-HR"/>
        </w:rPr>
        <w:t xml:space="preserve"> europska povijesna svijest, posebno program </w:t>
      </w:r>
      <w:proofErr w:type="spellStart"/>
      <w:r w:rsidRPr="008E5891">
        <w:rPr>
          <w:lang w:val="hr-HR"/>
        </w:rPr>
        <w:t>Erasmus</w:t>
      </w:r>
      <w:proofErr w:type="spellEnd"/>
      <w:r w:rsidRPr="008E5891">
        <w:rPr>
          <w:lang w:val="hr-HR"/>
        </w:rPr>
        <w:t>+, kojim se podupiru mobilnost i međukulturno učenje kao ključni alati za bolje razumijevanje drugih kultura i nacija, te program CERV, kojim se pruža potpora transnacionalnim projektima povijesnog sjećanja i promiče građanski angažman;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24.</w:t>
      </w:r>
      <w:r w:rsidRPr="008E5891">
        <w:rPr>
          <w:lang w:val="hr-HR"/>
        </w:rPr>
        <w:tab/>
        <w:t xml:space="preserve">zahtijeva da europske institucije, države članice i zemlje kandidatkinje i potencijalne kandidatkinje, obrazovne ustanove i akteri civilnog društva ulože više napora kako bi potakli na pomirenje te se suzdržali od svakog pokušaja </w:t>
      </w:r>
      <w:proofErr w:type="spellStart"/>
      <w:r w:rsidRPr="008E5891">
        <w:rPr>
          <w:lang w:val="hr-HR"/>
        </w:rPr>
        <w:t>instrumentalizacije</w:t>
      </w:r>
      <w:proofErr w:type="spellEnd"/>
      <w:r w:rsidRPr="008E5891">
        <w:rPr>
          <w:lang w:val="hr-HR"/>
        </w:rPr>
        <w:t xml:space="preserve"> povijesti u </w:t>
      </w:r>
      <w:r w:rsidRPr="008E5891">
        <w:rPr>
          <w:lang w:val="hr-HR"/>
        </w:rPr>
        <w:lastRenderedPageBreak/>
        <w:t>političke svrhe i kako bi se borili protiv povijesnog revizionizma i poricanja u Europskoj uniji i izvan nje; podsjeća na važnost koju ti aspekti imaju za buduća proširenja Unije;</w:t>
      </w:r>
    </w:p>
    <w:p w:rsidR="00704DFA" w:rsidRPr="008E5891" w:rsidRDefault="00704DFA" w:rsidP="00704DFA">
      <w:pPr>
        <w:pStyle w:val="Normal12a24b"/>
        <w:rPr>
          <w:lang w:val="hr-HR"/>
        </w:rPr>
      </w:pPr>
      <w:r w:rsidRPr="008E5891">
        <w:rPr>
          <w:rStyle w:val="BoldItalic"/>
          <w:lang w:val="hr-HR"/>
        </w:rPr>
        <w:t>Perspektiva: nasljeđe prošlosti i budućnost EU-a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25.</w:t>
      </w:r>
      <w:r w:rsidRPr="008E5891">
        <w:rPr>
          <w:lang w:val="hr-HR"/>
        </w:rPr>
        <w:tab/>
        <w:t>zalaže se za ideal „kulture sjećanja” i povijesne svijesti koja se temelji na zajedničkim europskim vrijednostima i praksama u pristupu prošlosti, istodobno izbjegavajući svako nepotrebno izjednačavanje ili pojednostavljivanje povijesti;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26.</w:t>
      </w:r>
      <w:r w:rsidRPr="008E5891">
        <w:rPr>
          <w:lang w:val="hr-HR"/>
        </w:rPr>
        <w:tab/>
        <w:t xml:space="preserve">izražava nadu u to da bi se iz nacionalnog pristupa povijesti i povijesnoj odgovornosti koji se temelje na kritičkoj </w:t>
      </w:r>
      <w:proofErr w:type="spellStart"/>
      <w:r w:rsidRPr="008E5891">
        <w:rPr>
          <w:lang w:val="hr-HR"/>
        </w:rPr>
        <w:t>samorefleksiji</w:t>
      </w:r>
      <w:proofErr w:type="spellEnd"/>
      <w:r w:rsidRPr="008E5891">
        <w:rPr>
          <w:lang w:val="hr-HR"/>
        </w:rPr>
        <w:t xml:space="preserve"> mogao izroditi istinski europski promišljeni </w:t>
      </w:r>
      <w:proofErr w:type="spellStart"/>
      <w:r w:rsidRPr="008E5891">
        <w:rPr>
          <w:lang w:val="hr-HR"/>
        </w:rPr>
        <w:t>narativ</w:t>
      </w:r>
      <w:proofErr w:type="spellEnd"/>
      <w:r w:rsidRPr="008E5891">
        <w:rPr>
          <w:lang w:val="hr-HR"/>
        </w:rPr>
        <w:t xml:space="preserve"> o prošlosti kontinenta, za potrebe kojeg se povijest ne zloupotrebljava u političke svrhe, i izražava nadu da će zajednički rad na povijesti iznjedriti „zajednicu sudbine” među europskim narodima;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27.</w:t>
      </w:r>
      <w:r w:rsidRPr="008E5891">
        <w:rPr>
          <w:lang w:val="hr-HR"/>
        </w:rPr>
        <w:tab/>
        <w:t>predviđa da kolektivna sjećanja u konačnici mogu doprinositi europskoj javnoj sferi i postati njezinim dijelom, pri čemu se različite kulture sjećanja međusobno nadopunjuju, a ne natječu, te bavljenje poviješću postaje pitanje građanskog, a ne političkog djelovanja;</w:t>
      </w:r>
    </w:p>
    <w:p w:rsidR="00704DFA" w:rsidRPr="008E5891" w:rsidRDefault="00704DFA" w:rsidP="00704DFA">
      <w:pPr>
        <w:pStyle w:val="NormalCenter12a"/>
        <w:rPr>
          <w:lang w:val="hr-HR"/>
        </w:rPr>
      </w:pPr>
      <w:r w:rsidRPr="008E5891">
        <w:rPr>
          <w:lang w:val="hr-HR"/>
        </w:rPr>
        <w:t>°</w:t>
      </w:r>
    </w:p>
    <w:p w:rsidR="00704DFA" w:rsidRPr="008E5891" w:rsidRDefault="00704DFA" w:rsidP="00704DFA">
      <w:pPr>
        <w:pStyle w:val="NormalCenter12a"/>
        <w:rPr>
          <w:lang w:val="hr-HR"/>
        </w:rPr>
      </w:pPr>
      <w:r w:rsidRPr="008E5891">
        <w:rPr>
          <w:lang w:val="hr-HR"/>
        </w:rPr>
        <w:t>°</w:t>
      </w:r>
      <w:r w:rsidRPr="008E5891">
        <w:rPr>
          <w:lang w:val="hr-HR"/>
        </w:rPr>
        <w:tab/>
        <w:t>°</w:t>
      </w:r>
    </w:p>
    <w:p w:rsidR="00704DFA" w:rsidRPr="008E5891" w:rsidRDefault="00704DFA" w:rsidP="00704DFA">
      <w:pPr>
        <w:pStyle w:val="NormalHanging12a"/>
        <w:rPr>
          <w:lang w:val="hr-HR"/>
        </w:rPr>
      </w:pPr>
      <w:r w:rsidRPr="008E5891">
        <w:rPr>
          <w:lang w:val="hr-HR"/>
        </w:rPr>
        <w:t>28.</w:t>
      </w:r>
      <w:r w:rsidRPr="008E5891">
        <w:rPr>
          <w:lang w:val="hr-HR"/>
        </w:rPr>
        <w:tab/>
        <w:t>nalaže svojoj predsjednici da ovu Rezoluciju proslijedi Vijeću i Komisiji.</w:t>
      </w:r>
    </w:p>
    <w:p w:rsidR="00704DFA" w:rsidRPr="008E5891" w:rsidRDefault="00704DFA" w:rsidP="00704DFA"/>
    <w:sectPr w:rsidR="00704DFA" w:rsidRPr="008E5891" w:rsidSect="00736A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877" w:rsidRPr="00736A3E" w:rsidRDefault="00864877">
      <w:r w:rsidRPr="00736A3E">
        <w:separator/>
      </w:r>
    </w:p>
  </w:endnote>
  <w:endnote w:type="continuationSeparator" w:id="0">
    <w:p w:rsidR="00864877" w:rsidRPr="00736A3E" w:rsidRDefault="00864877">
      <w:r w:rsidRPr="00736A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6A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6A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6A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877" w:rsidRPr="00736A3E" w:rsidRDefault="00864877">
      <w:r w:rsidRPr="00736A3E">
        <w:separator/>
      </w:r>
    </w:p>
  </w:footnote>
  <w:footnote w:type="continuationSeparator" w:id="0">
    <w:p w:rsidR="00864877" w:rsidRPr="00736A3E" w:rsidRDefault="00864877">
      <w:r w:rsidRPr="00736A3E">
        <w:continuationSeparator/>
      </w:r>
    </w:p>
  </w:footnote>
  <w:footnote w:id="1">
    <w:p w:rsidR="00704DFA" w:rsidRPr="008E5891" w:rsidRDefault="00704DFA" w:rsidP="00736A3E">
      <w:pPr>
        <w:pStyle w:val="FootnoteText"/>
        <w:ind w:left="567" w:hanging="567"/>
        <w:rPr>
          <w:sz w:val="24"/>
          <w:u w:color="0000FF"/>
          <w:lang w:val="hr-HR"/>
        </w:rPr>
      </w:pPr>
      <w:r w:rsidRPr="008E5891">
        <w:rPr>
          <w:rStyle w:val="FootnoteReference"/>
          <w:sz w:val="24"/>
          <w:lang w:val="hr-HR"/>
        </w:rPr>
        <w:footnoteRef/>
      </w:r>
      <w:r w:rsidR="00736A3E" w:rsidRPr="008E5891">
        <w:rPr>
          <w:sz w:val="24"/>
          <w:lang w:val="hr-HR"/>
        </w:rPr>
        <w:t xml:space="preserve"> </w:t>
      </w:r>
      <w:r w:rsidR="00736A3E" w:rsidRPr="008E5891">
        <w:rPr>
          <w:sz w:val="24"/>
          <w:lang w:val="hr-HR"/>
        </w:rPr>
        <w:tab/>
      </w:r>
      <w:r w:rsidRPr="008E5891">
        <w:rPr>
          <w:sz w:val="24"/>
          <w:u w:color="0000FF"/>
          <w:lang w:val="hr-HR"/>
        </w:rPr>
        <w:t>SL C 171, 6.5.2021., str. 25.</w:t>
      </w:r>
    </w:p>
  </w:footnote>
  <w:footnote w:id="2">
    <w:p w:rsidR="00704DFA" w:rsidRPr="008E5891" w:rsidRDefault="00704DFA" w:rsidP="00736A3E">
      <w:pPr>
        <w:pStyle w:val="FootnoteText"/>
        <w:ind w:left="567" w:hanging="567"/>
        <w:rPr>
          <w:sz w:val="24"/>
          <w:u w:color="0000FF"/>
          <w:lang w:val="hr-HR"/>
        </w:rPr>
      </w:pPr>
      <w:r w:rsidRPr="008E5891">
        <w:rPr>
          <w:rStyle w:val="FootnoteReference"/>
          <w:sz w:val="24"/>
          <w:lang w:val="hr-HR"/>
        </w:rPr>
        <w:footnoteRef/>
      </w:r>
      <w:r w:rsidR="00736A3E" w:rsidRPr="008E5891">
        <w:rPr>
          <w:sz w:val="24"/>
          <w:lang w:val="hr-HR"/>
        </w:rPr>
        <w:t xml:space="preserve"> </w:t>
      </w:r>
      <w:r w:rsidR="00736A3E" w:rsidRPr="008E5891">
        <w:rPr>
          <w:sz w:val="24"/>
          <w:lang w:val="hr-HR"/>
        </w:rPr>
        <w:tab/>
      </w:r>
      <w:r w:rsidRPr="008E5891">
        <w:rPr>
          <w:sz w:val="24"/>
          <w:u w:color="0000FF"/>
          <w:lang w:val="hr-HR"/>
        </w:rPr>
        <w:t>SL C 137 E, 27.5.2010., str. 25.</w:t>
      </w:r>
    </w:p>
  </w:footnote>
  <w:footnote w:id="3">
    <w:p w:rsidR="00704DFA" w:rsidRPr="008E5891" w:rsidRDefault="00704DFA" w:rsidP="00736A3E">
      <w:pPr>
        <w:pStyle w:val="FootnoteText"/>
        <w:ind w:left="567" w:hanging="567"/>
        <w:rPr>
          <w:sz w:val="24"/>
          <w:u w:color="0000FF"/>
          <w:lang w:val="hr-HR"/>
        </w:rPr>
      </w:pPr>
      <w:r w:rsidRPr="008E5891">
        <w:rPr>
          <w:rStyle w:val="FootnoteReference"/>
          <w:sz w:val="24"/>
          <w:lang w:val="hr-HR"/>
        </w:rPr>
        <w:footnoteRef/>
      </w:r>
      <w:r w:rsidR="00736A3E" w:rsidRPr="008E5891">
        <w:rPr>
          <w:sz w:val="24"/>
          <w:lang w:val="hr-HR"/>
        </w:rPr>
        <w:t xml:space="preserve"> </w:t>
      </w:r>
      <w:r w:rsidR="00736A3E" w:rsidRPr="008E5891">
        <w:rPr>
          <w:sz w:val="24"/>
          <w:lang w:val="hr-HR"/>
        </w:rPr>
        <w:tab/>
      </w:r>
      <w:r w:rsidRPr="008E5891">
        <w:rPr>
          <w:sz w:val="24"/>
          <w:u w:color="0000FF"/>
          <w:lang w:val="hr-HR"/>
        </w:rPr>
        <w:t>SL L 156, 5.5.2021., str. 1.</w:t>
      </w:r>
    </w:p>
  </w:footnote>
  <w:footnote w:id="4">
    <w:p w:rsidR="00704DFA" w:rsidRPr="008E5891" w:rsidRDefault="00704DFA" w:rsidP="00736A3E">
      <w:pPr>
        <w:pStyle w:val="FootnoteText"/>
        <w:ind w:left="567" w:hanging="567"/>
        <w:rPr>
          <w:sz w:val="24"/>
          <w:u w:color="0000FF"/>
          <w:lang w:val="hr-HR"/>
        </w:rPr>
      </w:pPr>
      <w:r w:rsidRPr="008E5891">
        <w:rPr>
          <w:rStyle w:val="FootnoteReference"/>
          <w:sz w:val="24"/>
          <w:lang w:val="hr-HR"/>
        </w:rPr>
        <w:footnoteRef/>
      </w:r>
      <w:r w:rsidR="00736A3E" w:rsidRPr="008E5891">
        <w:rPr>
          <w:sz w:val="24"/>
          <w:lang w:val="hr-HR"/>
        </w:rPr>
        <w:t xml:space="preserve"> </w:t>
      </w:r>
      <w:r w:rsidR="00736A3E" w:rsidRPr="008E5891">
        <w:rPr>
          <w:sz w:val="24"/>
          <w:lang w:val="hr-HR"/>
        </w:rPr>
        <w:tab/>
      </w:r>
      <w:r w:rsidRPr="008E5891">
        <w:rPr>
          <w:sz w:val="24"/>
          <w:u w:color="0000FF"/>
          <w:lang w:val="hr-HR"/>
        </w:rPr>
        <w:t>SL C 205, 20.5.2022., str. 17.</w:t>
      </w:r>
    </w:p>
  </w:footnote>
  <w:footnote w:id="5">
    <w:p w:rsidR="00704DFA" w:rsidRPr="008E5891" w:rsidRDefault="00704DFA" w:rsidP="00736A3E">
      <w:pPr>
        <w:pStyle w:val="FootnoteText"/>
        <w:ind w:left="567" w:hanging="567"/>
        <w:rPr>
          <w:sz w:val="24"/>
          <w:u w:color="0000FF"/>
          <w:lang w:val="hr-HR"/>
        </w:rPr>
      </w:pPr>
      <w:r w:rsidRPr="008E5891">
        <w:rPr>
          <w:rStyle w:val="FootnoteReference"/>
          <w:sz w:val="24"/>
          <w:lang w:val="hr-HR"/>
        </w:rPr>
        <w:footnoteRef/>
      </w:r>
      <w:r w:rsidR="00736A3E" w:rsidRPr="008E5891">
        <w:rPr>
          <w:sz w:val="24"/>
          <w:lang w:val="hr-HR"/>
        </w:rPr>
        <w:t xml:space="preserve"> </w:t>
      </w:r>
      <w:r w:rsidR="00736A3E" w:rsidRPr="008E5891">
        <w:rPr>
          <w:sz w:val="24"/>
          <w:lang w:val="hr-HR"/>
        </w:rPr>
        <w:tab/>
      </w:r>
      <w:r w:rsidRPr="008E5891">
        <w:rPr>
          <w:sz w:val="24"/>
          <w:u w:color="0000FF"/>
          <w:lang w:val="hr-HR"/>
        </w:rPr>
        <w:t>SL C 347, 9.9.2022., str. 15.</w:t>
      </w:r>
    </w:p>
  </w:footnote>
  <w:footnote w:id="6">
    <w:p w:rsidR="00704DFA" w:rsidRPr="008E5891" w:rsidRDefault="00704DFA" w:rsidP="00736A3E">
      <w:pPr>
        <w:pStyle w:val="FootnoteText"/>
        <w:ind w:left="567" w:hanging="567"/>
        <w:rPr>
          <w:sz w:val="24"/>
          <w:u w:color="0000FF"/>
          <w:lang w:val="hr-HR"/>
        </w:rPr>
      </w:pPr>
      <w:r w:rsidRPr="008E5891">
        <w:rPr>
          <w:rStyle w:val="FootnoteReference"/>
          <w:sz w:val="24"/>
          <w:lang w:val="hr-HR"/>
        </w:rPr>
        <w:footnoteRef/>
      </w:r>
      <w:r w:rsidR="00736A3E" w:rsidRPr="008E5891">
        <w:rPr>
          <w:sz w:val="24"/>
          <w:lang w:val="hr-HR"/>
        </w:rPr>
        <w:t xml:space="preserve"> </w:t>
      </w:r>
      <w:r w:rsidR="00736A3E" w:rsidRPr="008E5891">
        <w:rPr>
          <w:sz w:val="24"/>
          <w:lang w:val="hr-HR"/>
        </w:rPr>
        <w:tab/>
      </w:r>
      <w:r w:rsidRPr="008E5891">
        <w:rPr>
          <w:sz w:val="24"/>
          <w:u w:color="0000FF"/>
          <w:lang w:val="hr-HR"/>
        </w:rPr>
        <w:t>SL C 434, 15.11.2022., str. 31.</w:t>
      </w:r>
    </w:p>
  </w:footnote>
  <w:footnote w:id="7">
    <w:p w:rsidR="00704DFA" w:rsidRPr="008E5891" w:rsidRDefault="00704DFA" w:rsidP="00736A3E">
      <w:pPr>
        <w:pStyle w:val="FootnoteText"/>
        <w:ind w:left="567" w:hanging="567"/>
        <w:rPr>
          <w:sz w:val="24"/>
          <w:u w:color="0000FF"/>
          <w:lang w:val="hr-HR"/>
        </w:rPr>
      </w:pPr>
      <w:r w:rsidRPr="00736A3E">
        <w:rPr>
          <w:rStyle w:val="FootnoteReference"/>
          <w:sz w:val="24"/>
          <w:lang w:val="hr-HR"/>
        </w:rPr>
        <w:footnoteRef/>
      </w:r>
      <w:r w:rsidR="00736A3E" w:rsidRPr="00736A3E">
        <w:rPr>
          <w:sz w:val="24"/>
          <w:lang w:val="hr-HR"/>
        </w:rPr>
        <w:t xml:space="preserve"> </w:t>
      </w:r>
      <w:r w:rsidR="00736A3E" w:rsidRPr="00736A3E">
        <w:rPr>
          <w:sz w:val="24"/>
          <w:lang w:val="hr-HR"/>
        </w:rPr>
        <w:tab/>
      </w:r>
      <w:r w:rsidRPr="008E5891">
        <w:rPr>
          <w:sz w:val="24"/>
          <w:u w:color="0000FF"/>
          <w:lang w:val="hr-HR"/>
        </w:rPr>
        <w:t>SL C 177, 17.5.2023., str. 78.</w:t>
      </w:r>
    </w:p>
  </w:footnote>
  <w:footnote w:id="8">
    <w:p w:rsidR="00704DFA" w:rsidRPr="008E5891" w:rsidRDefault="00704DFA" w:rsidP="00736A3E">
      <w:pPr>
        <w:pStyle w:val="FootnoteText"/>
        <w:ind w:left="567" w:hanging="567"/>
        <w:rPr>
          <w:sz w:val="24"/>
          <w:u w:color="0000FF"/>
          <w:lang w:val="hr-HR"/>
        </w:rPr>
      </w:pPr>
      <w:r w:rsidRPr="008E5891">
        <w:rPr>
          <w:rStyle w:val="FootnoteReference"/>
          <w:sz w:val="24"/>
          <w:lang w:val="hr-HR"/>
        </w:rPr>
        <w:footnoteRef/>
      </w:r>
      <w:r w:rsidR="00736A3E" w:rsidRPr="008E5891">
        <w:rPr>
          <w:sz w:val="24"/>
          <w:lang w:val="hr-HR"/>
        </w:rPr>
        <w:t xml:space="preserve"> </w:t>
      </w:r>
      <w:r w:rsidR="00736A3E" w:rsidRPr="008E5891">
        <w:rPr>
          <w:sz w:val="24"/>
          <w:lang w:val="hr-HR"/>
        </w:rPr>
        <w:tab/>
      </w:r>
      <w:r w:rsidRPr="008E5891">
        <w:rPr>
          <w:sz w:val="24"/>
          <w:u w:color="0000FF"/>
          <w:lang w:val="hr-HR"/>
        </w:rPr>
        <w:t>SL C 456, 10.11.2021., str. 208.</w:t>
      </w:r>
    </w:p>
  </w:footnote>
  <w:footnote w:id="9">
    <w:p w:rsidR="00704DFA" w:rsidRPr="00736A3E" w:rsidRDefault="00704DFA" w:rsidP="00736A3E">
      <w:pPr>
        <w:pStyle w:val="FootnoteText"/>
        <w:ind w:left="567" w:hanging="567"/>
        <w:rPr>
          <w:sz w:val="24"/>
          <w:lang w:val="hr-HR"/>
        </w:rPr>
      </w:pPr>
      <w:r w:rsidRPr="00736A3E">
        <w:rPr>
          <w:rStyle w:val="FootnoteReference"/>
          <w:sz w:val="24"/>
          <w:lang w:val="hr-HR"/>
        </w:rPr>
        <w:footnoteRef/>
      </w:r>
      <w:r w:rsidR="00736A3E" w:rsidRPr="00736A3E">
        <w:rPr>
          <w:sz w:val="24"/>
          <w:lang w:val="hr-HR"/>
        </w:rPr>
        <w:t xml:space="preserve"> </w:t>
      </w:r>
      <w:r w:rsidR="00736A3E" w:rsidRPr="00736A3E">
        <w:rPr>
          <w:sz w:val="24"/>
          <w:lang w:val="hr-HR"/>
        </w:rPr>
        <w:tab/>
      </w:r>
      <w:r w:rsidRPr="00736A3E">
        <w:rPr>
          <w:sz w:val="24"/>
          <w:lang w:val="hr-HR"/>
        </w:rPr>
        <w:t>Vidjeti: https://rm.coe.int/168006457e.</w:t>
      </w:r>
    </w:p>
  </w:footnote>
  <w:footnote w:id="10">
    <w:p w:rsidR="00704DFA" w:rsidRPr="000F43F6" w:rsidRDefault="00704DFA" w:rsidP="00736A3E">
      <w:pPr>
        <w:pStyle w:val="FootnoteText"/>
        <w:ind w:left="567" w:hanging="567"/>
        <w:rPr>
          <w:sz w:val="24"/>
          <w:u w:color="0000FF"/>
          <w:lang w:val="hr-HR"/>
        </w:rPr>
      </w:pPr>
      <w:r w:rsidRPr="00736A3E">
        <w:rPr>
          <w:rStyle w:val="FootnoteReference"/>
          <w:sz w:val="24"/>
          <w:lang w:val="hr-HR"/>
        </w:rPr>
        <w:footnoteRef/>
      </w:r>
      <w:r w:rsidR="00736A3E" w:rsidRPr="00736A3E">
        <w:rPr>
          <w:sz w:val="24"/>
          <w:lang w:val="hr-HR"/>
        </w:rPr>
        <w:t xml:space="preserve"> </w:t>
      </w:r>
      <w:r w:rsidR="00736A3E" w:rsidRPr="00736A3E">
        <w:rPr>
          <w:sz w:val="24"/>
          <w:lang w:val="hr-HR"/>
        </w:rPr>
        <w:tab/>
      </w:r>
      <w:r w:rsidRPr="000F43F6">
        <w:rPr>
          <w:sz w:val="24"/>
          <w:u w:color="0000FF"/>
          <w:lang w:val="hr-HR"/>
        </w:rPr>
        <w:t xml:space="preserve">Studija - „European </w:t>
      </w:r>
      <w:proofErr w:type="spellStart"/>
      <w:r w:rsidRPr="000F43F6">
        <w:rPr>
          <w:sz w:val="24"/>
          <w:u w:color="0000FF"/>
          <w:lang w:val="hr-HR"/>
        </w:rPr>
        <w:t>Historical</w:t>
      </w:r>
      <w:proofErr w:type="spellEnd"/>
      <w:r w:rsidRPr="000F43F6">
        <w:rPr>
          <w:sz w:val="24"/>
          <w:u w:color="0000FF"/>
          <w:lang w:val="hr-HR"/>
        </w:rPr>
        <w:t xml:space="preserve"> </w:t>
      </w:r>
      <w:proofErr w:type="spellStart"/>
      <w:r w:rsidRPr="000F43F6">
        <w:rPr>
          <w:sz w:val="24"/>
          <w:u w:color="0000FF"/>
          <w:lang w:val="hr-HR"/>
        </w:rPr>
        <w:t>Memory</w:t>
      </w:r>
      <w:proofErr w:type="spellEnd"/>
      <w:r w:rsidRPr="000F43F6">
        <w:rPr>
          <w:sz w:val="24"/>
          <w:u w:color="0000FF"/>
          <w:lang w:val="hr-HR"/>
        </w:rPr>
        <w:t xml:space="preserve">: </w:t>
      </w:r>
      <w:proofErr w:type="spellStart"/>
      <w:r w:rsidRPr="000F43F6">
        <w:rPr>
          <w:sz w:val="24"/>
          <w:u w:color="0000FF"/>
          <w:lang w:val="hr-HR"/>
        </w:rPr>
        <w:t>Policies</w:t>
      </w:r>
      <w:proofErr w:type="spellEnd"/>
      <w:r w:rsidRPr="000F43F6">
        <w:rPr>
          <w:sz w:val="24"/>
          <w:u w:color="0000FF"/>
          <w:lang w:val="hr-HR"/>
        </w:rPr>
        <w:t xml:space="preserve">, </w:t>
      </w:r>
      <w:proofErr w:type="spellStart"/>
      <w:r w:rsidRPr="000F43F6">
        <w:rPr>
          <w:sz w:val="24"/>
          <w:u w:color="0000FF"/>
          <w:lang w:val="hr-HR"/>
        </w:rPr>
        <w:t>Challenges</w:t>
      </w:r>
      <w:proofErr w:type="spellEnd"/>
      <w:r w:rsidRPr="000F43F6">
        <w:rPr>
          <w:sz w:val="24"/>
          <w:u w:color="0000FF"/>
          <w:lang w:val="hr-HR"/>
        </w:rPr>
        <w:t xml:space="preserve"> </w:t>
      </w:r>
      <w:proofErr w:type="spellStart"/>
      <w:r w:rsidRPr="000F43F6">
        <w:rPr>
          <w:sz w:val="24"/>
          <w:u w:color="0000FF"/>
          <w:lang w:val="hr-HR"/>
        </w:rPr>
        <w:t>and</w:t>
      </w:r>
      <w:proofErr w:type="spellEnd"/>
      <w:r w:rsidRPr="000F43F6">
        <w:rPr>
          <w:sz w:val="24"/>
          <w:u w:color="0000FF"/>
          <w:lang w:val="hr-HR"/>
        </w:rPr>
        <w:t xml:space="preserve"> </w:t>
      </w:r>
      <w:proofErr w:type="spellStart"/>
      <w:r w:rsidRPr="000F43F6">
        <w:rPr>
          <w:sz w:val="24"/>
          <w:u w:color="0000FF"/>
          <w:lang w:val="hr-HR"/>
        </w:rPr>
        <w:t>Perspectives</w:t>
      </w:r>
      <w:proofErr w:type="spellEnd"/>
      <w:r w:rsidRPr="000F43F6">
        <w:rPr>
          <w:sz w:val="24"/>
          <w:u w:color="0000FF"/>
          <w:lang w:val="hr-HR"/>
        </w:rPr>
        <w:t>’’ („Europsko povijesno sjećanje: politike, izazovi i perspektive”) (drugo izdanje), Europski parlament, Glavna uprava za unutarnju politiku Unije, Resorni odjel B - Strukturna i kohezijska politika, travanj 2015.</w:t>
      </w:r>
    </w:p>
  </w:footnote>
  <w:footnote w:id="11">
    <w:p w:rsidR="00704DFA" w:rsidRPr="000F43F6" w:rsidRDefault="00704DFA" w:rsidP="00736A3E">
      <w:pPr>
        <w:pStyle w:val="FootnoteText"/>
        <w:ind w:left="567" w:hanging="567"/>
        <w:rPr>
          <w:sz w:val="24"/>
          <w:u w:color="0000FF"/>
          <w:lang w:val="hr-HR"/>
        </w:rPr>
      </w:pPr>
      <w:r w:rsidRPr="000F43F6">
        <w:rPr>
          <w:rStyle w:val="FootnoteReference"/>
          <w:sz w:val="24"/>
          <w:lang w:val="hr-HR"/>
        </w:rPr>
        <w:footnoteRef/>
      </w:r>
      <w:r w:rsidR="00736A3E" w:rsidRPr="000F43F6">
        <w:rPr>
          <w:sz w:val="24"/>
          <w:lang w:val="hr-HR"/>
        </w:rPr>
        <w:t xml:space="preserve"> </w:t>
      </w:r>
      <w:r w:rsidR="00736A3E" w:rsidRPr="000F43F6">
        <w:rPr>
          <w:sz w:val="24"/>
          <w:lang w:val="hr-HR"/>
        </w:rPr>
        <w:tab/>
      </w:r>
      <w:r w:rsidRPr="000F43F6">
        <w:rPr>
          <w:sz w:val="24"/>
          <w:u w:color="0000FF"/>
          <w:lang w:val="hr-HR"/>
        </w:rPr>
        <w:t xml:space="preserve">Studija – „European </w:t>
      </w:r>
      <w:proofErr w:type="spellStart"/>
      <w:r w:rsidRPr="000F43F6">
        <w:rPr>
          <w:sz w:val="24"/>
          <w:u w:color="0000FF"/>
          <w:lang w:val="hr-HR"/>
        </w:rPr>
        <w:t>Identity</w:t>
      </w:r>
      <w:proofErr w:type="spellEnd"/>
      <w:r w:rsidRPr="000F43F6">
        <w:rPr>
          <w:sz w:val="24"/>
          <w:u w:color="0000FF"/>
          <w:lang w:val="hr-HR"/>
        </w:rPr>
        <w:t>” (Europski identitet), Europski parlament, Glavna uprava za unutarnju politiku Unije, Resorni odjel B – Strukturna i kohezijska politika, travanj 2017.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6A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6A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6A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2/2023"/>
    <w:docVar w:name="dvlangue" w:val="HR"/>
    <w:docVar w:name="dvnumam" w:val="0"/>
    <w:docVar w:name="dvpe" w:val="752.701"/>
    <w:docVar w:name="dvrapporteur" w:val="Izvjestiteljica: "/>
    <w:docVar w:name="dvtitre" w:val="Rezolucija Europskog parlamenta od .... 2024. o europskoj povijesnoj svijesti(2023/2112(INI))"/>
  </w:docVars>
  <w:rsids>
    <w:rsidRoot w:val="00864877"/>
    <w:rsid w:val="00002272"/>
    <w:rsid w:val="00064002"/>
    <w:rsid w:val="000677B9"/>
    <w:rsid w:val="000831BA"/>
    <w:rsid w:val="000A42CC"/>
    <w:rsid w:val="000E7DD9"/>
    <w:rsid w:val="000F43F6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24A8"/>
    <w:rsid w:val="006037C0"/>
    <w:rsid w:val="006631B6"/>
    <w:rsid w:val="00680577"/>
    <w:rsid w:val="006F74FA"/>
    <w:rsid w:val="00704DFA"/>
    <w:rsid w:val="00731ADD"/>
    <w:rsid w:val="00734777"/>
    <w:rsid w:val="00736A3E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4877"/>
    <w:rsid w:val="00865F67"/>
    <w:rsid w:val="00881A7B"/>
    <w:rsid w:val="008840E5"/>
    <w:rsid w:val="00887B3E"/>
    <w:rsid w:val="008C2AC6"/>
    <w:rsid w:val="008E5891"/>
    <w:rsid w:val="00930C23"/>
    <w:rsid w:val="0093193B"/>
    <w:rsid w:val="009509D8"/>
    <w:rsid w:val="00950B64"/>
    <w:rsid w:val="00981893"/>
    <w:rsid w:val="009E342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8F3000"/>
  <w15:chartTrackingRefBased/>
  <w15:docId w15:val="{E2F28366-C2D6-4F68-B7CB-3920C51D1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04DFA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704DFA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704DFA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704DFA"/>
    <w:rPr>
      <w:b/>
      <w:i/>
      <w:u w:val="none"/>
    </w:rPr>
  </w:style>
  <w:style w:type="character" w:customStyle="1" w:styleId="Italic">
    <w:name w:val="Italic"/>
    <w:uiPriority w:val="1"/>
    <w:rsid w:val="00704DFA"/>
    <w:rPr>
      <w:i/>
    </w:rPr>
  </w:style>
  <w:style w:type="paragraph" w:customStyle="1" w:styleId="Normal12a24b">
    <w:name w:val="Normal12a24b"/>
    <w:basedOn w:val="Normal"/>
    <w:rsid w:val="00704DFA"/>
    <w:pPr>
      <w:spacing w:before="360" w:after="240"/>
    </w:pPr>
    <w:rPr>
      <w:snapToGrid w:val="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F228F-B3B0-4486-859B-79055FBAB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2440</Words>
  <Characters>15273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2024-01-17T12:56:00Z</dcterms:created>
  <dcterms:modified xsi:type="dcterms:W3CDTF">2024-01-17T12:56:00Z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A9-0402/2023</vt:lpwstr>
  </property>
  <property fmtid="{D5CDD505-2E9C-101B-9397-08002B2CF9AE}" pid="4" name="&lt;Type&gt;">
    <vt:lpwstr>RR</vt:lpwstr>
  </property>
</Properties>
</file>