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53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539A" w:rsidRDefault="00E73F6B" w:rsidP="0010095E">
            <w:pPr>
              <w:pStyle w:val="EPName"/>
            </w:pPr>
            <w:r w:rsidRPr="00DF539A">
              <w:t>Parlament Europejski</w:t>
            </w:r>
          </w:p>
          <w:p w:rsidR="00751A4A" w:rsidRPr="00DF53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539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F539A" w:rsidRDefault="00187494" w:rsidP="0010095E">
            <w:pPr>
              <w:pStyle w:val="EPLogo"/>
            </w:pPr>
            <w:r w:rsidRPr="00DF53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539A" w:rsidRDefault="00D058B8" w:rsidP="004C5D52">
      <w:pPr>
        <w:pStyle w:val="LineTop"/>
      </w:pPr>
    </w:p>
    <w:p w:rsidR="00680577" w:rsidRPr="00DF539A" w:rsidRDefault="00E73F6B" w:rsidP="00680577">
      <w:pPr>
        <w:pStyle w:val="EPBodyTA1"/>
      </w:pPr>
      <w:r w:rsidRPr="00DF539A">
        <w:t>TEKSTY PRZYJĘTE</w:t>
      </w:r>
    </w:p>
    <w:p w:rsidR="00D058B8" w:rsidRPr="00DF539A" w:rsidRDefault="00D058B8" w:rsidP="00D058B8">
      <w:pPr>
        <w:pStyle w:val="LineBottom"/>
      </w:pPr>
    </w:p>
    <w:p w:rsidR="00E73F6B" w:rsidRPr="00DF539A" w:rsidRDefault="00E73F6B" w:rsidP="00E73F6B">
      <w:pPr>
        <w:pStyle w:val="ATHeading1"/>
      </w:pPr>
      <w:bookmarkStart w:id="0" w:name="TANumber"/>
      <w:r w:rsidRPr="00DF539A">
        <w:t>P9_TA(2024)00</w:t>
      </w:r>
      <w:bookmarkEnd w:id="0"/>
      <w:r w:rsidR="006E4DBA">
        <w:t>30</w:t>
      </w:r>
    </w:p>
    <w:p w:rsidR="00E73F6B" w:rsidRPr="00DA3F4A" w:rsidRDefault="00DA3F4A" w:rsidP="00E73F6B">
      <w:pPr>
        <w:pStyle w:val="ATHeading2"/>
      </w:pPr>
      <w:r w:rsidRPr="00BA4F66">
        <w:t>Europejska świadomość historyczna</w:t>
      </w:r>
    </w:p>
    <w:p w:rsidR="00E73F6B" w:rsidRPr="00DF539A" w:rsidRDefault="00E73F6B" w:rsidP="00E73F6B">
      <w:pPr>
        <w:rPr>
          <w:i/>
          <w:vanish/>
        </w:rPr>
      </w:pPr>
      <w:r w:rsidRPr="00DF539A">
        <w:rPr>
          <w:i/>
        </w:rPr>
        <w:fldChar w:fldCharType="begin"/>
      </w:r>
      <w:r w:rsidRPr="00DF539A">
        <w:rPr>
          <w:i/>
        </w:rPr>
        <w:instrText xml:space="preserve"> TC"(</w:instrText>
      </w:r>
      <w:bookmarkStart w:id="1" w:name="DocNumber"/>
      <w:r w:rsidRPr="00DF539A">
        <w:rPr>
          <w:i/>
        </w:rPr>
        <w:instrText>A9-0402/2023</w:instrText>
      </w:r>
      <w:bookmarkEnd w:id="1"/>
      <w:r w:rsidRPr="00DF539A">
        <w:rPr>
          <w:i/>
        </w:rPr>
        <w:instrText xml:space="preserve"> - Sprawozdawca: </w:instrText>
      </w:r>
      <w:proofErr w:type="spellStart"/>
      <w:r w:rsidRPr="00DF539A">
        <w:rPr>
          <w:i/>
        </w:rPr>
        <w:instrText>Sabine</w:instrText>
      </w:r>
      <w:proofErr w:type="spellEnd"/>
      <w:r w:rsidRPr="00DF539A">
        <w:rPr>
          <w:i/>
        </w:rPr>
        <w:instrText xml:space="preserve"> </w:instrText>
      </w:r>
      <w:proofErr w:type="spellStart"/>
      <w:r w:rsidRPr="00DF539A">
        <w:rPr>
          <w:i/>
        </w:rPr>
        <w:instrText>Verheyen</w:instrText>
      </w:r>
      <w:proofErr w:type="spellEnd"/>
      <w:proofErr w:type="gramStart"/>
      <w:r w:rsidRPr="00DF539A">
        <w:rPr>
          <w:i/>
        </w:rPr>
        <w:instrText>)"\l</w:instrText>
      </w:r>
      <w:proofErr w:type="gramEnd"/>
      <w:r w:rsidRPr="00DF539A">
        <w:rPr>
          <w:i/>
        </w:rPr>
        <w:instrText xml:space="preserve">3 \n&gt; \* MERGEFORMAT </w:instrText>
      </w:r>
      <w:r w:rsidRPr="00DF539A">
        <w:rPr>
          <w:i/>
        </w:rPr>
        <w:fldChar w:fldCharType="end"/>
      </w:r>
    </w:p>
    <w:p w:rsidR="00E73F6B" w:rsidRPr="00DF539A" w:rsidRDefault="00E73F6B" w:rsidP="00E73F6B">
      <w:pPr>
        <w:rPr>
          <w:vanish/>
        </w:rPr>
      </w:pPr>
      <w:bookmarkStart w:id="2" w:name="Commission"/>
      <w:r w:rsidRPr="00DF539A">
        <w:rPr>
          <w:vanish/>
        </w:rPr>
        <w:t>Komisja Kultury i Edukacji</w:t>
      </w:r>
      <w:bookmarkEnd w:id="2"/>
    </w:p>
    <w:p w:rsidR="00E73F6B" w:rsidRPr="00DF539A" w:rsidRDefault="00E73F6B" w:rsidP="00E73F6B">
      <w:pPr>
        <w:rPr>
          <w:vanish/>
        </w:rPr>
      </w:pPr>
      <w:bookmarkStart w:id="3" w:name="PE"/>
      <w:r w:rsidRPr="00DF539A">
        <w:rPr>
          <w:vanish/>
        </w:rPr>
        <w:t>PE752.701</w:t>
      </w:r>
      <w:bookmarkEnd w:id="3"/>
    </w:p>
    <w:p w:rsidR="00E73F6B" w:rsidRPr="00DF539A" w:rsidRDefault="00E73F6B" w:rsidP="00E73F6B">
      <w:pPr>
        <w:pStyle w:val="ATHeading3"/>
      </w:pPr>
      <w:bookmarkStart w:id="4" w:name="Sujet"/>
      <w:r w:rsidRPr="00DF539A">
        <w:t xml:space="preserve">Rezolucja Parlamentu Europejskiego z dnia </w:t>
      </w:r>
      <w:r w:rsidR="006E4DBA">
        <w:t>17</w:t>
      </w:r>
      <w:bookmarkStart w:id="5" w:name="_GoBack"/>
      <w:bookmarkEnd w:id="5"/>
      <w:r w:rsidR="00DA3F4A">
        <w:t xml:space="preserve"> stycznia</w:t>
      </w:r>
      <w:r w:rsidRPr="00DF539A">
        <w:t xml:space="preserve"> 2024 r. w sprawie europejskiej świadomości historycznej</w:t>
      </w:r>
      <w:bookmarkEnd w:id="4"/>
      <w:r w:rsidRPr="00DF539A">
        <w:t xml:space="preserve"> </w:t>
      </w:r>
      <w:bookmarkStart w:id="6" w:name="References"/>
      <w:r w:rsidRPr="00DF539A">
        <w:t>(2023/2112(INI))</w:t>
      </w:r>
      <w:bookmarkEnd w:id="6"/>
    </w:p>
    <w:p w:rsidR="00E73F6B" w:rsidRPr="00DF539A" w:rsidRDefault="00E73F6B" w:rsidP="00E73F6B"/>
    <w:p w:rsidR="00BA4981" w:rsidRPr="00DF539A" w:rsidRDefault="00BA4981" w:rsidP="00BA4981">
      <w:pPr>
        <w:pStyle w:val="EPComma"/>
        <w:rPr>
          <w:lang w:val="pl-PL"/>
        </w:rPr>
      </w:pPr>
      <w:bookmarkStart w:id="7" w:name="TextBodyBegin"/>
      <w:bookmarkEnd w:id="7"/>
      <w:r w:rsidRPr="00DF539A">
        <w:rPr>
          <w:rStyle w:val="Italic"/>
          <w:lang w:val="pl-PL"/>
        </w:rPr>
        <w:t>Parlament Europejski</w:t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art. 165 Traktatu o funkcjonowaniu Unii Europejskiej,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swoją rezolucję z 19 września 2019 r. w sprawie znaczenia europejskiej pamięci historycznej dla przyszłości Europy</w:t>
      </w:r>
      <w:r w:rsidRPr="00DF539A">
        <w:rPr>
          <w:rStyle w:val="FootnoteReference"/>
          <w:lang w:val="pl-PL"/>
        </w:rPr>
        <w:footnoteReference w:id="1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 xml:space="preserve">uwzględniając swoją rezolucję z 2 kwietnia 2009 r. w sprawie świadomości </w:t>
      </w:r>
      <w:proofErr w:type="gramStart"/>
      <w:r w:rsidRPr="00DF539A">
        <w:rPr>
          <w:lang w:val="pl-PL"/>
        </w:rPr>
        <w:t>europejskiej</w:t>
      </w:r>
      <w:proofErr w:type="gramEnd"/>
      <w:r w:rsidRPr="00DF539A">
        <w:rPr>
          <w:lang w:val="pl-PL"/>
        </w:rPr>
        <w:t xml:space="preserve"> i totalitaryzmu</w:t>
      </w:r>
      <w:r w:rsidRPr="00DF539A">
        <w:rPr>
          <w:rStyle w:val="FootnoteReference"/>
          <w:lang w:val="pl-PL"/>
        </w:rPr>
        <w:footnoteReference w:id="2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rozporządzenie Parlamentu Europejskiego i Rady (UE) 2021/692 z dnia 28 kwietnia 2021 r. ustanawiające program „Obywatele, równość, prawa i wartości” oraz uchylające rozporządzenie Parlamentu Europejskiego i Rady (UE) nr 1381/2013 i rozporządzenie Rady (UE) nr 390/2014</w:t>
      </w:r>
      <w:r w:rsidRPr="00DF539A">
        <w:rPr>
          <w:rStyle w:val="FootnoteReference"/>
          <w:lang w:val="pl-PL"/>
        </w:rPr>
        <w:footnoteReference w:id="3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swoją rezolucję z 11 listopada 2021 r. w sprawie Europejskiego obszaru edukacji: wspólne całościowe podejście</w:t>
      </w:r>
      <w:r w:rsidRPr="00DF539A">
        <w:rPr>
          <w:rStyle w:val="FootnoteReference"/>
          <w:lang w:val="pl-PL"/>
        </w:rPr>
        <w:footnoteReference w:id="4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swoją rezolucję z 8 marca 2022 r. w sprawie roli kultury, edukacji, mediów i sportu w walce z rasizmem</w:t>
      </w:r>
      <w:r w:rsidRPr="00DF539A">
        <w:rPr>
          <w:rStyle w:val="FootnoteReference"/>
          <w:lang w:val="pl-PL"/>
        </w:rPr>
        <w:footnoteReference w:id="5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lastRenderedPageBreak/>
        <w:t>–</w:t>
      </w:r>
      <w:r w:rsidRPr="00DF539A">
        <w:rPr>
          <w:lang w:val="pl-PL"/>
        </w:rPr>
        <w:tab/>
        <w:t>uwzględniając swoją rezolucję z 6 kwietnia 2022 r. w sprawie realizacji działań w zakresie edukacji obywatelskiej</w:t>
      </w:r>
      <w:r w:rsidRPr="00DF539A">
        <w:rPr>
          <w:rStyle w:val="FootnoteReference"/>
          <w:lang w:val="pl-PL"/>
        </w:rPr>
        <w:footnoteReference w:id="6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swoją rezolucję z 14 grudnia 2022 r. w sprawie realizacji Nowego europejskiego programu na rzecz kultury i strategii UE w dziedzinie międzynarodowych stosunków kulturalnych</w:t>
      </w:r>
      <w:r w:rsidRPr="00DF539A">
        <w:rPr>
          <w:rStyle w:val="FootnoteReference"/>
          <w:lang w:val="pl-PL"/>
        </w:rPr>
        <w:footnoteReference w:id="7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swoją rezolucję z 21 stycznia 2021 r. w sprawie europejskiej strategii na rzecz równouprawnienia płci</w:t>
      </w:r>
      <w:r w:rsidRPr="00DF539A">
        <w:rPr>
          <w:rStyle w:val="FootnoteReference"/>
          <w:lang w:val="pl-PL"/>
        </w:rPr>
        <w:footnoteReference w:id="8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komunikat Komisji z 18 września 2020 r. zatytułowany „Unia równości: Unijny plan działania przeciwko rasizmowi na lata 2020–2025” (COM(2020)0565),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komunikat Komisji z 14 czerwca 2016 r. w sprawie zapobiegania radykalizacji postaw prowadzącej do brutalnego ekstremizmu (COM(2016)0379),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Europejską konwencję kulturalną z 19 grudnia 1954 r.</w:t>
      </w:r>
      <w:r w:rsidRPr="00DF539A">
        <w:rPr>
          <w:rStyle w:val="FootnoteReference"/>
          <w:lang w:val="pl-PL"/>
        </w:rPr>
        <w:footnoteReference w:id="9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przeprowadzone przez parlamentarną Komisję Kultury i Edukacji badanie pt. „Europejska pamięć historyczna: strategie polityczne, wyzwania i perspektywy”</w:t>
      </w:r>
      <w:r w:rsidRPr="00DF539A">
        <w:rPr>
          <w:rStyle w:val="FootnoteReference"/>
          <w:lang w:val="pl-PL"/>
        </w:rPr>
        <w:footnoteReference w:id="10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przeprowadzone przez parlamentarną Komisję Kultury i Edukacji badanie pt. „Europejska tożsamość”</w:t>
      </w:r>
      <w:r w:rsidRPr="00DF539A">
        <w:rPr>
          <w:rStyle w:val="FootnoteReference"/>
          <w:lang w:val="pl-PL"/>
        </w:rPr>
        <w:footnoteReference w:id="11"/>
      </w:r>
      <w:r w:rsidRPr="00DF539A">
        <w:rPr>
          <w:lang w:val="pl-PL"/>
        </w:rPr>
        <w:t>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art. 54 Regulaminu,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–</w:t>
      </w:r>
      <w:r w:rsidRPr="00DF539A">
        <w:rPr>
          <w:lang w:val="pl-PL"/>
        </w:rPr>
        <w:tab/>
        <w:t>uwzględniając sprawozdanie Komisji Kultury i Edukacji (A9-0402/2023),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A.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złożona, pełna konfliktów i budząca spory przeszłość Europy stanowi zarówno wyzwanie, jak i szansę na integrację europejską, a oparta na wiedzy świadomość historyczna wzmacnia wzajemne zrozumienie i tolerancję;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B.</w:t>
      </w:r>
      <w:r w:rsidRPr="00DF539A">
        <w:rPr>
          <w:lang w:val="pl-PL"/>
        </w:rPr>
        <w:tab/>
        <w:t xml:space="preserve">mając na uwadze, że niesprawiedliwość ze względu na płeć, przekonania lub pochodzenie etniczne, między innymi w formie antysemityzmu i </w:t>
      </w:r>
      <w:proofErr w:type="spellStart"/>
      <w:r w:rsidRPr="00DF539A">
        <w:rPr>
          <w:lang w:val="pl-PL"/>
        </w:rPr>
        <w:t>antycyganizmu</w:t>
      </w:r>
      <w:proofErr w:type="spellEnd"/>
      <w:r w:rsidRPr="00DF539A">
        <w:rPr>
          <w:lang w:val="pl-PL"/>
        </w:rPr>
        <w:t>, od wieków są obecne w historii Europy i wpływają zarówno na nią, jak i na resztę świata;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lastRenderedPageBreak/>
        <w:t>C.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uważne podejście do historii, w tym przypadków niesprawiedliwości, pomaga nam zwalczać różne formy nietolerancji i nierówności oraz budować bardziej integracyjne społeczeństwa;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D.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historii nigdy nie można relatywizować, zniekształcać ani fałszować do celów politycznych;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E.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negowanie historii i inne formy jej stronniczej interpretacji stanowią poważne zagrożenie, prowadzą do braku zaufania i do konfliktów między ludami i narodami oraz osłabiają starania na rzecz sprawiedliwości historycznej i pojednania;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F.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zajmowanie się przeszłością wymaga jak największej bezstronności i obiektywizmu zarówno w badaniach historycznych, jak i w sferze politycznej;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G.</w:t>
      </w:r>
      <w:r w:rsidRPr="00DF539A">
        <w:rPr>
          <w:lang w:val="pl-PL"/>
        </w:rPr>
        <w:tab/>
        <w:t>mając na uwadze, że pamięć historyczna ma w sobie dużą dozę subiektywizmu, ponieważ wybieranie, co zapamiętać i jak zinterpretować przeszłość, zawsze wiąże się z ocenami wartościującymi;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H.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chociaż istnieją fakty historyczne oparte na profesjonalnej pracy historyków obejmującej badania, nauczanie oraz zachowane źródła historyczne i miejsca o szczególnym znaczeniu historycznym, nie ma jednej monolitycznej, niepodważalnej i stale utrzymującej się prawdy historycznej, którą jakaś grupa lub naród może zmonopolizować, upierać się, że należy ona wyłącznie do nich, i wykorzystywać, by negować istnienie innych ludów, narodów lub państw;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I.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mając</w:t>
      </w:r>
      <w:proofErr w:type="gramEnd"/>
      <w:r w:rsidRPr="00DF539A">
        <w:rPr>
          <w:lang w:val="pl-PL"/>
        </w:rPr>
        <w:t xml:space="preserve"> na uwadze, że podejścia interdyscyplinarne i </w:t>
      </w:r>
      <w:proofErr w:type="spellStart"/>
      <w:r w:rsidRPr="00DF539A">
        <w:rPr>
          <w:lang w:val="pl-PL"/>
        </w:rPr>
        <w:t>kontekstualizacja</w:t>
      </w:r>
      <w:proofErr w:type="spellEnd"/>
      <w:r w:rsidRPr="00DF539A">
        <w:rPr>
          <w:lang w:val="pl-PL"/>
        </w:rPr>
        <w:t xml:space="preserve"> to podstawowe elementy edukacji historycznej, która musi być powiązana z europejską edukacją obywatelską oraz programami wymiany i mobilności;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J.</w:t>
      </w:r>
      <w:r w:rsidRPr="00DF539A">
        <w:rPr>
          <w:lang w:val="pl-PL"/>
        </w:rPr>
        <w:tab/>
        <w:t>mając na uwadze, że promowanie krytycznej świadomości historycznej ponad granicami – między innymi poprzez edukację – jest kluczowe, by Europejczycy mogli rozumieć przeszłość i się z nią pogodzić, raźnie stawiać czoła teraźniejszości i pracować na rzecz wspólnej przyszłości;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K.</w:t>
      </w:r>
      <w:r w:rsidRPr="00DF539A">
        <w:rPr>
          <w:lang w:val="pl-PL"/>
        </w:rPr>
        <w:tab/>
        <w:t>mając na uwadze, że europejska świadomość historyczna jest rozumiana jako indywidualna i zbiorowa umiejętność rozumienia, krytycznej oceny i wyciągania wniosków z historii, ułatwiająca dostrzeżenie nierozerwalnego związku i współzależności między przeszłością, teraźniejszością i przyszłością;</w:t>
      </w:r>
    </w:p>
    <w:p w:rsidR="00BA4981" w:rsidRPr="00DF539A" w:rsidRDefault="00BA4981" w:rsidP="00BA4981">
      <w:pPr>
        <w:pStyle w:val="Normal12a24b"/>
        <w:rPr>
          <w:lang w:val="pl-PL"/>
        </w:rPr>
      </w:pPr>
      <w:r w:rsidRPr="00DF539A">
        <w:rPr>
          <w:rStyle w:val="BoldItalic"/>
          <w:lang w:val="pl-PL"/>
        </w:rPr>
        <w:t>Rozliczanie przeszłości Europy jako zagrożenie i szansa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przyznaje</w:t>
      </w:r>
      <w:proofErr w:type="gramEnd"/>
      <w:r w:rsidRPr="00DF539A">
        <w:rPr>
          <w:lang w:val="pl-PL"/>
        </w:rPr>
        <w:t>, że z uwagi na różnorodne i często rozbieżne historie europejskich narodów i państw wszelkie próby zajmowania się historią na szczeblu politycznym są trudne i potencjalnie niebezpieczne oraz że próby sterowania upamiętnianiem i interpretacją przeszłości zawsze okazują się wyzwaniem;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 xml:space="preserve"> potencjał zasady „historia nauczycielką życia” i uważa, że szczególnie tragiczne okresy i mroczne oblicza historii Europy to nie tylko dobitne przypomnienie </w:t>
      </w:r>
      <w:r w:rsidRPr="00DF539A">
        <w:rPr>
          <w:lang w:val="pl-PL"/>
        </w:rPr>
        <w:lastRenderedPageBreak/>
        <w:t>błędów, których nie można powtórzyć, ale również wezwanie do wspólnego działania dla dobra demokratycznych i otwartych społeczeństw w Unii i na świecie;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3.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uważa</w:t>
      </w:r>
      <w:proofErr w:type="gramEnd"/>
      <w:r w:rsidRPr="00DF539A">
        <w:rPr>
          <w:lang w:val="pl-PL"/>
        </w:rPr>
        <w:t xml:space="preserve">, że każdy demokratyczny organ polityczny musi podchodzić do historii w sposób odpowiedzialny, skupiony na wspólnych europejskich wartościach, oparty na faktach i krytyczny, aby uwrażliwiać obecne i przyszłe pokolenia tak na osiągnięcia, jak i na niedociągnięcia przeszłości, wzmacniać </w:t>
      </w:r>
      <w:proofErr w:type="spellStart"/>
      <w:r w:rsidRPr="00DF539A">
        <w:rPr>
          <w:lang w:val="pl-PL"/>
        </w:rPr>
        <w:t>autorefleksyjny</w:t>
      </w:r>
      <w:proofErr w:type="spellEnd"/>
      <w:r w:rsidRPr="00DF539A">
        <w:rPr>
          <w:lang w:val="pl-PL"/>
        </w:rPr>
        <w:t xml:space="preserve"> dyskurs publiczny oraz zrozumienie i pojednanie wewnątrz poszczególnych grup społecznych, narodów i państw oraz między nimi;</w:t>
      </w:r>
    </w:p>
    <w:p w:rsidR="00BA4981" w:rsidRPr="00DF539A" w:rsidRDefault="00BA4981" w:rsidP="00BA4981">
      <w:pPr>
        <w:pStyle w:val="Normal12a24b"/>
        <w:rPr>
          <w:lang w:val="pl-PL"/>
        </w:rPr>
      </w:pPr>
      <w:r w:rsidRPr="00DF539A">
        <w:rPr>
          <w:rStyle w:val="BoldItalic"/>
          <w:lang w:val="pl-PL"/>
        </w:rPr>
        <w:t>Polityka przeszłości w Unii Europejskiej – ocena krytyczna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4.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>, że potrzebna jest uczciwa ocena „polityki przeszłości” Unii, poprzez którą stara się ona zwiększać legitymizację projektu europejskiego i wzmacniać poczucie przynależności Europejczyków i pokojową koegzystencję narodów zamieszkujących nasz kontynent oraz która będzie dotyczyła w równym stopniu sukcesów i istniejących niedociągnięć, a także tego, jak do tej pory zachęcano obywateli do interakcji z historią;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5.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uznaje</w:t>
      </w:r>
      <w:proofErr w:type="gramEnd"/>
      <w:r w:rsidRPr="00DF539A">
        <w:rPr>
          <w:lang w:val="pl-PL"/>
        </w:rPr>
        <w:t xml:space="preserve"> szereg wcześniejszych i obecnych inicjatyw na szczeblu europejskim, które służą wspieraniu wspólnej europejskiej pamięci historycznej, w tym Dzień Pamięci o Ofiarach Holokaustu, Europejski dzień pamięci ofiar wszystkich reżimów totalitarnych i autorytarnych, ustanowienie specjalnego komponentu pamięci o przeszłości w dawnych programach „Europa dla Obywateli” i obecnych programach „Obywatelstwo, równość, prawa i wartości” oraz różne rezolucje Parlamentu, na przykład z 2 kwietnia 2009 r. w sprawie świadomości europejskiej i totalitaryzmu oraz z 19 września 2019 r. w sprawie znaczenia europejskiej pamięci historycznej dla przyszłości Europy;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6.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wyraża</w:t>
      </w:r>
      <w:proofErr w:type="gramEnd"/>
      <w:r w:rsidRPr="00DF539A">
        <w:rPr>
          <w:lang w:val="pl-PL"/>
        </w:rPr>
        <w:t xml:space="preserve"> zaniepokojenie utrzymującą się ukrytą konkurencją i częściową niekompatybilnością między różnymi ramami i kulturami pamięci w Europie, nie tylko między Europą Zachodnią i Wschodnią, ale także między niektórymi krajami i narodami w poszczególnych częściach kontynentu; podkreśla, że wszystkie kraje europejskie mają zbieżne i rozbieżne doświadczenia, które należą do wspólnej europejskiej historii; zwraca uwagę na zbrodnie popełnione przez nazistowskie, faszystowskie i komunistyczne reżimy totalitarne oraz w czasach kolonializmu, a także na rolę, jaką zbrodnie te odegrały w kształtowaniu postrzegania historii w Europie; podkreśla, że należy zniwelować istniejące podziały regionalne i ideologiczne w świadomości historycznej między krajami i narodami europejskimi, aby stworzyć </w:t>
      </w:r>
      <w:proofErr w:type="gramStart"/>
      <w:r w:rsidRPr="00DF539A">
        <w:rPr>
          <w:lang w:val="pl-PL"/>
        </w:rPr>
        <w:t>wspólną</w:t>
      </w:r>
      <w:proofErr w:type="gramEnd"/>
      <w:r w:rsidRPr="00DF539A">
        <w:rPr>
          <w:lang w:val="pl-PL"/>
        </w:rPr>
        <w:t xml:space="preserve"> płaszczyznę dialogu oraz osiągnąć wzajemne zrozumienie i szacunek;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7.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zauważa</w:t>
      </w:r>
      <w:proofErr w:type="gramEnd"/>
      <w:r w:rsidRPr="00DF539A">
        <w:rPr>
          <w:lang w:val="pl-PL"/>
        </w:rPr>
        <w:t>, że z jednej strony koszmary przeszłości tworzą „negatywny mit założycielski” i silne poczucie celu europejskiego projektu pokojowego, ale z drugiej fakt, że Unia skupia się głównie na opowiadaniu swojej historii od negatywnej strony, grozi pielęgnowaniem teleologicznej, nadmiernie uproszczonej, czarno-białej wizji przeszłości, co może utrudniać pełne zrozumienie skomplikowanych dziejów Europy i ograniczać chęć do kwestionowania stereotypów i świętych krów historii narodowej;</w:t>
      </w:r>
    </w:p>
    <w:p w:rsidR="00BA4981" w:rsidRPr="00DF539A" w:rsidRDefault="00BA4981" w:rsidP="00BA4981">
      <w:pPr>
        <w:pStyle w:val="Normal12a24b"/>
        <w:rPr>
          <w:lang w:val="pl-PL"/>
        </w:rPr>
      </w:pPr>
      <w:r w:rsidRPr="00DF539A">
        <w:rPr>
          <w:rStyle w:val="BoldItalic"/>
          <w:lang w:val="pl-PL"/>
        </w:rPr>
        <w:t xml:space="preserve">Oparta na wiedzy europejska świadomość historyczna   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8.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uznaje</w:t>
      </w:r>
      <w:proofErr w:type="gramEnd"/>
      <w:r w:rsidRPr="00DF539A">
        <w:rPr>
          <w:lang w:val="pl-PL"/>
        </w:rPr>
        <w:t xml:space="preserve">, że szersze i bardziej całościowe rozumienie historii Europy jest konieczne, aby wykształciła się krytyczna i </w:t>
      </w:r>
      <w:proofErr w:type="spellStart"/>
      <w:r w:rsidRPr="00DF539A">
        <w:rPr>
          <w:lang w:val="pl-PL"/>
        </w:rPr>
        <w:t>autorefleksyjna</w:t>
      </w:r>
      <w:proofErr w:type="spellEnd"/>
      <w:r w:rsidRPr="00DF539A">
        <w:rPr>
          <w:lang w:val="pl-PL"/>
        </w:rPr>
        <w:t xml:space="preserve"> europejska świadomość historyczna, czemu </w:t>
      </w:r>
      <w:r w:rsidRPr="00DF539A">
        <w:rPr>
          <w:lang w:val="pl-PL"/>
        </w:rPr>
        <w:lastRenderedPageBreak/>
        <w:t>posłuży zwłaszcza poszerzenie obszaru zainteresowania obecnych europejskich inicjatyw na rzecz pamięci o przeszłości oraz należyte uwzględnianie grup, które dotąd były niedostatecznie reprezentowane, i innowacyjnego nauczania historii;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9.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 xml:space="preserve"> znaczenie odejścia od europejskiej „kultury pamięci”, która jest w przeważającej mierze odgórna i nastawiona na określanie, co Europejczycy powinni pamiętać, w kierunku oddolnej i kierowanej przez obywateli „kultury pamiętania”, opartej na wspólnych zasadach i wartościach europejskich, skupiającej się na rozwijaniu zdolności do krytycznego przepracowywania przeszłości na szczeblu lokalnym regionalnym, krajowym i europejskim, w które zaangażowane są organizacje społeczeństwa obywatelskiego;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10.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uznaje</w:t>
      </w:r>
      <w:proofErr w:type="gramEnd"/>
      <w:r w:rsidRPr="00DF539A">
        <w:rPr>
          <w:lang w:val="pl-PL"/>
        </w:rPr>
        <w:t xml:space="preserve"> kluczowe znaczenie oparcia europejskiego podejścia do przeszłości na naszych podstawowych wartościach zapisanych w art. 2 Traktatu o Unii Europejskiej oraz na tradycjach religijnych i filozoficznych leżących u podstaw takich wartości, a także stworzenia otwartego pola do dyskusji, co umożliwi zajęcie się trudnymi elementami narodowych historii oraz wzajemne zrozumienie i pojednanie wewnątrz narodów europejskich, między nimi samymi oraz między nimi a resztą świata;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11.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uważa</w:t>
      </w:r>
      <w:proofErr w:type="gramEnd"/>
      <w:r w:rsidRPr="00DF539A">
        <w:rPr>
          <w:lang w:val="pl-PL"/>
        </w:rPr>
        <w:t>, że wolność nauczania, uczenia się i prowadzenia badań, w tym bezpłatny dostęp do archiwów i źródeł, wraz ze swobodą wypowiedzi artystycznej, jest niezbędna do tworzenia i rozpowszechniania bezstronnej i opartej na dowodach wiedzy w społeczeństwach demokratycznych, w szczególności krytycznego podejścia do historii; wzywa Komisję i państwa członkowskie do ochrony tych swobód między innymi za pomocą unijnego mechanizmu praworządności, ponieważ są obecnie zagrożone, czego szczególnie dowodzą przypadki niewłaściwego stosowania przepisów dotyczących pamięci;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12.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 xml:space="preserve"> kluczową rolę edukacji i wzywa państwa członkowskie do zaktualizowania ich obecnych programów i metodologii nauczania, aby przesunąć nacisk z historii narodowej na historię europejską i globalną oraz skupić się w większym stopniu na ponadnarodowym rozumieniu historii, w szczególności przez uwzględnienie różnych sposobów patrzenia na historię oraz wspieranie stylów nauczania, które przedkładają refleksję i dyskusję ponad przekazywanie wiedzy i są przede wszystkim nastawione na nauczenie uczniów jak, a nie co myśleć;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13.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 xml:space="preserve">, jak ważna jest nauka o integracji europejskiej, historii, instytucjach i podstawowych wartościach Unii oraz o obywatelstwie europejskim, aby wykształciło się europejskie poczucie przynależności; apeluje, aby nauczanie o europejskiej historii i integracji, które należy rozpatrywać w kontekście globalnym, oraz europejska edukacja obywatelska stały się integralną częścią krajowych systemów edukacji; docenia wysiłki podejmowane na szczeblu unijnym, aby poszerzać wiedzę o Unii i jej historii, w tym akcje „Jean </w:t>
      </w:r>
      <w:proofErr w:type="spellStart"/>
      <w:r w:rsidRPr="00DF539A">
        <w:rPr>
          <w:lang w:val="pl-PL"/>
        </w:rPr>
        <w:t>Monnet</w:t>
      </w:r>
      <w:proofErr w:type="spellEnd"/>
      <w:r w:rsidRPr="00DF539A">
        <w:rPr>
          <w:lang w:val="pl-PL"/>
        </w:rPr>
        <w:t xml:space="preserve">”; wzywa Komisję i państwa członkowskie, by starały się – między innymi za pośrednictwem grupy roboczej europejskiego obszaru edukacji ds. równości i wartości – osiągnąć konkretne rezultaty w rozwoju europejskiej świadomości historycznej oraz by wspólnie </w:t>
      </w:r>
      <w:proofErr w:type="gramStart"/>
      <w:r w:rsidRPr="00DF539A">
        <w:rPr>
          <w:lang w:val="pl-PL"/>
        </w:rPr>
        <w:t>opracowały</w:t>
      </w:r>
      <w:proofErr w:type="gramEnd"/>
      <w:r w:rsidRPr="00DF539A">
        <w:rPr>
          <w:lang w:val="pl-PL"/>
        </w:rPr>
        <w:t xml:space="preserve"> „Podręcznik UE” na zajęcia objęte programem nauczania, który będzie zawierał wspólne wytyczne oraz bezstronne fakty i dane liczbowe do wykorzystania w nauczaniu historii Europy;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14.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uważa</w:t>
      </w:r>
      <w:proofErr w:type="gramEnd"/>
      <w:r w:rsidRPr="00DF539A">
        <w:rPr>
          <w:lang w:val="pl-PL"/>
        </w:rPr>
        <w:t xml:space="preserve">, że szowinizm, stereotypy płciowe, asymetria władzy i nierówności strukturalne są głęboko zakorzenione w historii Europy i ubolewa, że w nauczaniu historii brakuje </w:t>
      </w:r>
      <w:r w:rsidRPr="00DF539A">
        <w:rPr>
          <w:lang w:val="pl-PL"/>
        </w:rPr>
        <w:lastRenderedPageBreak/>
        <w:t>wielokulturowości i uwzględniania aspektu płci; uważa, że kluczowe znaczenie ma zajęcie się kwestią marginalizacji kobiet i innych niedostatecznie reprezentowanych grup społecznych w historii, i wzywa państwa członkowskie, by dopilnowały, aby w krajowych programach nauczania stawiano na to odpowiedni nacisk;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15.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 xml:space="preserve">, że nauczanie historii powinno być interdyscyplinarne i </w:t>
      </w:r>
      <w:proofErr w:type="spellStart"/>
      <w:r w:rsidRPr="00DF539A">
        <w:rPr>
          <w:lang w:val="pl-PL"/>
        </w:rPr>
        <w:t>intersekcjonalne</w:t>
      </w:r>
      <w:proofErr w:type="spellEnd"/>
      <w:r w:rsidRPr="00DF539A">
        <w:rPr>
          <w:lang w:val="pl-PL"/>
        </w:rPr>
        <w:t xml:space="preserve"> oraz należy w nim stosować innowacyjne i ukierunkowane na osobę uczącą się metody, takie jak metody interaktywne, narracyjne i oparte na wyciąganiu wniosków dla wszystkich pokoleń, z wykorzystaniem kompleksowego zestawu źródeł, technologii i materiałów edukacyjnych, w tym transgranicznych i transnarodowych podręczników i historii przekazywanej ustnie, oraz promować umiejętności analityczne i krytyczne myślenia;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16.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uznaje</w:t>
      </w:r>
      <w:proofErr w:type="gramEnd"/>
      <w:r w:rsidRPr="00DF539A">
        <w:rPr>
          <w:lang w:val="pl-PL"/>
        </w:rPr>
        <w:t xml:space="preserve"> centralną rolę, jaką odgrywają nauczyciele w kształtowaniu się i przekazywaniu kompetencji, które są konieczne do zrozumienia i krytycznej oceny faktów historycznych, oraz podkreśla, jak ważne jest, by nauczyciele nie tylko otrzymywali odpowiednie szkolenie, ale również nieustannie doskonalili się zawodowo, w tym angażowali się w partnerskie uczenie się i wymianę najlepszych praktyk na szczeblu zarówno krajowym, jak i ponadnarodowym; podkreśla w tym kontekście wartość akademii nauczycielskich Erasmus+;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17.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wzywa</w:t>
      </w:r>
      <w:proofErr w:type="gramEnd"/>
      <w:r w:rsidRPr="00DF539A">
        <w:rPr>
          <w:lang w:val="pl-PL"/>
        </w:rPr>
        <w:t xml:space="preserve"> państwa członkowskie do zapewnienia nauczycielom (historii) zindywidualizowanych materiałów i szkoleń, które umożliwią im poznanie ponadnarodowych aspektów i bogactwa historii, odpowiednich metod dydaktycznych i zasad nowoczesnego nauczania i których głównym celem będzie kształcenie </w:t>
      </w:r>
      <w:proofErr w:type="spellStart"/>
      <w:r w:rsidRPr="00DF539A">
        <w:rPr>
          <w:lang w:val="pl-PL"/>
        </w:rPr>
        <w:t>autorefleksyjnych</w:t>
      </w:r>
      <w:proofErr w:type="spellEnd"/>
      <w:r w:rsidRPr="00DF539A">
        <w:rPr>
          <w:lang w:val="pl-PL"/>
        </w:rPr>
        <w:t xml:space="preserve"> młodych ludzi;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18.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>, że ogromne znaczenie ma gromadzenie danych oraz porównywanie i ocenianie metod i narzędzi nauczania historii, oraz z zadowoleniem przyjmuje prace wyspecjalizowanych organizacji zarówno rządowych, jak i pozarządowych działających w tej dziedzinie, w tym obserwatorium nauczania historii w Europie Rady Europy i EUROCLIO; podkreśla, że do obserwatorium powinno przystąpić więcej państw członkowskich UE;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19.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zauważa</w:t>
      </w:r>
      <w:proofErr w:type="gramEnd"/>
      <w:r w:rsidRPr="00DF539A">
        <w:rPr>
          <w:lang w:val="pl-PL"/>
        </w:rPr>
        <w:t>, że muzea mają potencjał, by krytycznie zajmować się budzącą spory historią Europy, a jednocześnie szerzyć wiedzę o przeszłości i budować świadomość historyczną, czego najlepszym przykładem jest Dom Historii Europejskiej, sztandarowy projekt, na który należy przeznaczyć odpowiednie zasoby, aby umożliwić mu szersze oddziaływanie na opinię publiczną w Europie;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20.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 xml:space="preserve">, jak ważne jest zachowywanie bogatego dziedzictwa kulturowego i historycznego Europy oraz miejsc pamięci, zwłaszcza dla budowania krytycznej świadomości historycznej, pod warunkiem że nie nadużywa się ich do celów ideologicznych, oraz podkreśla rolę, jaką w tym względzie mogą odegrać znak dziedzictwa europejskiego i niezależne instytucje promujące dziedzictwo europejskie, zarówno materialne, jak i niematerialne; zachęca państwa członkowskie, by wzmogły wysiłki na rzecz określania i ochrony miejsc pamięci demokratycznej, zwłaszcza tych związanych z grupami niedostatecznie reprezentowanymi; podkreśla potencjał </w:t>
      </w:r>
      <w:proofErr w:type="spellStart"/>
      <w:r w:rsidRPr="00DF539A">
        <w:rPr>
          <w:lang w:val="pl-PL"/>
        </w:rPr>
        <w:t>Europeany</w:t>
      </w:r>
      <w:proofErr w:type="spellEnd"/>
      <w:r w:rsidRPr="00DF539A">
        <w:rPr>
          <w:lang w:val="pl-PL"/>
        </w:rPr>
        <w:t xml:space="preserve"> jako europejskiej biblioteki cyfrowej, archiwum, muzeum i platformy edukacyjnej;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lastRenderedPageBreak/>
        <w:t>21.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dostrzega</w:t>
      </w:r>
      <w:proofErr w:type="gramEnd"/>
      <w:r w:rsidRPr="00DF539A">
        <w:rPr>
          <w:lang w:val="pl-PL"/>
        </w:rPr>
        <w:t xml:space="preserve"> potencjał mediów cyfrowych i rosnący poziom cyfryzacji w nauczaniu, a jednocześnie wyraża głębokie zaniepokojenie coraz większym wykorzystywaniem kanałów cyfrowych do manipulacji politycznych i rozpowszechniania dezinformacji, w tym tych dotyczących historii, czego przykładem jest rosyjski rewizjonizm historyczny, który towarzyszy rosyjskiej wojnie napastniczej przeciwko Ukrainie; wzywa Komisję i państwa członkowskie, by wzmogły wysiłki na rzecz rozwoju umiejętności korzystania z mediów i umiejętności cyfrowych oraz wyposażenia nauczycieli i uczniów w odpowiednie kompetencje i narzędzia, które ułatwią im oparte na faktach nauczanie historii oraz umożliwiają im identyfikację, </w:t>
      </w:r>
      <w:proofErr w:type="spellStart"/>
      <w:r w:rsidRPr="00DF539A">
        <w:rPr>
          <w:lang w:val="pl-PL"/>
        </w:rPr>
        <w:t>kontekstualizację</w:t>
      </w:r>
      <w:proofErr w:type="spellEnd"/>
      <w:r w:rsidRPr="00DF539A">
        <w:rPr>
          <w:lang w:val="pl-PL"/>
        </w:rPr>
        <w:t xml:space="preserve"> i analizę tradycyjnych i współczesnych źródeł historycznych;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22.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podkreśla</w:t>
      </w:r>
      <w:proofErr w:type="gramEnd"/>
      <w:r w:rsidRPr="00DF539A">
        <w:rPr>
          <w:lang w:val="pl-PL"/>
        </w:rPr>
        <w:t>, że transgraniczne możliwości mobilności edukacyjnej oferowane przez programy europejskie i inne programy mobilności sprzyjają wymianie pomysłów, upowszechnianiu wiedzy przekrojowej i zrozumieniu międzykulturowemu, pomagają pokonywać bariery krajowe i zapewniają lepsze zrozumienie przeszłości i teraźniejszości;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23.</w:t>
      </w:r>
      <w:r w:rsidRPr="00DF539A">
        <w:rPr>
          <w:lang w:val="pl-PL"/>
        </w:rPr>
        <w:tab/>
        <w:t>wzywa Komisję i państwa członkowskie do wzmocnienia narzędzi dostępnych obecnie na szczeblu europejskim, aby rozwijać krytyczną i (auto</w:t>
      </w:r>
      <w:proofErr w:type="gramStart"/>
      <w:r w:rsidRPr="00DF539A">
        <w:rPr>
          <w:lang w:val="pl-PL"/>
        </w:rPr>
        <w:t>)refleksyjną</w:t>
      </w:r>
      <w:proofErr w:type="gramEnd"/>
      <w:r w:rsidRPr="00DF539A">
        <w:rPr>
          <w:lang w:val="pl-PL"/>
        </w:rPr>
        <w:t xml:space="preserve"> europejską świadomość historyczną – obejmuje to zwłaszcza program Erasmus+, który promuje mobilność i międzykulturowe uczenie się jako kluczowe narzędzia lepszego rozumienia innych kultur i narodów, oraz program CERV, który wspiera transgraniczne projekty pamięci o przeszłości i promuje zaangażowanie obywatelskie;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24.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zwraca</w:t>
      </w:r>
      <w:proofErr w:type="gramEnd"/>
      <w:r w:rsidRPr="00DF539A">
        <w:rPr>
          <w:lang w:val="pl-PL"/>
        </w:rPr>
        <w:t xml:space="preserve"> się do instytucji europejskich, państw członkowskich, krajów kandydujących i potencjalnych krajów kandydujących, instytucji edukacyjnych i podmiotów społeczeństwa obywatelskiego, by bardziej zdecydowanie starały się wspierać pojednanie, powstrzymywały się od wszelkich prób wykorzystywania historii do celów politycznych i reagowały na takie próby oraz zwalczały rewizjonizm historyczny i negowanie historii zarówno w Unii Europejskiej, jak i poza nią; przypomina, jak ważne są te działania dla przyszłych rozszerzeń Unii;</w:t>
      </w:r>
    </w:p>
    <w:p w:rsidR="00BA4981" w:rsidRPr="00DF539A" w:rsidRDefault="00BA4981" w:rsidP="00BA4981">
      <w:pPr>
        <w:pStyle w:val="Normal12a24b"/>
        <w:rPr>
          <w:lang w:val="pl-PL"/>
        </w:rPr>
      </w:pPr>
      <w:r w:rsidRPr="00DF539A">
        <w:rPr>
          <w:rStyle w:val="BoldItalic"/>
          <w:lang w:val="pl-PL"/>
        </w:rPr>
        <w:t>Spojrzenie na spuściznę przeszłości i przyszłość UE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25.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opowiada</w:t>
      </w:r>
      <w:proofErr w:type="gramEnd"/>
      <w:r w:rsidRPr="00DF539A">
        <w:rPr>
          <w:lang w:val="pl-PL"/>
        </w:rPr>
        <w:t xml:space="preserve"> się za ideałami kultury pamiętania i świadomości historycznej w oparciu o wspólne europejskie wartości i praktyki podchodzenia do przeszłości bez nadmiernego spłaszczania lub upraszczania historii;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26.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wyraża</w:t>
      </w:r>
      <w:proofErr w:type="gramEnd"/>
      <w:r w:rsidRPr="00DF539A">
        <w:rPr>
          <w:lang w:val="pl-PL"/>
        </w:rPr>
        <w:t xml:space="preserve"> nadzieję, że krytyczna autorefleksja wokół historii i odpowiedzialności historycznej na szczeblu krajowym doprowadzi do powstania prawdziwie europejskiego refleksyjnego dyskursu o przeszłości kontynentu, przy czym historia nie będzie nadużywana do celów politycznych, a europejskie ludy stworzą wspólnotę losów w oparciu o wspólne prace historyczne;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27.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przewiduje</w:t>
      </w:r>
      <w:proofErr w:type="gramEnd"/>
      <w:r w:rsidRPr="00DF539A">
        <w:rPr>
          <w:lang w:val="pl-PL"/>
        </w:rPr>
        <w:t>, że pamięci zbiorowe będą współtworzyć i ostatecznie połączą się w europejską sferę publiczną, w której rozbieżne kultury pamięci będą raczej się uzupełniać niż ze sobą rywalizować, oraz że historia stanie się przedmiotem działań obywatelskich zamiast politycznych;</w:t>
      </w:r>
    </w:p>
    <w:p w:rsidR="00BA4981" w:rsidRPr="00DF539A" w:rsidRDefault="00BA4981" w:rsidP="00BA4981">
      <w:pPr>
        <w:pStyle w:val="NormalCenter12a"/>
        <w:rPr>
          <w:lang w:val="pl-PL"/>
        </w:rPr>
      </w:pPr>
      <w:r w:rsidRPr="00DF539A">
        <w:rPr>
          <w:lang w:val="pl-PL"/>
        </w:rPr>
        <w:t>°</w:t>
      </w:r>
    </w:p>
    <w:p w:rsidR="00BA4981" w:rsidRPr="00DF539A" w:rsidRDefault="00BA4981" w:rsidP="00BA4981">
      <w:pPr>
        <w:pStyle w:val="NormalCenter12a"/>
        <w:rPr>
          <w:lang w:val="pl-PL"/>
        </w:rPr>
      </w:pPr>
      <w:r w:rsidRPr="00DF539A">
        <w:rPr>
          <w:lang w:val="pl-PL"/>
        </w:rPr>
        <w:lastRenderedPageBreak/>
        <w:t>°</w:t>
      </w:r>
      <w:r w:rsidRPr="00DF539A">
        <w:rPr>
          <w:lang w:val="pl-PL"/>
        </w:rPr>
        <w:tab/>
        <w:t>°</w:t>
      </w:r>
    </w:p>
    <w:p w:rsidR="00BA4981" w:rsidRPr="00DF539A" w:rsidRDefault="00BA4981" w:rsidP="00BA4981">
      <w:pPr>
        <w:pStyle w:val="NormalHanging12a"/>
        <w:rPr>
          <w:lang w:val="pl-PL"/>
        </w:rPr>
      </w:pPr>
      <w:r w:rsidRPr="00DF539A">
        <w:rPr>
          <w:lang w:val="pl-PL"/>
        </w:rPr>
        <w:t>28.</w:t>
      </w:r>
      <w:r w:rsidRPr="00DF539A">
        <w:rPr>
          <w:lang w:val="pl-PL"/>
        </w:rPr>
        <w:tab/>
      </w:r>
      <w:proofErr w:type="gramStart"/>
      <w:r w:rsidRPr="00DF539A">
        <w:rPr>
          <w:lang w:val="pl-PL"/>
        </w:rPr>
        <w:t>zobowiązuje</w:t>
      </w:r>
      <w:proofErr w:type="gramEnd"/>
      <w:r w:rsidRPr="00DF539A">
        <w:rPr>
          <w:lang w:val="pl-PL"/>
        </w:rPr>
        <w:t xml:space="preserve"> swoją przewodniczącą do przekazania niniejszej rezolucji Radzie i Komisji.</w:t>
      </w:r>
    </w:p>
    <w:p w:rsidR="00E365E1" w:rsidRPr="00DF539A" w:rsidRDefault="00E365E1" w:rsidP="00E73F6B">
      <w:bookmarkStart w:id="8" w:name="TextBodyEnd"/>
      <w:bookmarkEnd w:id="8"/>
    </w:p>
    <w:sectPr w:rsidR="00E365E1" w:rsidRPr="00DF539A" w:rsidSect="00DF53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F6B" w:rsidRPr="00DF539A" w:rsidRDefault="00E73F6B">
      <w:r w:rsidRPr="00DF539A">
        <w:separator/>
      </w:r>
    </w:p>
  </w:endnote>
  <w:endnote w:type="continuationSeparator" w:id="0">
    <w:p w:rsidR="00E73F6B" w:rsidRPr="00DF539A" w:rsidRDefault="00E73F6B">
      <w:r w:rsidRPr="00DF53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53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53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53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F6B" w:rsidRPr="00DF539A" w:rsidRDefault="00E73F6B">
      <w:r w:rsidRPr="00DF539A">
        <w:separator/>
      </w:r>
    </w:p>
  </w:footnote>
  <w:footnote w:type="continuationSeparator" w:id="0">
    <w:p w:rsidR="00E73F6B" w:rsidRPr="00DF539A" w:rsidRDefault="00E73F6B">
      <w:r w:rsidRPr="00DF539A">
        <w:continuationSeparator/>
      </w:r>
    </w:p>
  </w:footnote>
  <w:footnote w:id="1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1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171 z 6.5.2021,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25.</w:t>
        </w:r>
      </w:hyperlink>
    </w:p>
  </w:footnote>
  <w:footnote w:id="2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2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137 E z 27.5.2010,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25.</w:t>
        </w:r>
      </w:hyperlink>
    </w:p>
  </w:footnote>
  <w:footnote w:id="3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3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L 156 z 5.5.2021,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1.</w:t>
        </w:r>
      </w:hyperlink>
    </w:p>
  </w:footnote>
  <w:footnote w:id="4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4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205 z 20.5.2022,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17.</w:t>
        </w:r>
      </w:hyperlink>
    </w:p>
  </w:footnote>
  <w:footnote w:id="5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5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347 z 9.9.2022,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15.</w:t>
        </w:r>
      </w:hyperlink>
    </w:p>
  </w:footnote>
  <w:footnote w:id="6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6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434 z 15.11.2022,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31.</w:t>
        </w:r>
      </w:hyperlink>
    </w:p>
  </w:footnote>
  <w:footnote w:id="7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7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177 z 17.5.2023,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78.</w:t>
        </w:r>
      </w:hyperlink>
    </w:p>
  </w:footnote>
  <w:footnote w:id="8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8" w:history="1">
        <w:r w:rsidRPr="00DF539A">
          <w:rPr>
            <w:color w:val="0000FF"/>
            <w:sz w:val="24"/>
            <w:u w:val="single" w:color="0000FF"/>
            <w:lang w:val="pl-PL"/>
          </w:rPr>
          <w:t xml:space="preserve">Dz.U. C 456 z 10.11.2021, </w:t>
        </w:r>
        <w:proofErr w:type="gramStart"/>
        <w:r w:rsidRPr="00DF539A">
          <w:rPr>
            <w:color w:val="0000FF"/>
            <w:sz w:val="24"/>
            <w:u w:val="single" w:color="0000FF"/>
            <w:lang w:val="pl-PL"/>
          </w:rPr>
          <w:t>s</w:t>
        </w:r>
        <w:proofErr w:type="gramEnd"/>
        <w:r w:rsidRPr="00DF539A">
          <w:rPr>
            <w:color w:val="0000FF"/>
            <w:sz w:val="24"/>
            <w:u w:val="single" w:color="0000FF"/>
            <w:lang w:val="pl-PL"/>
          </w:rPr>
          <w:t>. 208.</w:t>
        </w:r>
      </w:hyperlink>
    </w:p>
  </w:footnote>
  <w:footnote w:id="9">
    <w:p w:rsidR="00BA4981" w:rsidRPr="00DF539A" w:rsidRDefault="00BA4981" w:rsidP="00DF539A">
      <w:pPr>
        <w:pStyle w:val="FootnoteText"/>
        <w:ind w:left="567" w:hanging="567"/>
        <w:rPr>
          <w:sz w:val="24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r w:rsidRPr="00DF539A">
        <w:rPr>
          <w:sz w:val="24"/>
          <w:lang w:val="pl-PL"/>
        </w:rPr>
        <w:t>Zob.: https</w:t>
      </w:r>
      <w:proofErr w:type="gramStart"/>
      <w:r w:rsidRPr="00DF539A">
        <w:rPr>
          <w:sz w:val="24"/>
          <w:lang w:val="pl-PL"/>
        </w:rPr>
        <w:t>://rm</w:t>
      </w:r>
      <w:proofErr w:type="gramEnd"/>
      <w:r w:rsidRPr="00DF539A">
        <w:rPr>
          <w:sz w:val="24"/>
          <w:lang w:val="pl-PL"/>
        </w:rPr>
        <w:t>.coe.</w:t>
      </w:r>
      <w:proofErr w:type="gramStart"/>
      <w:r w:rsidRPr="00DF539A">
        <w:rPr>
          <w:sz w:val="24"/>
          <w:lang w:val="pl-PL"/>
        </w:rPr>
        <w:t>int</w:t>
      </w:r>
      <w:proofErr w:type="gramEnd"/>
      <w:r w:rsidRPr="00DF539A">
        <w:rPr>
          <w:sz w:val="24"/>
          <w:lang w:val="pl-PL"/>
        </w:rPr>
        <w:t>/168006457e.</w:t>
      </w:r>
    </w:p>
  </w:footnote>
  <w:footnote w:id="10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9" w:history="1">
        <w:r w:rsidRPr="00DF539A">
          <w:rPr>
            <w:color w:val="0000FF"/>
            <w:sz w:val="24"/>
            <w:u w:val="single" w:color="0000FF"/>
            <w:lang w:val="pl-PL"/>
          </w:rPr>
          <w:t>Badanie – „</w:t>
        </w:r>
        <w:proofErr w:type="spellStart"/>
        <w:r w:rsidRPr="00DF539A">
          <w:rPr>
            <w:color w:val="0000FF"/>
            <w:sz w:val="24"/>
            <w:u w:val="single" w:color="0000FF"/>
            <w:lang w:val="pl-PL"/>
          </w:rPr>
          <w:t>European</w:t>
        </w:r>
        <w:proofErr w:type="spellEnd"/>
        <w:r w:rsidRPr="00DF539A">
          <w:rPr>
            <w:color w:val="0000FF"/>
            <w:sz w:val="24"/>
            <w:u w:val="single" w:color="0000FF"/>
            <w:lang w:val="pl-PL"/>
          </w:rPr>
          <w:t xml:space="preserve"> </w:t>
        </w:r>
        <w:proofErr w:type="spellStart"/>
        <w:r w:rsidRPr="00DF539A">
          <w:rPr>
            <w:color w:val="0000FF"/>
            <w:sz w:val="24"/>
            <w:u w:val="single" w:color="0000FF"/>
            <w:lang w:val="pl-PL"/>
          </w:rPr>
          <w:t>Historical</w:t>
        </w:r>
        <w:proofErr w:type="spellEnd"/>
        <w:r w:rsidRPr="00DF539A">
          <w:rPr>
            <w:color w:val="0000FF"/>
            <w:sz w:val="24"/>
            <w:u w:val="single" w:color="0000FF"/>
            <w:lang w:val="pl-PL"/>
          </w:rPr>
          <w:t xml:space="preserve"> Memory: </w:t>
        </w:r>
        <w:proofErr w:type="spellStart"/>
        <w:r w:rsidRPr="00DF539A">
          <w:rPr>
            <w:color w:val="0000FF"/>
            <w:sz w:val="24"/>
            <w:u w:val="single" w:color="0000FF"/>
            <w:lang w:val="pl-PL"/>
          </w:rPr>
          <w:t>Policies</w:t>
        </w:r>
        <w:proofErr w:type="spellEnd"/>
        <w:r w:rsidRPr="00DF539A">
          <w:rPr>
            <w:color w:val="0000FF"/>
            <w:sz w:val="24"/>
            <w:u w:val="single" w:color="0000FF"/>
            <w:lang w:val="pl-PL"/>
          </w:rPr>
          <w:t xml:space="preserve">, </w:t>
        </w:r>
        <w:proofErr w:type="spellStart"/>
        <w:r w:rsidRPr="00DF539A">
          <w:rPr>
            <w:color w:val="0000FF"/>
            <w:sz w:val="24"/>
            <w:u w:val="single" w:color="0000FF"/>
            <w:lang w:val="pl-PL"/>
          </w:rPr>
          <w:t>Challenges</w:t>
        </w:r>
        <w:proofErr w:type="spellEnd"/>
        <w:r w:rsidRPr="00DF539A">
          <w:rPr>
            <w:color w:val="0000FF"/>
            <w:sz w:val="24"/>
            <w:u w:val="single" w:color="0000FF"/>
            <w:lang w:val="pl-PL"/>
          </w:rPr>
          <w:t xml:space="preserve"> and </w:t>
        </w:r>
        <w:proofErr w:type="spellStart"/>
        <w:r w:rsidRPr="00DF539A">
          <w:rPr>
            <w:color w:val="0000FF"/>
            <w:sz w:val="24"/>
            <w:u w:val="single" w:color="0000FF"/>
            <w:lang w:val="pl-PL"/>
          </w:rPr>
          <w:t>Perspectives</w:t>
        </w:r>
        <w:proofErr w:type="spellEnd"/>
        <w:r w:rsidRPr="00DF539A">
          <w:rPr>
            <w:color w:val="0000FF"/>
            <w:sz w:val="24"/>
            <w:u w:val="single" w:color="0000FF"/>
            <w:lang w:val="pl-PL"/>
          </w:rPr>
          <w:t>” [Europejska pamięć historyczna: strategie polityczne, wyzwania i perspektywy] (wydanie drugie), Parlament Europejski, Dyrekcja Generalna ds. Polityki Wewnętrznej Unii Europejskiej, Departament Tematyczny ds. Polityki Strukturalnej i Polityki Spójności, kwiecień 2015 r.</w:t>
        </w:r>
      </w:hyperlink>
    </w:p>
  </w:footnote>
  <w:footnote w:id="11">
    <w:p w:rsidR="00BA4981" w:rsidRPr="00DF539A" w:rsidRDefault="00BA4981" w:rsidP="00DF539A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DF539A">
        <w:rPr>
          <w:rStyle w:val="FootnoteReference"/>
          <w:sz w:val="24"/>
          <w:lang w:val="pl-PL"/>
        </w:rPr>
        <w:footnoteRef/>
      </w:r>
      <w:r w:rsidR="00DF539A" w:rsidRPr="00DF539A">
        <w:rPr>
          <w:sz w:val="24"/>
          <w:lang w:val="pl-PL"/>
        </w:rPr>
        <w:t xml:space="preserve"> </w:t>
      </w:r>
      <w:r w:rsidR="00DF539A" w:rsidRPr="00DF539A">
        <w:rPr>
          <w:sz w:val="24"/>
          <w:lang w:val="pl-PL"/>
        </w:rPr>
        <w:tab/>
      </w:r>
      <w:hyperlink r:id="rId10" w:history="1">
        <w:r w:rsidRPr="00DF539A">
          <w:rPr>
            <w:color w:val="0000FF"/>
            <w:sz w:val="24"/>
            <w:u w:val="single" w:color="0000FF"/>
            <w:lang w:val="pl-PL"/>
          </w:rPr>
          <w:t>Badanie – „</w:t>
        </w:r>
        <w:proofErr w:type="spellStart"/>
        <w:r w:rsidRPr="00DF539A">
          <w:rPr>
            <w:color w:val="0000FF"/>
            <w:sz w:val="24"/>
            <w:u w:val="single" w:color="0000FF"/>
            <w:lang w:val="pl-PL"/>
          </w:rPr>
          <w:t>European</w:t>
        </w:r>
        <w:proofErr w:type="spellEnd"/>
        <w:r w:rsidRPr="00DF539A">
          <w:rPr>
            <w:color w:val="0000FF"/>
            <w:sz w:val="24"/>
            <w:u w:val="single" w:color="0000FF"/>
            <w:lang w:val="pl-PL"/>
          </w:rPr>
          <w:t xml:space="preserve"> Identity” [Europejska tożsamość], Parlament Europejski, Dyrekcja Generalna ds. Polityki Wewnętrznej Unii Europejskiej, Departament Tematyczny B ds. Polityki Strukturalnej i Polityki Spójności, kwiecień 2017 r.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53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53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53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PL"/>
    <w:docVar w:name="dvnumam" w:val="0"/>
    <w:docVar w:name="dvpe" w:val="752.701"/>
    <w:docVar w:name="dvrapporteur" w:val="Sprawozdawca: "/>
    <w:docVar w:name="dvstar" w:val="??"/>
    <w:docVar w:name="dvtitre" w:val="Rezolucja Parlamentu Europejskiego z dnia  2024 r. w sprawie europejskiej świadomości historycznej(2023/2112(INI))"/>
  </w:docVars>
  <w:rsids>
    <w:rsidRoot w:val="00E73F6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4DB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981"/>
    <w:rsid w:val="00BA4F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F4A"/>
    <w:rsid w:val="00DA7FCD"/>
    <w:rsid w:val="00DF539A"/>
    <w:rsid w:val="00E365E1"/>
    <w:rsid w:val="00E73F6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EE129"/>
  <w15:chartTrackingRefBased/>
  <w15:docId w15:val="{EB5211F7-9F46-46DD-9D5B-20FAC84E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4981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BA4981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BA4981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BA4981"/>
    <w:rPr>
      <w:b/>
      <w:i/>
      <w:u w:val="none"/>
    </w:rPr>
  </w:style>
  <w:style w:type="character" w:customStyle="1" w:styleId="Italic">
    <w:name w:val="Italic"/>
    <w:uiPriority w:val="1"/>
    <w:rsid w:val="00BA4981"/>
    <w:rPr>
      <w:i/>
    </w:rPr>
  </w:style>
  <w:style w:type="paragraph" w:customStyle="1" w:styleId="Normal12a24b">
    <w:name w:val="Normal12a24b"/>
    <w:basedOn w:val="Normal"/>
    <w:rsid w:val="00BA4981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uriserv:OJ.C_.2021.456.01.0208.01.ENG" TargetMode="External"/><Relationship Id="rId3" Type="http://schemas.openxmlformats.org/officeDocument/2006/relationships/hyperlink" Target="https://eur-lex.europa.eu/legal-content/EN/TXT/?uri=uriserv%3AOJ.L_.2021.156.01.0001.01.ENG" TargetMode="External"/><Relationship Id="rId7" Type="http://schemas.openxmlformats.org/officeDocument/2006/relationships/hyperlink" Target="https://eur-lex.europa.eu/legal-content/EN/TXT/?uri=CELEX%3A52022IP0444" TargetMode="External"/><Relationship Id="rId2" Type="http://schemas.openxmlformats.org/officeDocument/2006/relationships/hyperlink" Target="https://eur-lex.europa.eu/legal-content/EN/TXT/?uri=CELEX:52009IP0213" TargetMode="External"/><Relationship Id="rId1" Type="http://schemas.openxmlformats.org/officeDocument/2006/relationships/hyperlink" Target="https://eur-lex.europa.eu/legal-content/EN/TXT/?uri=CELEX%3A52019IP0021" TargetMode="External"/><Relationship Id="rId6" Type="http://schemas.openxmlformats.org/officeDocument/2006/relationships/hyperlink" Target="https://eur-lex.europa.eu/legal-content/EN/TXT/?uri=CELEX%3A52022IP0114" TargetMode="External"/><Relationship Id="rId5" Type="http://schemas.openxmlformats.org/officeDocument/2006/relationships/hyperlink" Target="https://eur-lex.europa.eu/legal-content/EN/TXT/?uri=CELEX:52022IP0057" TargetMode="External"/><Relationship Id="rId10" Type="http://schemas.openxmlformats.org/officeDocument/2006/relationships/hyperlink" Target="https://www.europarl.europa.eu/thinktank/en/document/IPOL_STU(2017)585921" TargetMode="External"/><Relationship Id="rId4" Type="http://schemas.openxmlformats.org/officeDocument/2006/relationships/hyperlink" Target="https://eur-lex.europa.eu/legal-content/EN/TXT/?uri=CELEX%3A52021IP0452" TargetMode="External"/><Relationship Id="rId9" Type="http://schemas.openxmlformats.org/officeDocument/2006/relationships/hyperlink" Target="https://www.europarl.europa.eu/thinktank/en/document/IPOL_STU(2015)540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694FA-6FC8-4955-9DD7-60821A96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2788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2024-01-17T11:55:00Z</dcterms:created>
  <dcterms:modified xsi:type="dcterms:W3CDTF">2024-01-17T11:55:00Z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