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86B4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86B4E" w:rsidRDefault="00AB196D" w:rsidP="0010095E">
            <w:pPr>
              <w:pStyle w:val="EPName"/>
            </w:pPr>
            <w:bookmarkStart w:id="0" w:name="_GoBack"/>
            <w:bookmarkEnd w:id="0"/>
            <w:r w:rsidRPr="00B86B4E">
              <w:t>Európsky parlament</w:t>
            </w:r>
          </w:p>
          <w:p w:rsidR="00751A4A" w:rsidRPr="00B86B4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86B4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86B4E" w:rsidRDefault="00187494" w:rsidP="0010095E">
            <w:pPr>
              <w:pStyle w:val="EPLogo"/>
            </w:pPr>
            <w:r w:rsidRPr="00B86B4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86B4E" w:rsidRDefault="00D058B8" w:rsidP="004C5D52">
      <w:pPr>
        <w:pStyle w:val="LineTop"/>
      </w:pPr>
    </w:p>
    <w:p w:rsidR="00680577" w:rsidRPr="00B86B4E" w:rsidRDefault="00AB196D" w:rsidP="00680577">
      <w:pPr>
        <w:pStyle w:val="EPBodyTA1"/>
      </w:pPr>
      <w:r w:rsidRPr="00B86B4E">
        <w:t>PRIJATÉ TEXTY</w:t>
      </w:r>
    </w:p>
    <w:p w:rsidR="00D058B8" w:rsidRPr="00B86B4E" w:rsidRDefault="00D058B8" w:rsidP="00D058B8">
      <w:pPr>
        <w:pStyle w:val="LineBottom"/>
      </w:pPr>
    </w:p>
    <w:p w:rsidR="00AB196D" w:rsidRPr="00B86B4E" w:rsidRDefault="00AB196D" w:rsidP="00AB196D">
      <w:pPr>
        <w:pStyle w:val="ATHeading1"/>
      </w:pPr>
      <w:bookmarkStart w:id="1" w:name="TANumber"/>
      <w:r w:rsidRPr="00B86B4E">
        <w:t>P9_TA(2024)00</w:t>
      </w:r>
      <w:r w:rsidR="00B86B4E" w:rsidRPr="00B86B4E">
        <w:t>30</w:t>
      </w:r>
      <w:bookmarkEnd w:id="1"/>
    </w:p>
    <w:p w:rsidR="00AB196D" w:rsidRPr="00B86B4E" w:rsidRDefault="00AB196D" w:rsidP="00AB196D">
      <w:pPr>
        <w:pStyle w:val="ATHeading2"/>
      </w:pPr>
      <w:bookmarkStart w:id="2" w:name="title"/>
      <w:r w:rsidRPr="00B86B4E">
        <w:t>Európske historické vedomie</w:t>
      </w:r>
      <w:bookmarkEnd w:id="2"/>
    </w:p>
    <w:p w:rsidR="00AB196D" w:rsidRPr="00B86B4E" w:rsidRDefault="00AB196D" w:rsidP="00AB196D">
      <w:pPr>
        <w:rPr>
          <w:i/>
          <w:vanish/>
        </w:rPr>
      </w:pPr>
      <w:r w:rsidRPr="00B86B4E">
        <w:rPr>
          <w:i/>
        </w:rPr>
        <w:fldChar w:fldCharType="begin"/>
      </w:r>
      <w:r w:rsidRPr="00B86B4E">
        <w:rPr>
          <w:i/>
        </w:rPr>
        <w:instrText xml:space="preserve"> TC"(</w:instrText>
      </w:r>
      <w:bookmarkStart w:id="3" w:name="DocNumber"/>
      <w:r w:rsidRPr="00B86B4E">
        <w:rPr>
          <w:i/>
        </w:rPr>
        <w:instrText>A9-0402/2023</w:instrText>
      </w:r>
      <w:bookmarkEnd w:id="3"/>
      <w:r w:rsidRPr="00B86B4E">
        <w:rPr>
          <w:i/>
        </w:rPr>
        <w:instrText xml:space="preserve"> - Spravodajkyňa: </w:instrText>
      </w:r>
      <w:proofErr w:type="spellStart"/>
      <w:r w:rsidRPr="00B86B4E">
        <w:rPr>
          <w:i/>
        </w:rPr>
        <w:instrText>Sabine</w:instrText>
      </w:r>
      <w:proofErr w:type="spellEnd"/>
      <w:r w:rsidRPr="00B86B4E">
        <w:rPr>
          <w:i/>
        </w:rPr>
        <w:instrText xml:space="preserve"> </w:instrText>
      </w:r>
      <w:proofErr w:type="spellStart"/>
      <w:r w:rsidRPr="00B86B4E">
        <w:rPr>
          <w:i/>
        </w:rPr>
        <w:instrText>Verheyen</w:instrText>
      </w:r>
      <w:proofErr w:type="spellEnd"/>
      <w:r w:rsidRPr="00B86B4E">
        <w:rPr>
          <w:i/>
        </w:rPr>
        <w:instrText xml:space="preserve">)"\l3 \n&gt; \* MERGEFORMAT </w:instrText>
      </w:r>
      <w:r w:rsidRPr="00B86B4E">
        <w:rPr>
          <w:i/>
        </w:rPr>
        <w:fldChar w:fldCharType="end"/>
      </w:r>
    </w:p>
    <w:p w:rsidR="00AB196D" w:rsidRPr="00B86B4E" w:rsidRDefault="00AB196D" w:rsidP="00AB196D">
      <w:pPr>
        <w:rPr>
          <w:vanish/>
        </w:rPr>
      </w:pPr>
      <w:bookmarkStart w:id="4" w:name="Commission"/>
      <w:r w:rsidRPr="00B86B4E">
        <w:rPr>
          <w:vanish/>
        </w:rPr>
        <w:t>Výbor pre kultúru a vzdelávanie</w:t>
      </w:r>
      <w:bookmarkEnd w:id="4"/>
    </w:p>
    <w:p w:rsidR="00AB196D" w:rsidRPr="00B86B4E" w:rsidRDefault="00AB196D" w:rsidP="00AB196D">
      <w:pPr>
        <w:rPr>
          <w:vanish/>
        </w:rPr>
      </w:pPr>
      <w:bookmarkStart w:id="5" w:name="PE"/>
      <w:r w:rsidRPr="00B86B4E">
        <w:rPr>
          <w:vanish/>
        </w:rPr>
        <w:t>PE752.701</w:t>
      </w:r>
      <w:bookmarkEnd w:id="5"/>
    </w:p>
    <w:p w:rsidR="00AB196D" w:rsidRPr="00B86B4E" w:rsidRDefault="00AB196D" w:rsidP="00AB196D">
      <w:pPr>
        <w:pStyle w:val="ATHeading3"/>
      </w:pPr>
      <w:bookmarkStart w:id="6" w:name="Sujet"/>
      <w:r w:rsidRPr="00B86B4E">
        <w:t>Uznesenie Európskeho parlamentu z</w:t>
      </w:r>
      <w:r w:rsidR="00B86B4E" w:rsidRPr="00B86B4E">
        <w:t>o</w:t>
      </w:r>
      <w:r w:rsidRPr="00B86B4E">
        <w:t xml:space="preserve"> </w:t>
      </w:r>
      <w:r w:rsidR="00B86B4E" w:rsidRPr="00B86B4E">
        <w:t>17</w:t>
      </w:r>
      <w:r w:rsidRPr="00B86B4E">
        <w:t>. januára 2024 o európskom historickom vedomí</w:t>
      </w:r>
      <w:bookmarkEnd w:id="6"/>
      <w:r w:rsidRPr="00B86B4E">
        <w:t xml:space="preserve"> </w:t>
      </w:r>
      <w:bookmarkStart w:id="7" w:name="References"/>
      <w:r w:rsidRPr="00B86B4E">
        <w:t>(2023/2112(INI))</w:t>
      </w:r>
      <w:bookmarkEnd w:id="7"/>
    </w:p>
    <w:p w:rsidR="00405483" w:rsidRPr="00B86B4E" w:rsidRDefault="00405483" w:rsidP="00405483">
      <w:pPr>
        <w:pStyle w:val="EPComma"/>
        <w:rPr>
          <w:lang w:val="sk-SK"/>
        </w:rPr>
      </w:pPr>
      <w:bookmarkStart w:id="8" w:name="TextBodyBegin"/>
      <w:bookmarkEnd w:id="8"/>
      <w:r w:rsidRPr="00B86B4E">
        <w:rPr>
          <w:rStyle w:val="Italic"/>
          <w:lang w:val="sk-SK"/>
        </w:rPr>
        <w:t>Európsky parlament</w:t>
      </w:r>
      <w:r w:rsidRPr="00B86B4E">
        <w:rPr>
          <w:lang w:val="sk-SK"/>
        </w:rPr>
        <w:t>,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–</w:t>
      </w:r>
      <w:r w:rsidRPr="00B86B4E">
        <w:rPr>
          <w:lang w:val="sk-SK"/>
        </w:rPr>
        <w:tab/>
        <w:t>so zreteľom na článok 165 Zmluvy o fungovaní Európskej únie,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–</w:t>
      </w:r>
      <w:r w:rsidRPr="00B86B4E">
        <w:rPr>
          <w:lang w:val="sk-SK"/>
        </w:rPr>
        <w:tab/>
        <w:t>so zreteľom na svoje uznesenie z 19. septembra 2019 o dôležitosti európskeho historického povedomia pre budúcnosť Európy</w:t>
      </w:r>
      <w:r w:rsidRPr="00B86B4E">
        <w:rPr>
          <w:rStyle w:val="FootnoteReference"/>
          <w:lang w:val="sk-SK"/>
        </w:rPr>
        <w:footnoteReference w:id="1"/>
      </w:r>
      <w:r w:rsidRPr="00B86B4E">
        <w:rPr>
          <w:lang w:val="sk-SK"/>
        </w:rPr>
        <w:t>,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–</w:t>
      </w:r>
      <w:r w:rsidRPr="00B86B4E">
        <w:rPr>
          <w:lang w:val="sk-SK"/>
        </w:rPr>
        <w:tab/>
        <w:t>so zreteľom na svoje uznesenie z 2. apríla 2009 o svedomí Európy a totalitarizme</w:t>
      </w:r>
      <w:r w:rsidRPr="00B86B4E">
        <w:rPr>
          <w:rStyle w:val="FootnoteReference"/>
          <w:lang w:val="sk-SK"/>
        </w:rPr>
        <w:footnoteReference w:id="2"/>
      </w:r>
      <w:r w:rsidRPr="00B86B4E">
        <w:rPr>
          <w:lang w:val="sk-SK"/>
        </w:rPr>
        <w:t>,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–</w:t>
      </w:r>
      <w:r w:rsidRPr="00B86B4E">
        <w:rPr>
          <w:lang w:val="sk-SK"/>
        </w:rPr>
        <w:tab/>
        <w:t>so zreteľom na nariadenie Európskeho parlamentu a Rady (EÚ) 2021/692 z 28. apríla 2021, ktorým sa zriaďuje program Občania, rovnosť, práva a hodnoty a zrušuje nariadenie Európskeho parlamentu a Rady (EÚ) č. 1381/2013 a nariadenie Rady (EÚ) č. 390/2014</w:t>
      </w:r>
      <w:r w:rsidRPr="00B86B4E">
        <w:rPr>
          <w:rStyle w:val="FootnoteReference"/>
          <w:lang w:val="sk-SK"/>
        </w:rPr>
        <w:footnoteReference w:id="3"/>
      </w:r>
      <w:r w:rsidRPr="00B86B4E">
        <w:rPr>
          <w:lang w:val="sk-SK"/>
        </w:rPr>
        <w:t>,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–</w:t>
      </w:r>
      <w:r w:rsidRPr="00B86B4E">
        <w:rPr>
          <w:lang w:val="sk-SK"/>
        </w:rPr>
        <w:tab/>
        <w:t>so zreteľom na svoje uznesenie z 11. novembra 2021 o európskom vzdelávacom priestore: spoločný celostný prístup</w:t>
      </w:r>
      <w:r w:rsidRPr="00B86B4E">
        <w:rPr>
          <w:rStyle w:val="FootnoteReference"/>
          <w:lang w:val="sk-SK"/>
        </w:rPr>
        <w:footnoteReference w:id="4"/>
      </w:r>
      <w:r w:rsidRPr="00B86B4E">
        <w:rPr>
          <w:lang w:val="sk-SK"/>
        </w:rPr>
        <w:t>,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–</w:t>
      </w:r>
      <w:r w:rsidRPr="00B86B4E">
        <w:rPr>
          <w:lang w:val="sk-SK"/>
        </w:rPr>
        <w:tab/>
        <w:t>so zreteľom na svoje uznesenie z 8. marca 2022 o úlohe kultúry, vzdelávania, médií a športu v boji proti rasizmu</w:t>
      </w:r>
      <w:r w:rsidRPr="00B86B4E">
        <w:rPr>
          <w:rStyle w:val="FootnoteReference"/>
          <w:lang w:val="sk-SK"/>
        </w:rPr>
        <w:footnoteReference w:id="5"/>
      </w:r>
      <w:r w:rsidRPr="00B86B4E">
        <w:rPr>
          <w:lang w:val="sk-SK"/>
        </w:rPr>
        <w:t>,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–</w:t>
      </w:r>
      <w:r w:rsidRPr="00B86B4E">
        <w:rPr>
          <w:lang w:val="sk-SK"/>
        </w:rPr>
        <w:tab/>
        <w:t>so zreteľom na svoje uznesenie zo 6. apríla 2022 o vykonávaní opatrení zameraných na občiansku výchovu</w:t>
      </w:r>
      <w:r w:rsidRPr="00B86B4E">
        <w:rPr>
          <w:rStyle w:val="FootnoteReference"/>
          <w:lang w:val="sk-SK"/>
        </w:rPr>
        <w:footnoteReference w:id="6"/>
      </w:r>
      <w:r w:rsidRPr="00B86B4E">
        <w:rPr>
          <w:lang w:val="sk-SK"/>
        </w:rPr>
        <w:t>,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lastRenderedPageBreak/>
        <w:t>–</w:t>
      </w:r>
      <w:r w:rsidRPr="00B86B4E">
        <w:rPr>
          <w:lang w:val="sk-SK"/>
        </w:rPr>
        <w:tab/>
        <w:t>so zreteľom na svoje uznesenie zo 14. decembra 2022 o vykonávaní Novej európskej stratégie pre kultúru a stratégie EÚ pre medzinárodné vzťahy v oblasti kultúry</w:t>
      </w:r>
      <w:r w:rsidRPr="00B86B4E">
        <w:rPr>
          <w:rStyle w:val="FootnoteReference"/>
          <w:lang w:val="sk-SK"/>
        </w:rPr>
        <w:footnoteReference w:id="7"/>
      </w:r>
      <w:r w:rsidRPr="00B86B4E">
        <w:rPr>
          <w:lang w:val="sk-SK"/>
        </w:rPr>
        <w:t>,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–</w:t>
      </w:r>
      <w:r w:rsidRPr="00B86B4E">
        <w:rPr>
          <w:lang w:val="sk-SK"/>
        </w:rPr>
        <w:tab/>
        <w:t>so zreteľom na svoje uznesenie z 21. januára 2021 o stratégii EÚ pre rodovú rovnosť</w:t>
      </w:r>
      <w:r w:rsidRPr="00B86B4E">
        <w:rPr>
          <w:rStyle w:val="FootnoteReference"/>
          <w:lang w:val="sk-SK"/>
        </w:rPr>
        <w:footnoteReference w:id="8"/>
      </w:r>
      <w:r w:rsidRPr="00B86B4E">
        <w:rPr>
          <w:lang w:val="sk-SK"/>
        </w:rPr>
        <w:t>,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–</w:t>
      </w:r>
      <w:r w:rsidRPr="00B86B4E">
        <w:rPr>
          <w:lang w:val="sk-SK"/>
        </w:rPr>
        <w:tab/>
        <w:t>so zreteľom na oznámenie Komisie z 18. septembra 2020 s názvom Únia rovnosti: akčný plán EÚ proti rasizmu na roky 2020 – 2025 (COM(2020)0565),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–</w:t>
      </w:r>
      <w:r w:rsidRPr="00B86B4E">
        <w:rPr>
          <w:lang w:val="sk-SK"/>
        </w:rPr>
        <w:tab/>
        <w:t xml:space="preserve">so zreteľom na oznámenie Komisie zo 14. júna 2016 s názvom Podpora predchádzania </w:t>
      </w:r>
      <w:proofErr w:type="spellStart"/>
      <w:r w:rsidRPr="00B86B4E">
        <w:rPr>
          <w:lang w:val="sk-SK"/>
        </w:rPr>
        <w:t>radikalizácii</w:t>
      </w:r>
      <w:proofErr w:type="spellEnd"/>
      <w:r w:rsidRPr="00B86B4E">
        <w:rPr>
          <w:lang w:val="sk-SK"/>
        </w:rPr>
        <w:t xml:space="preserve"> vedúcej k násilnému extrémizmu (COM(2016)0379),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–</w:t>
      </w:r>
      <w:r w:rsidRPr="00B86B4E">
        <w:rPr>
          <w:lang w:val="sk-SK"/>
        </w:rPr>
        <w:tab/>
        <w:t>so zreteľom na Európsky kultúrny dohovor z 19. decembra 1954</w:t>
      </w:r>
      <w:r w:rsidRPr="00B86B4E">
        <w:rPr>
          <w:rStyle w:val="FootnoteReference"/>
          <w:lang w:val="sk-SK"/>
        </w:rPr>
        <w:footnoteReference w:id="9"/>
      </w:r>
      <w:r w:rsidRPr="00B86B4E">
        <w:rPr>
          <w:lang w:val="sk-SK"/>
        </w:rPr>
        <w:t>,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–</w:t>
      </w:r>
      <w:r w:rsidRPr="00B86B4E">
        <w:rPr>
          <w:lang w:val="sk-SK"/>
        </w:rPr>
        <w:tab/>
        <w:t>so zreteľom na štúdiu uskutočnenú pre Výbor pre kultúru a vzdelávanie s názvom Európska historická pamäť: politiky, výzvy a vyhliadky do budúcnosti</w:t>
      </w:r>
      <w:r w:rsidRPr="00B86B4E">
        <w:rPr>
          <w:rStyle w:val="FootnoteReference"/>
          <w:lang w:val="sk-SK"/>
        </w:rPr>
        <w:footnoteReference w:id="10"/>
      </w:r>
      <w:r w:rsidRPr="00B86B4E">
        <w:rPr>
          <w:lang w:val="sk-SK"/>
        </w:rPr>
        <w:t>,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–</w:t>
      </w:r>
      <w:r w:rsidRPr="00B86B4E">
        <w:rPr>
          <w:lang w:val="sk-SK"/>
        </w:rPr>
        <w:tab/>
        <w:t>so zreteľom na štúdiu uskutočnenú pre Výbor pre kultúru a vzdelávanie s názvom Európska identita</w:t>
      </w:r>
      <w:r w:rsidRPr="00B86B4E">
        <w:rPr>
          <w:rStyle w:val="FootnoteReference"/>
          <w:lang w:val="sk-SK"/>
        </w:rPr>
        <w:footnoteReference w:id="11"/>
      </w:r>
      <w:r w:rsidRPr="00B86B4E">
        <w:rPr>
          <w:lang w:val="sk-SK"/>
        </w:rPr>
        <w:t>,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–</w:t>
      </w:r>
      <w:r w:rsidRPr="00B86B4E">
        <w:rPr>
          <w:lang w:val="sk-SK"/>
        </w:rPr>
        <w:tab/>
        <w:t>so zreteľom na článok 54 rokovacieho poriadku,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–</w:t>
      </w:r>
      <w:r w:rsidRPr="00B86B4E">
        <w:rPr>
          <w:lang w:val="sk-SK"/>
        </w:rPr>
        <w:tab/>
        <w:t>so zreteľom na správu Výboru pre kultúru a vzdelávanie (A9-0402/2023),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A.</w:t>
      </w:r>
      <w:r w:rsidRPr="00B86B4E">
        <w:rPr>
          <w:lang w:val="sk-SK"/>
        </w:rPr>
        <w:tab/>
        <w:t>keďže zložitá, konfliktmi sprevádzaná a sporná minulosť Európy predstavuje výzvu aj príležitosť pre európsku integráciu, pričom uznáva, že dobre informované historické vedomie podporuje vzájomné porozumenie a toleranciu;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B.</w:t>
      </w:r>
      <w:r w:rsidRPr="00B86B4E">
        <w:rPr>
          <w:lang w:val="sk-SK"/>
        </w:rPr>
        <w:tab/>
        <w:t xml:space="preserve">keďže neprávosti na základe rodu, vierovyznania a etnickej príslušnosti sú zakorenené v európskych dejinách po mnoho storočí, a to aj v podobe antisemitizmu a </w:t>
      </w:r>
      <w:proofErr w:type="spellStart"/>
      <w:r w:rsidRPr="00B86B4E">
        <w:rPr>
          <w:lang w:val="sk-SK"/>
        </w:rPr>
        <w:t>protirómskych</w:t>
      </w:r>
      <w:proofErr w:type="spellEnd"/>
      <w:r w:rsidRPr="00B86B4E">
        <w:rPr>
          <w:lang w:val="sk-SK"/>
        </w:rPr>
        <w:t xml:space="preserve"> nálad, čo má následky pre Európu a zvyšok sveta;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C.</w:t>
      </w:r>
      <w:r w:rsidRPr="00B86B4E">
        <w:rPr>
          <w:lang w:val="sk-SK"/>
        </w:rPr>
        <w:tab/>
        <w:t xml:space="preserve">keďže vedomá interakcia s dejinami a historickými neprávosťami pomáha riešiť rôzne formy neznášanlivosti a nerovnosti a budovať </w:t>
      </w:r>
      <w:proofErr w:type="spellStart"/>
      <w:r w:rsidRPr="00B86B4E">
        <w:rPr>
          <w:lang w:val="sk-SK"/>
        </w:rPr>
        <w:t>inkluzívnejšie</w:t>
      </w:r>
      <w:proofErr w:type="spellEnd"/>
      <w:r w:rsidRPr="00B86B4E">
        <w:rPr>
          <w:lang w:val="sk-SK"/>
        </w:rPr>
        <w:t xml:space="preserve"> spoločnosti;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D.</w:t>
      </w:r>
      <w:r w:rsidRPr="00B86B4E">
        <w:rPr>
          <w:lang w:val="sk-SK"/>
        </w:rPr>
        <w:tab/>
        <w:t>keďže dejiny sa nikdy nesmú relativizovať, skresľovať ani falšovať na politické účely;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E.</w:t>
      </w:r>
      <w:r w:rsidRPr="00B86B4E">
        <w:rPr>
          <w:lang w:val="sk-SK"/>
        </w:rPr>
        <w:tab/>
        <w:t>keďže popieranie histórie a iné formy zaujatých výkladov dejín predstavujú veľkú hrozbu, ktorá podnecuje nedôveru a konflikt medzi ľuďmi a národmi a oslabuje úsilie o dosiahnutie historickej spravodlivosti a zmierenia;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lastRenderedPageBreak/>
        <w:t>F.</w:t>
      </w:r>
      <w:r w:rsidRPr="00B86B4E">
        <w:rPr>
          <w:lang w:val="sk-SK"/>
        </w:rPr>
        <w:tab/>
        <w:t>keďže na vyrovnanie sa s minulosťou je potrebná maximálna nestrannosť a objektívnosť tak v historických vedách, ako aj v politike;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G.</w:t>
      </w:r>
      <w:r w:rsidRPr="00B86B4E">
        <w:rPr>
          <w:lang w:val="sk-SK"/>
        </w:rPr>
        <w:tab/>
        <w:t>keďže historická pamäť zahŕňa jasný stupeň subjektivity, pretože to, čo si pamätáme a ako minulosť interpretujeme, si nevyhnutne vyberáme na základe svojich hodnotových úsudkov;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H.</w:t>
      </w:r>
      <w:r w:rsidRPr="00B86B4E">
        <w:rPr>
          <w:lang w:val="sk-SK"/>
        </w:rPr>
        <w:tab/>
        <w:t>keďže hoci existujú „historické fakty“ založené na odbornej práci historikov vrátane výskumu, výučby a ochrany zdrojov a historických pamiatok, neexistuje jediná monolitická, nespochybniteľná a večná „historická pravda“, ktorú by si mohla jedna konkrétna skupina alebo národ monopolizovať a výlučne privlastniť alebo ju využiť na popieranie existencie iných ľudí, národov alebo štátov;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I.</w:t>
      </w:r>
      <w:r w:rsidRPr="00B86B4E">
        <w:rPr>
          <w:lang w:val="sk-SK"/>
        </w:rPr>
        <w:tab/>
        <w:t xml:space="preserve">keďže interdisciplinárne prístupy a </w:t>
      </w:r>
      <w:proofErr w:type="spellStart"/>
      <w:r w:rsidRPr="00B86B4E">
        <w:rPr>
          <w:lang w:val="sk-SK"/>
        </w:rPr>
        <w:t>kontextualizácia</w:t>
      </w:r>
      <w:proofErr w:type="spellEnd"/>
      <w:r w:rsidRPr="00B86B4E">
        <w:rPr>
          <w:lang w:val="sk-SK"/>
        </w:rPr>
        <w:t xml:space="preserve"> sú základnými prvkami vzdelávania o histórii, ktoré treba spájať s výchovou k európskemu občianstvu, ako aj s výmennými programami a programami mobility;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J.</w:t>
      </w:r>
      <w:r w:rsidRPr="00B86B4E">
        <w:rPr>
          <w:lang w:val="sk-SK"/>
        </w:rPr>
        <w:tab/>
        <w:t>keďže podpora kritického historického vedomia naprieč hranicami prostredníctvom vzdelávacích a iných prostriedkov má zásadný význam pre to, aby Európania mohli pochopiť svoju minulosť a vyrovnať sa s ňou, sebavedome čeliť súčasnej situácii a pracovať v prospech spoločnej budúcnosti;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K.</w:t>
      </w:r>
      <w:r w:rsidRPr="00B86B4E">
        <w:rPr>
          <w:lang w:val="sk-SK"/>
        </w:rPr>
        <w:tab/>
        <w:t>keďže európske historické vedomie sa chápe ako individuálna a kolektívna schopnosť a zručnosť chápať históriu, kriticky ju posudzovať a poučiť sa premýšľaním nad ňou, čo uľahčuje rozpoznanie neoddeliteľného prepojenia a vzájomnej závislosti medzi minulosťou, súčasnosťou a budúcnosťou;</w:t>
      </w:r>
    </w:p>
    <w:p w:rsidR="00405483" w:rsidRPr="00B86B4E" w:rsidRDefault="00405483" w:rsidP="00405483">
      <w:pPr>
        <w:pStyle w:val="Normal12a24b"/>
        <w:rPr>
          <w:lang w:val="sk-SK"/>
        </w:rPr>
      </w:pPr>
      <w:r w:rsidRPr="00B86B4E">
        <w:rPr>
          <w:rStyle w:val="BoldItalic"/>
          <w:lang w:val="sk-SK"/>
        </w:rPr>
        <w:t>Vyrovnanie sa s minulosťou Európy ako riziko a príležitosť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1.</w:t>
      </w:r>
      <w:r w:rsidRPr="00B86B4E">
        <w:rPr>
          <w:lang w:val="sk-SK"/>
        </w:rPr>
        <w:tab/>
        <w:t>uznáva, že rozmanité a často protichodné dejiny európskych národov a štátov komplikujú snahy o vyrovnanie sa s minulosťou na politickej úrovni, pričom tieto snahy môžu byť nebezpečné, a že pokusy o nasmerovanie toho, ako si pripomínať a interpretovať minulosť, sa vždy ukazujú ako náročné;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2.</w:t>
      </w:r>
      <w:r w:rsidRPr="00B86B4E">
        <w:rPr>
          <w:lang w:val="sk-SK"/>
        </w:rPr>
        <w:tab/>
        <w:t xml:space="preserve">zdôrazňuje potenciál zásady „história – učiteľka života“ a považuje najmä tragické obdobia a temné prvky európskej histórie nielen za dôrazné pripomenutie minulých chýb, ktorých opakovaniu sa treba vyhnúť, ale aj za výzvu na spoluprácu s cieľom vytvárať demokratické a </w:t>
      </w:r>
      <w:proofErr w:type="spellStart"/>
      <w:r w:rsidRPr="00B86B4E">
        <w:rPr>
          <w:lang w:val="sk-SK"/>
        </w:rPr>
        <w:t>inkluzívne</w:t>
      </w:r>
      <w:proofErr w:type="spellEnd"/>
      <w:r w:rsidRPr="00B86B4E">
        <w:rPr>
          <w:lang w:val="sk-SK"/>
        </w:rPr>
        <w:t xml:space="preserve"> spoločnosti v Únii a na celom svete;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3.</w:t>
      </w:r>
      <w:r w:rsidRPr="00B86B4E">
        <w:rPr>
          <w:lang w:val="sk-SK"/>
        </w:rPr>
        <w:tab/>
        <w:t xml:space="preserve">považuje zodpovedný, na dôkazoch založený a kritický prístup k histórii, ktorý sa zameriava na spoločné európske hodnoty, za nevyhnutnú podmienku každého demokratického politického spoločenstva, aby sa zvýšilo povedomie súčasných a budúcich generácií o úspechoch aj zlyhaniach v minulosti, posilnila </w:t>
      </w:r>
      <w:proofErr w:type="spellStart"/>
      <w:r w:rsidRPr="00B86B4E">
        <w:rPr>
          <w:lang w:val="sk-SK"/>
        </w:rPr>
        <w:t>sebareflexívna</w:t>
      </w:r>
      <w:proofErr w:type="spellEnd"/>
      <w:r w:rsidRPr="00B86B4E">
        <w:rPr>
          <w:lang w:val="sk-SK"/>
        </w:rPr>
        <w:t xml:space="preserve"> verejná diskusia a podporilo porozumenie a zmierenie v rámci konkrétnych sociálnych skupín, národov a štátov a medzi nimi;</w:t>
      </w:r>
    </w:p>
    <w:p w:rsidR="00405483" w:rsidRPr="00B86B4E" w:rsidRDefault="00405483" w:rsidP="00405483">
      <w:pPr>
        <w:pStyle w:val="Normal12a24b"/>
        <w:rPr>
          <w:lang w:val="sk-SK"/>
        </w:rPr>
      </w:pPr>
      <w:r w:rsidRPr="00B86B4E">
        <w:rPr>
          <w:rStyle w:val="BoldItalic"/>
          <w:lang w:val="sk-SK"/>
        </w:rPr>
        <w:t>Politika minulosti Európskej únie – kritické posúdenie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4.</w:t>
      </w:r>
      <w:r w:rsidRPr="00B86B4E">
        <w:rPr>
          <w:lang w:val="sk-SK"/>
        </w:rPr>
        <w:tab/>
        <w:t xml:space="preserve">zdôrazňuje potrebu poctivého posúdenia „politiky minulosti“, ktorou sa EÚ snaží zvýšiť legitimitu európskeho projektu, posilniť európsku spolupatričnosť a podporiť mierové spolužitie národov na kontinente, a to uznaním tak úspechov, ako aj existujúcich </w:t>
      </w:r>
      <w:r w:rsidRPr="00B86B4E">
        <w:rPr>
          <w:lang w:val="sk-SK"/>
        </w:rPr>
        <w:lastRenderedPageBreak/>
        <w:t>nedostatkov a preskúmaním toho, ako sa občania nabádajú, aby sa zaoberali minulosťou;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5.</w:t>
      </w:r>
      <w:r w:rsidRPr="00B86B4E">
        <w:rPr>
          <w:lang w:val="sk-SK"/>
        </w:rPr>
        <w:tab/>
        <w:t xml:space="preserve">berie na vedomie celý rad minulých a súčasných iniciatív na európskej úrovni na podporu spoločnej európskej historickej pamäte vrátane Dňa pamiatky obetí holokaustu, Európskeho dňa pamiatky obetí totalitných a autoritárskych režimov, vytvorenia osobitného prvku venovaného historickému povedomiu v rámci bývalého programu Európa pre občanov a súčasného programu Občianstvo, rovnosť, práva a hodnoty (CERV) a rôznych uznesení </w:t>
      </w:r>
      <w:r w:rsidR="00334DE9" w:rsidRPr="00B86B4E">
        <w:rPr>
          <w:lang w:val="sk-SK"/>
        </w:rPr>
        <w:t>Európskeho p</w:t>
      </w:r>
      <w:r w:rsidRPr="00B86B4E">
        <w:rPr>
          <w:lang w:val="sk-SK"/>
        </w:rPr>
        <w:t>arlamentu, ako je uznesenie z 2. apríla 2009 o svedomí Európy a totalitarizme a uznesenie z 19. septembra 2019 o dôležitosti európskeho historického povedomia pre budúcnosť Európy;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6.</w:t>
      </w:r>
      <w:r w:rsidRPr="00B86B4E">
        <w:rPr>
          <w:lang w:val="sk-SK"/>
        </w:rPr>
        <w:tab/>
        <w:t>vyjadruje znepokojenie nad tým, že naďalej existuje skrytá konkurencia a čiastočná nezlučiteľnosť medzi rôznymi koncepciami pamäti a kultúrami spomínania v Európe, a to medzi západnou a východnou Európou, ale aj medzi krajinami a národmi v niektorých častiach kontinentu; zdôrazňuje, že všetky európske krajiny majú tak zhodné, ako aj rozdielne skúsenosti, ktoré patria do spoločnej európskej histórie; berie na vedomie zločiny páchané nacistickými, fašistickými a komunistickými totalitnými režimami, ako aj zločiny z obdobia kolonializmu a úlohu, ktorú tieto zločiny zohrali pri formovaní historického vnímania v Európe; zdôrazňuje potrebu preklenúť existujúce regionálne a ideologické rozdiely v historickom vedomí medzi európskymi krajinami a národmi s cieľom vybudovať spoločný základ pre dialóg, ako aj vzájomné porozumenie a rešpekt;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7.</w:t>
      </w:r>
      <w:r w:rsidRPr="00B86B4E">
        <w:rPr>
          <w:lang w:val="sk-SK"/>
        </w:rPr>
        <w:tab/>
        <w:t xml:space="preserve">uznáva, že hrôzy minulosti slúžia ako „negatívny základový mýtus“ a vytvárajú silný pocit zmysluplnosti európskeho mierového projektu, berie však na vedomie, že sústredenie sa Únie na vyrozprávanie svojho príbehu </w:t>
      </w:r>
      <w:r w:rsidRPr="00B86B4E">
        <w:rPr>
          <w:rStyle w:val="Italic"/>
          <w:lang w:val="sk-SK"/>
        </w:rPr>
        <w:t xml:space="preserve">ex </w:t>
      </w:r>
      <w:proofErr w:type="spellStart"/>
      <w:r w:rsidRPr="00B86B4E">
        <w:rPr>
          <w:rStyle w:val="Italic"/>
          <w:lang w:val="sk-SK"/>
        </w:rPr>
        <w:t>negativo</w:t>
      </w:r>
      <w:proofErr w:type="spellEnd"/>
      <w:r w:rsidRPr="00B86B4E">
        <w:rPr>
          <w:lang w:val="sk-SK"/>
        </w:rPr>
        <w:t xml:space="preserve"> so sebou prináša riziko podpory teleologického a zjednodušeného čierno-bieleho pohľadu na minulosť, čo môže brániť plne informovanému chápaniu zložitej minulosti Európy a oslabuje motiváciu spochybňovať stereotypy a „nedotknuteľné“ časti národných dejín;</w:t>
      </w:r>
    </w:p>
    <w:p w:rsidR="00405483" w:rsidRPr="00B86B4E" w:rsidRDefault="00405483" w:rsidP="00405483">
      <w:pPr>
        <w:pStyle w:val="Normal12a24b"/>
        <w:rPr>
          <w:lang w:val="sk-SK"/>
        </w:rPr>
      </w:pPr>
      <w:r w:rsidRPr="00B86B4E">
        <w:rPr>
          <w:rStyle w:val="BoldItalic"/>
          <w:lang w:val="sk-SK"/>
        </w:rPr>
        <w:t>Smerom k informovanému historickému vedomiu v Európe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8.</w:t>
      </w:r>
      <w:r w:rsidRPr="00B86B4E">
        <w:rPr>
          <w:lang w:val="sk-SK"/>
        </w:rPr>
        <w:tab/>
        <w:t>uznáva potrebu širšieho a ucelenejšieho chápania európskych dejín pre vznik kritického a </w:t>
      </w:r>
      <w:proofErr w:type="spellStart"/>
      <w:r w:rsidRPr="00B86B4E">
        <w:rPr>
          <w:lang w:val="sk-SK"/>
        </w:rPr>
        <w:t>sebareflexívneho</w:t>
      </w:r>
      <w:proofErr w:type="spellEnd"/>
      <w:r w:rsidRPr="00B86B4E">
        <w:rPr>
          <w:lang w:val="sk-SK"/>
        </w:rPr>
        <w:t xml:space="preserve"> európskeho historického vedomia, a to najmä rozšírením zamerania súčasných iniciatív v oblasti európskej historickej pamäte, pričom sa zohľadnia aj skupiny, ktoré boli doteraz nedostatočne zastúpené, a propagovaním inovatívnych spôsobov výučby histórie;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9.</w:t>
      </w:r>
      <w:r w:rsidRPr="00B86B4E">
        <w:rPr>
          <w:lang w:val="sk-SK"/>
        </w:rPr>
        <w:tab/>
        <w:t>zdôrazňuje, že je dôležité odkloniť sa od európskej kultúry spomínania, ktorá pôsobí prevažne zhora nadol a zaoberá sa vymedzením toho, čo by si Európania mali pamätať, a vytvárať kultúru spomínania orientovanú zdola nahor, ktorá vychádza od občanov a je založená na spoločných európskych zásadách a hodnotách, a zamerať sa pritom na rozvoj kapacít pre kritické spracovanie minulosti na miestnej, regionálnej, vnútroštátnej a európskej úrovni, do ktorého sa zapoja organizácie občianskej spoločnosti;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10.</w:t>
      </w:r>
      <w:r w:rsidRPr="00B86B4E">
        <w:rPr>
          <w:lang w:val="sk-SK"/>
        </w:rPr>
        <w:tab/>
        <w:t xml:space="preserve">uznáva kľúčový význam prístupu k minulosti Európy, ktorý vychádza zo základných európskych hodnôt zakotvených v článku 2 Zmluvy o Európskej únii a z etických a filozofických tradícií, o ktoré sa tieto hodnoty opierajú, a vytvorenia otvoreného priestoru na diskusiu, ktorý umožní zaoberať sa zložitými prvkami národných dejín a </w:t>
      </w:r>
      <w:r w:rsidRPr="00B86B4E">
        <w:rPr>
          <w:lang w:val="sk-SK"/>
        </w:rPr>
        <w:lastRenderedPageBreak/>
        <w:t>podporí vzájomné porozumenie a zmierenie v rámci európskych národov a medzi nimi, ako aj medzi európskymi národmi a zvyškom sveta;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11.</w:t>
      </w:r>
      <w:r w:rsidRPr="00B86B4E">
        <w:rPr>
          <w:lang w:val="sk-SK"/>
        </w:rPr>
        <w:tab/>
        <w:t>domnieva sa, že sloboda vyučovať, študovať a viesť výskum vrátane voľného prístupu k archívom a zdrojom spolu so slobodným umeleckým prejavom sú predpokladom pre vytváranie a šírenie nezaujatých vedomostí založených na dôkazoch v demokratických spoločnostiach, a najmä pre kritické pochopenie dejín; vyzýva Komisiu a členské štáty, aby chránili tieto slobody, ktoré sú v súčasnosti ohrozené, najmä v dôsledku prípadov zneužitia zákonov o historickej pamäti, a to aj prostredníctvom európskeho mechanizmu právneho štátu;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12.</w:t>
      </w:r>
      <w:r w:rsidRPr="00B86B4E">
        <w:rPr>
          <w:lang w:val="sk-SK"/>
        </w:rPr>
        <w:tab/>
        <w:t>zdôrazňuje zásadnú úlohu vzdelávania a vyzýva členské štáty, aby aktualizovali súčasné učebné osnovy a metodiky výučby s cieľom presunúť pozornosť z národných dejín na európsku a celosvetovú históriu a klásť väčší dôraz na nadnárodné historické chápanie, najmä umožnením pohľadu na dejiny z viacerých perspektív a podporou zodpovedajúcich štýlov výučby, ktoré uprednostňujú zamyslenie sa a diskusiu pred prenosom znalostí a ktoré sa riadia celkovým cieľom, ktorým je zabezpečiť, aby sa študenti naučili ako myslieť, a nie čo si myslieť;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13.</w:t>
      </w:r>
      <w:r w:rsidRPr="00B86B4E">
        <w:rPr>
          <w:lang w:val="sk-SK"/>
        </w:rPr>
        <w:tab/>
        <w:t xml:space="preserve">zdôrazňuje zásadný význam učenia sa o európskej integrácii, histórii, inštitúciách a základných hodnotách Únie a európskom občianstve pre vznik pocitu európskej spolupatričnosti; vyzýva na výučbu európskej histórie a európskej integrácie, ktoré treba vnímať v globálnom kontexte, a žiada, aby sa výchova k európskemu občianstvu stalo neoddeliteľnou súčasťou vnútroštátnych vzdelávacích systémov; uznáva úsilie vynaložené na úrovni EÚ na zlepšenie vedomostí o Únii a jej histórii vrátane tzv. akcií Jean </w:t>
      </w:r>
      <w:proofErr w:type="spellStart"/>
      <w:r w:rsidRPr="00B86B4E">
        <w:rPr>
          <w:lang w:val="sk-SK"/>
        </w:rPr>
        <w:t>Monnet</w:t>
      </w:r>
      <w:proofErr w:type="spellEnd"/>
      <w:r w:rsidRPr="00B86B4E">
        <w:rPr>
          <w:lang w:val="sk-SK"/>
        </w:rPr>
        <w:t>; vyzýva Komisiu a členské štáty, aby pracovali, a to aj prostredníctvom pracovnej skupiny európskeho vzdelávacieho priestoru pre rovnosť a hodnoty, na výstupoch, ktoré sú osobitne zamerané na rozvoj európskeho historického vedomia, a aby spoločne vypracovali príručku EÚ pre školské aktivity, ktorá poskytne spoločné usmernenia a nestranné fakty a údaje pre výučbu európskych dejín;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14.</w:t>
      </w:r>
      <w:r w:rsidRPr="00B86B4E">
        <w:rPr>
          <w:lang w:val="sk-SK"/>
        </w:rPr>
        <w:tab/>
        <w:t xml:space="preserve">domnieva sa, že v európskych dejinách je hlboko zakorenený šovinizmus, rodové stereotypy, mocenské asymetrie a štrukturálne nerovnosti, a vyjadruje poľutovanie nad tým, že pri výučbe histórie sa neuplatňuje dostatočne multikultúrny a rodovo citlivý prístup; považuje za nevyhnutné riešiť </w:t>
      </w:r>
      <w:proofErr w:type="spellStart"/>
      <w:r w:rsidRPr="00B86B4E">
        <w:rPr>
          <w:lang w:val="sk-SK"/>
        </w:rPr>
        <w:t>marginalizáciu</w:t>
      </w:r>
      <w:proofErr w:type="spellEnd"/>
      <w:r w:rsidRPr="00B86B4E">
        <w:rPr>
          <w:lang w:val="sk-SK"/>
        </w:rPr>
        <w:t xml:space="preserve"> žien a iných nedostatočne zastúpených spoločenských skupín v dejinách a vyzýva členské štáty, aby zabezpečili väčší dôraz na </w:t>
      </w:r>
      <w:proofErr w:type="spellStart"/>
      <w:r w:rsidRPr="00B86B4E">
        <w:rPr>
          <w:lang w:val="sk-SK"/>
        </w:rPr>
        <w:t>ne</w:t>
      </w:r>
      <w:proofErr w:type="spellEnd"/>
      <w:r w:rsidRPr="00B86B4E">
        <w:rPr>
          <w:lang w:val="sk-SK"/>
        </w:rPr>
        <w:t xml:space="preserve"> v národných učebných osnovách;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15.</w:t>
      </w:r>
      <w:r w:rsidRPr="00B86B4E">
        <w:rPr>
          <w:lang w:val="sk-SK"/>
        </w:rPr>
        <w:tab/>
        <w:t>zdôrazňuje potrebu interdisciplinárnej a prierezovej výučby histórie, pri ktorej sa uplatňuje inovatívna pedagogika sústredená na študenta, ako sú interaktívne prístupy a prístupy založené na rozprávaní príbehov a poučeniach z minulosti pre všetky generácie, využíva komplexný súbor zdrojov, technológií a vzdelávacích materiálov vrátane cezhraničných a nadnárodných učebníc histórie a ústnych histórií a podporujú analytické zručnosti a kritické myslenie;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16.</w:t>
      </w:r>
      <w:r w:rsidRPr="00B86B4E">
        <w:rPr>
          <w:lang w:val="sk-SK"/>
        </w:rPr>
        <w:tab/>
        <w:t>uznáva ústrednú úlohu, ktorú pri vytváraní a prenose kompetencií potrebných na pochopenie a kritické posúdenie historických faktov zohrávajú učitelia, a zdôrazňuje, že je dôležité, aby učitelia nielen absolvovali primeranú odbornú prípravu, ale aby sa zapájali aj do kontinuálneho profesijného rozvoja vrátane činností partnerského učenia a výmeny najlepších postupov na vnútroštátnej aj nadnárodnej úrovni; v tejto súvislosti zdôrazňuje pridanú hodnotu učiteľských akadémií programu Erasmus+;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lastRenderedPageBreak/>
        <w:t>17.</w:t>
      </w:r>
      <w:r w:rsidRPr="00B86B4E">
        <w:rPr>
          <w:lang w:val="sk-SK"/>
        </w:rPr>
        <w:tab/>
        <w:t>vyzýva členské štáty, aby zabezpečovali individuálne prispôsobené výučbové materiály na dejepis a odbornú prípravu, ktorá učiteľom umožní lepšie sa orientovať na nadnárodné aspekty a mnohotvárnosť histórie, poskytne primerané didaktické postupy a zásady modernej výučby a zameria sa predovšetkým na formovanie mladých ľudí schopných sebareflexie;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18.</w:t>
      </w:r>
      <w:r w:rsidRPr="00B86B4E">
        <w:rPr>
          <w:lang w:val="sk-SK"/>
        </w:rPr>
        <w:tab/>
        <w:t>zdôrazňuje, že zber údajov a porovnávanie a hodnotenie metód a nástrojov výučby histórie má veľký význam, a víta prácu špecializovaných vládnych aj mimovládnych organizácií pôsobiacich v tejto oblasti vrátane strediska Rady Európy pre sledovanie výučby histórie v Európe a združenia EUROCLIO; zdôrazňuje potrebu, aby sa do činností strediska pre sledovanie zapojilo viac členských štátov EÚ;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19.</w:t>
      </w:r>
      <w:r w:rsidRPr="00B86B4E">
        <w:rPr>
          <w:lang w:val="sk-SK"/>
        </w:rPr>
        <w:tab/>
        <w:t>uznáva potenciál múzeí kriticky sa zaoberať spornými dejinami Európy ako nástroj vzdelávania sa o minulosti a budovania historického vedomia, najmä pokiaľ ide o Dom európskej histórie ako hlavný projekt, na ktorý by sa mali sprístupniť dostatočné zdroje s cieľom zabezpečiť širší dosah na európsku verejnosť;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20.</w:t>
      </w:r>
      <w:r w:rsidRPr="00B86B4E">
        <w:rPr>
          <w:lang w:val="sk-SK"/>
        </w:rPr>
        <w:tab/>
        <w:t xml:space="preserve">zdôrazňuje význam zachovania bohatého kultúrneho a historického dedičstva Európy a jej pamätných miest, najmä ako prostriedku na vytvorenie kritického historického vedomia, za predpokladu, že sa nezneužívajú na ideologické účely, a zdôrazňuje úlohu, ktorú v tejto súvislosti môžu zohrávať značka „Európske dedičstvo“ a nezávislé inštitúcie podporujúce európske hmotné aj nehmotné dedičstvo; nabáda členské štáty, aby zintenzívnili svoje úsilie o vymedzenie a ochranu miest demokratickej pamäte, najmä tých, ktoré súvisia s nedostatočne zastúpenými skupinami; zdôrazňuje potenciál projektu </w:t>
      </w:r>
      <w:proofErr w:type="spellStart"/>
      <w:r w:rsidRPr="00B86B4E">
        <w:rPr>
          <w:lang w:val="sk-SK"/>
        </w:rPr>
        <w:t>Europeana</w:t>
      </w:r>
      <w:proofErr w:type="spellEnd"/>
      <w:r w:rsidRPr="00B86B4E">
        <w:rPr>
          <w:lang w:val="sk-SK"/>
        </w:rPr>
        <w:t xml:space="preserve"> ako digitálnej knižnice, archívu, múzea a vzdelávacej platformy Európy;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21.</w:t>
      </w:r>
      <w:r w:rsidRPr="00B86B4E">
        <w:rPr>
          <w:lang w:val="sk-SK"/>
        </w:rPr>
        <w:tab/>
        <w:t xml:space="preserve">uznáva potenciál digitálnych médií a rastúcu úroveň digitalizácie vo vzdelávaní, vyjadruje však hlboké znepokojenie nad čoraz rozšírenejším zneužívaním digitálnych kanálov na politickú manipuláciu a šírenie dezinformácií, a to aj pokiaľ ide o históriu, ako je vidno na ruskom historickom revizionizme sprevádzajúcom útočnú vojnu Ruska proti Ukrajine; vyzýva Komisiu a členské štáty, aby zintenzívnili svoje úsilie o posilnenie mediálnej a digitálnej gramotnosti a aby učiteľom a študentom poskytli primerané zručnosti a nástroje, ktoré uľahčia výučbu histórie založenú na faktoch a umožnia im identifikovať, </w:t>
      </w:r>
      <w:proofErr w:type="spellStart"/>
      <w:r w:rsidRPr="00B86B4E">
        <w:rPr>
          <w:lang w:val="sk-SK"/>
        </w:rPr>
        <w:t>kontextualizovať</w:t>
      </w:r>
      <w:proofErr w:type="spellEnd"/>
      <w:r w:rsidRPr="00B86B4E">
        <w:rPr>
          <w:lang w:val="sk-SK"/>
        </w:rPr>
        <w:t xml:space="preserve"> a analyzovať tradičné, ako aj moderné historické zdroje;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22.</w:t>
      </w:r>
      <w:r w:rsidRPr="00B86B4E">
        <w:rPr>
          <w:lang w:val="sk-SK"/>
        </w:rPr>
        <w:tab/>
        <w:t>zdôrazňuje, že možnosti cezhraničnej vzdelávacej mobility, ktoré poskytujú európske programy a iné programy mobility, uľahčujú výmenu myšlienok a podporujú prierezové znalosti a </w:t>
      </w:r>
      <w:proofErr w:type="spellStart"/>
      <w:r w:rsidRPr="00B86B4E">
        <w:rPr>
          <w:lang w:val="sk-SK"/>
        </w:rPr>
        <w:t>medzikultúrne</w:t>
      </w:r>
      <w:proofErr w:type="spellEnd"/>
      <w:r w:rsidRPr="00B86B4E">
        <w:rPr>
          <w:lang w:val="sk-SK"/>
        </w:rPr>
        <w:t xml:space="preserve"> porozumenie, pomáhajú odstraňovať národné bariéry a umožňujú lepšie pochopenie minulosti a súčasnosti;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23.</w:t>
      </w:r>
      <w:r w:rsidRPr="00B86B4E">
        <w:rPr>
          <w:lang w:val="sk-SK"/>
        </w:rPr>
        <w:tab/>
        <w:t>vyzýva Komisiu a členské štáty, aby posilnili nástroje, ktoré sú v súčasnosti na európskej úrovni k dispozícii na podporu kritického a </w:t>
      </w:r>
      <w:proofErr w:type="spellStart"/>
      <w:r w:rsidRPr="00B86B4E">
        <w:rPr>
          <w:lang w:val="sk-SK"/>
        </w:rPr>
        <w:t>sebareflexívneho</w:t>
      </w:r>
      <w:proofErr w:type="spellEnd"/>
      <w:r w:rsidRPr="00B86B4E">
        <w:rPr>
          <w:lang w:val="sk-SK"/>
        </w:rPr>
        <w:t xml:space="preserve"> európskeho historického vedomia, najmä program Erasmus+, ktorý podporuje mobilitu a </w:t>
      </w:r>
      <w:proofErr w:type="spellStart"/>
      <w:r w:rsidRPr="00B86B4E">
        <w:rPr>
          <w:lang w:val="sk-SK"/>
        </w:rPr>
        <w:t>medzikultúrne</w:t>
      </w:r>
      <w:proofErr w:type="spellEnd"/>
      <w:r w:rsidRPr="00B86B4E">
        <w:rPr>
          <w:lang w:val="sk-SK"/>
        </w:rPr>
        <w:t xml:space="preserve"> vzdelávanie ako kľúčové nástroje na lepšie pochopenie iných kultúr a národov, a program Občania, rovnosť, práva a hodnoty, ktorý poskytuje podporu nadnárodným projektom pripomínania si historických udalostí a podporuje občiansku angažovanosť;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lastRenderedPageBreak/>
        <w:t>24.</w:t>
      </w:r>
      <w:r w:rsidRPr="00B86B4E">
        <w:rPr>
          <w:lang w:val="sk-SK"/>
        </w:rPr>
        <w:tab/>
        <w:t>žiada, aby európske inštitúcie, členské štáty, kandidátske a potenciálne kandidátske krajiny, vzdelávacie inštitúcie a aktéri občianskej spoločnosti zintenzívnili svoje úsilie o podporu zmierenia, upustili od akýchkoľvek pokusov o zneužívanie dejín na politické účely a bojovali proti historickému revizionizmu a popieraniu histórie v Európskej únii aj mimo nej; pripomína význam týchto aspektov pre budúce rozšírenia Únie;</w:t>
      </w:r>
    </w:p>
    <w:p w:rsidR="00405483" w:rsidRPr="00B86B4E" w:rsidRDefault="00405483" w:rsidP="00405483">
      <w:pPr>
        <w:pStyle w:val="Normal12a24b"/>
        <w:rPr>
          <w:lang w:val="sk-SK"/>
        </w:rPr>
      </w:pPr>
      <w:r w:rsidRPr="00B86B4E">
        <w:rPr>
          <w:rStyle w:val="BoldItalic"/>
          <w:lang w:val="sk-SK"/>
        </w:rPr>
        <w:t>Vyhliadky do budúcnosti: odkaz minulosti a budúcnosť EÚ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25.</w:t>
      </w:r>
      <w:r w:rsidRPr="00B86B4E">
        <w:rPr>
          <w:lang w:val="sk-SK"/>
        </w:rPr>
        <w:tab/>
        <w:t>stotožňuje sa s ideálom „kultúry spomínania“ a historického vedomia založeného na spoločných európskych hodnotách a prístupoch k minulosti, pričom sa zároveň vyhýba neprimeranému zjednocovaniu alebo zjednodušovaniu histórie;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26.</w:t>
      </w:r>
      <w:r w:rsidRPr="00B86B4E">
        <w:rPr>
          <w:lang w:val="sk-SK"/>
        </w:rPr>
        <w:tab/>
        <w:t>vyjadruje nádej, že na základe kritickej sebareflexie, pokiaľ ide o históriu a historickú zodpovednosť na národnej úrovni, môže vzniknúť skutočne európska reflexívna diskusia o minulosti kontinentu bez toho, aby sa história zneužívala na mocenské a politické účely, a verí, že zo spoločnej historickej práce vzíde „osudové spoločenstvo“ európskych národov;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27.</w:t>
      </w:r>
      <w:r w:rsidRPr="00B86B4E">
        <w:rPr>
          <w:lang w:val="sk-SK"/>
        </w:rPr>
        <w:tab/>
        <w:t>predpokladá, že kolektívne spomienky v konečnom dôsledku prispejú k európskej verejnej sfére a zlúčia sa s ňou, pričom rozdielne kultúry spomínania sa budú navzájom dopĺňať namiesto toho, aby si konkurovali, a prístup k histórii sa stane skôr občianskou než politickou otázkou;</w:t>
      </w:r>
    </w:p>
    <w:p w:rsidR="007B4118" w:rsidRPr="00B86B4E" w:rsidRDefault="007B4118" w:rsidP="007B4118">
      <w:pPr>
        <w:pStyle w:val="NormalHanging12a"/>
        <w:ind w:left="0" w:firstLine="0"/>
        <w:jc w:val="center"/>
        <w:rPr>
          <w:lang w:val="sk-SK"/>
        </w:rPr>
      </w:pPr>
      <w:r w:rsidRPr="00B86B4E">
        <w:rPr>
          <w:lang w:val="sk-SK"/>
        </w:rPr>
        <w:t>°</w:t>
      </w:r>
    </w:p>
    <w:p w:rsidR="007B4118" w:rsidRPr="00B86B4E" w:rsidRDefault="007B4118" w:rsidP="007B4118">
      <w:pPr>
        <w:pStyle w:val="NormalHanging12a"/>
        <w:ind w:left="0" w:firstLine="0"/>
        <w:jc w:val="center"/>
        <w:rPr>
          <w:lang w:val="sk-SK"/>
        </w:rPr>
      </w:pPr>
      <w:r w:rsidRPr="00B86B4E">
        <w:rPr>
          <w:lang w:val="sk-SK"/>
        </w:rPr>
        <w:t>°     °</w:t>
      </w:r>
    </w:p>
    <w:p w:rsidR="00405483" w:rsidRPr="00B86B4E" w:rsidRDefault="00405483" w:rsidP="00405483">
      <w:pPr>
        <w:pStyle w:val="NormalHanging12a"/>
        <w:rPr>
          <w:lang w:val="sk-SK"/>
        </w:rPr>
      </w:pPr>
      <w:r w:rsidRPr="00B86B4E">
        <w:rPr>
          <w:lang w:val="sk-SK"/>
        </w:rPr>
        <w:t>28.</w:t>
      </w:r>
      <w:r w:rsidRPr="00B86B4E">
        <w:rPr>
          <w:lang w:val="sk-SK"/>
        </w:rPr>
        <w:tab/>
        <w:t>poveruje svoju predsedníčku, aby postúpila toto uznesenie Rade a Komisii.</w:t>
      </w:r>
    </w:p>
    <w:sectPr w:rsidR="00405483" w:rsidRPr="00B86B4E" w:rsidSect="00134F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96D" w:rsidRPr="00134F8E" w:rsidRDefault="00AB196D">
      <w:r w:rsidRPr="00134F8E">
        <w:separator/>
      </w:r>
    </w:p>
  </w:endnote>
  <w:endnote w:type="continuationSeparator" w:id="0">
    <w:p w:rsidR="00AB196D" w:rsidRPr="00134F8E" w:rsidRDefault="00AB196D">
      <w:r w:rsidRPr="00134F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4F8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4F8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4F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96D" w:rsidRPr="00134F8E" w:rsidRDefault="00AB196D">
      <w:r w:rsidRPr="00134F8E">
        <w:separator/>
      </w:r>
    </w:p>
  </w:footnote>
  <w:footnote w:type="continuationSeparator" w:id="0">
    <w:p w:rsidR="00AB196D" w:rsidRPr="00134F8E" w:rsidRDefault="00AB196D">
      <w:r w:rsidRPr="00134F8E">
        <w:continuationSeparator/>
      </w:r>
    </w:p>
  </w:footnote>
  <w:footnote w:id="1">
    <w:p w:rsidR="00405483" w:rsidRPr="004A2E21" w:rsidRDefault="00405483" w:rsidP="00134F8E">
      <w:pPr>
        <w:pStyle w:val="FootnoteText"/>
        <w:ind w:left="567" w:hanging="567"/>
        <w:rPr>
          <w:sz w:val="24"/>
          <w:u w:color="0000FF"/>
          <w:lang w:val="sk-SK"/>
        </w:rPr>
      </w:pPr>
      <w:r w:rsidRPr="004A2E21">
        <w:rPr>
          <w:rStyle w:val="FootnoteReference"/>
          <w:sz w:val="24"/>
          <w:lang w:val="sk-SK"/>
        </w:rPr>
        <w:footnoteRef/>
      </w:r>
      <w:r w:rsidR="00134F8E" w:rsidRPr="004A2E21">
        <w:rPr>
          <w:sz w:val="24"/>
          <w:lang w:val="sk-SK"/>
        </w:rPr>
        <w:t xml:space="preserve"> </w:t>
      </w:r>
      <w:r w:rsidR="00134F8E" w:rsidRPr="004A2E21">
        <w:rPr>
          <w:sz w:val="24"/>
          <w:lang w:val="sk-SK"/>
        </w:rPr>
        <w:tab/>
      </w:r>
      <w:r w:rsidRPr="004A2E21">
        <w:rPr>
          <w:sz w:val="24"/>
          <w:u w:color="0000FF"/>
          <w:lang w:val="sk-SK"/>
        </w:rPr>
        <w:t>Ú. v. EÚ C 171, 6.5.2021, s. 25.</w:t>
      </w:r>
    </w:p>
  </w:footnote>
  <w:footnote w:id="2">
    <w:p w:rsidR="00405483" w:rsidRPr="004A2E21" w:rsidRDefault="00405483" w:rsidP="00134F8E">
      <w:pPr>
        <w:pStyle w:val="FootnoteText"/>
        <w:ind w:left="567" w:hanging="567"/>
        <w:rPr>
          <w:sz w:val="24"/>
          <w:u w:color="0000FF"/>
          <w:lang w:val="sk-SK"/>
        </w:rPr>
      </w:pPr>
      <w:r w:rsidRPr="004A2E21">
        <w:rPr>
          <w:rStyle w:val="FootnoteReference"/>
          <w:sz w:val="24"/>
          <w:lang w:val="sk-SK"/>
        </w:rPr>
        <w:footnoteRef/>
      </w:r>
      <w:r w:rsidR="00134F8E" w:rsidRPr="004A2E21">
        <w:rPr>
          <w:sz w:val="24"/>
          <w:lang w:val="sk-SK"/>
        </w:rPr>
        <w:t xml:space="preserve"> </w:t>
      </w:r>
      <w:r w:rsidR="00134F8E" w:rsidRPr="004A2E21">
        <w:rPr>
          <w:sz w:val="24"/>
          <w:lang w:val="sk-SK"/>
        </w:rPr>
        <w:tab/>
      </w:r>
      <w:r w:rsidRPr="004A2E21">
        <w:rPr>
          <w:sz w:val="24"/>
          <w:u w:color="0000FF"/>
          <w:lang w:val="sk-SK"/>
        </w:rPr>
        <w:t>Ú. v. EÚ C 137 E, 27.5.2010, s. 25.</w:t>
      </w:r>
    </w:p>
  </w:footnote>
  <w:footnote w:id="3">
    <w:p w:rsidR="00405483" w:rsidRPr="004A2E21" w:rsidRDefault="00405483" w:rsidP="00134F8E">
      <w:pPr>
        <w:pStyle w:val="FootnoteText"/>
        <w:ind w:left="567" w:hanging="567"/>
        <w:rPr>
          <w:sz w:val="24"/>
          <w:u w:color="0000FF"/>
          <w:lang w:val="sk-SK"/>
        </w:rPr>
      </w:pPr>
      <w:r w:rsidRPr="004A2E21">
        <w:rPr>
          <w:rStyle w:val="FootnoteReference"/>
          <w:sz w:val="24"/>
          <w:lang w:val="sk-SK"/>
        </w:rPr>
        <w:footnoteRef/>
      </w:r>
      <w:r w:rsidR="00134F8E" w:rsidRPr="004A2E21">
        <w:rPr>
          <w:sz w:val="24"/>
          <w:lang w:val="sk-SK"/>
        </w:rPr>
        <w:t xml:space="preserve"> </w:t>
      </w:r>
      <w:r w:rsidR="00134F8E" w:rsidRPr="004A2E21">
        <w:rPr>
          <w:sz w:val="24"/>
          <w:lang w:val="sk-SK"/>
        </w:rPr>
        <w:tab/>
      </w:r>
      <w:r w:rsidRPr="004A2E21">
        <w:rPr>
          <w:sz w:val="24"/>
          <w:u w:color="0000FF"/>
          <w:lang w:val="sk-SK"/>
        </w:rPr>
        <w:t>Ú. v. EÚ L 156, 5.5.2021, s. 1.</w:t>
      </w:r>
    </w:p>
  </w:footnote>
  <w:footnote w:id="4">
    <w:p w:rsidR="00405483" w:rsidRPr="004A2E21" w:rsidRDefault="00405483" w:rsidP="00134F8E">
      <w:pPr>
        <w:pStyle w:val="FootnoteText"/>
        <w:ind w:left="567" w:hanging="567"/>
        <w:rPr>
          <w:sz w:val="24"/>
          <w:u w:color="0000FF"/>
          <w:lang w:val="sk-SK"/>
        </w:rPr>
      </w:pPr>
      <w:r w:rsidRPr="004A2E21">
        <w:rPr>
          <w:rStyle w:val="FootnoteReference"/>
          <w:sz w:val="24"/>
          <w:lang w:val="sk-SK"/>
        </w:rPr>
        <w:footnoteRef/>
      </w:r>
      <w:r w:rsidR="00134F8E" w:rsidRPr="004A2E21">
        <w:rPr>
          <w:sz w:val="24"/>
          <w:lang w:val="sk-SK"/>
        </w:rPr>
        <w:t xml:space="preserve"> </w:t>
      </w:r>
      <w:r w:rsidR="00134F8E" w:rsidRPr="004A2E21">
        <w:rPr>
          <w:sz w:val="24"/>
          <w:lang w:val="sk-SK"/>
        </w:rPr>
        <w:tab/>
      </w:r>
      <w:r w:rsidRPr="004A2E21">
        <w:rPr>
          <w:sz w:val="24"/>
          <w:u w:color="0000FF"/>
          <w:lang w:val="sk-SK"/>
        </w:rPr>
        <w:t>Ú. v. EÚ C 205, 20.5.2022, s. 17.</w:t>
      </w:r>
    </w:p>
  </w:footnote>
  <w:footnote w:id="5">
    <w:p w:rsidR="00405483" w:rsidRPr="004A2E21" w:rsidRDefault="00405483" w:rsidP="00134F8E">
      <w:pPr>
        <w:pStyle w:val="FootnoteText"/>
        <w:ind w:left="567" w:hanging="567"/>
        <w:rPr>
          <w:sz w:val="24"/>
          <w:u w:color="0000FF"/>
          <w:lang w:val="sk-SK"/>
        </w:rPr>
      </w:pPr>
      <w:r w:rsidRPr="004A2E21">
        <w:rPr>
          <w:rStyle w:val="FootnoteReference"/>
          <w:sz w:val="24"/>
          <w:lang w:val="sk-SK"/>
        </w:rPr>
        <w:footnoteRef/>
      </w:r>
      <w:r w:rsidR="00134F8E" w:rsidRPr="004A2E21">
        <w:rPr>
          <w:sz w:val="24"/>
          <w:lang w:val="sk-SK"/>
        </w:rPr>
        <w:t xml:space="preserve"> </w:t>
      </w:r>
      <w:r w:rsidR="00134F8E" w:rsidRPr="004A2E21">
        <w:rPr>
          <w:sz w:val="24"/>
          <w:lang w:val="sk-SK"/>
        </w:rPr>
        <w:tab/>
      </w:r>
      <w:r w:rsidRPr="004A2E21">
        <w:rPr>
          <w:sz w:val="24"/>
          <w:u w:color="0000FF"/>
          <w:lang w:val="sk-SK"/>
        </w:rPr>
        <w:t>Ú. v. EÚ C 347, 9.9.2022, s. 15.</w:t>
      </w:r>
    </w:p>
  </w:footnote>
  <w:footnote w:id="6">
    <w:p w:rsidR="00405483" w:rsidRPr="004A2E21" w:rsidRDefault="00405483" w:rsidP="00134F8E">
      <w:pPr>
        <w:pStyle w:val="FootnoteText"/>
        <w:ind w:left="567" w:hanging="567"/>
        <w:rPr>
          <w:sz w:val="24"/>
          <w:u w:color="0000FF"/>
          <w:lang w:val="sk-SK"/>
        </w:rPr>
      </w:pPr>
      <w:r w:rsidRPr="004A2E21">
        <w:rPr>
          <w:rStyle w:val="FootnoteReference"/>
          <w:sz w:val="24"/>
          <w:lang w:val="sk-SK"/>
        </w:rPr>
        <w:footnoteRef/>
      </w:r>
      <w:r w:rsidR="00134F8E" w:rsidRPr="004A2E21">
        <w:rPr>
          <w:sz w:val="24"/>
          <w:lang w:val="sk-SK"/>
        </w:rPr>
        <w:t xml:space="preserve"> </w:t>
      </w:r>
      <w:r w:rsidR="00134F8E" w:rsidRPr="004A2E21">
        <w:rPr>
          <w:sz w:val="24"/>
          <w:lang w:val="sk-SK"/>
        </w:rPr>
        <w:tab/>
      </w:r>
      <w:r w:rsidRPr="004A2E21">
        <w:rPr>
          <w:sz w:val="24"/>
          <w:u w:color="0000FF"/>
          <w:lang w:val="sk-SK"/>
        </w:rPr>
        <w:t>Ú. v. EÚ C 434, 15.11.2022, s. 31.</w:t>
      </w:r>
    </w:p>
  </w:footnote>
  <w:footnote w:id="7">
    <w:p w:rsidR="00405483" w:rsidRPr="00B86B4E" w:rsidRDefault="00405483" w:rsidP="00134F8E">
      <w:pPr>
        <w:pStyle w:val="FootnoteText"/>
        <w:ind w:left="567" w:hanging="567"/>
        <w:rPr>
          <w:sz w:val="24"/>
          <w:u w:color="0000FF"/>
          <w:lang w:val="sk-SK"/>
        </w:rPr>
      </w:pPr>
      <w:r w:rsidRPr="00134F8E">
        <w:rPr>
          <w:rStyle w:val="FootnoteReference"/>
          <w:sz w:val="24"/>
          <w:lang w:val="sk-SK"/>
        </w:rPr>
        <w:footnoteRef/>
      </w:r>
      <w:r w:rsidR="00134F8E" w:rsidRPr="00134F8E">
        <w:rPr>
          <w:sz w:val="24"/>
          <w:lang w:val="sk-SK"/>
        </w:rPr>
        <w:t xml:space="preserve"> </w:t>
      </w:r>
      <w:r w:rsidR="00134F8E" w:rsidRPr="00134F8E">
        <w:rPr>
          <w:sz w:val="24"/>
          <w:lang w:val="sk-SK"/>
        </w:rPr>
        <w:tab/>
      </w:r>
      <w:r w:rsidR="004A2E21" w:rsidRPr="00B86B4E">
        <w:rPr>
          <w:sz w:val="24"/>
          <w:u w:color="0000FF"/>
          <w:lang w:val="sk-SK"/>
        </w:rPr>
        <w:t>Ú. v. EÚ C 177, 17.5.2023, s. 78.</w:t>
      </w:r>
    </w:p>
  </w:footnote>
  <w:footnote w:id="8">
    <w:p w:rsidR="00405483" w:rsidRPr="00B86B4E" w:rsidRDefault="00405483" w:rsidP="00134F8E">
      <w:pPr>
        <w:pStyle w:val="FootnoteText"/>
        <w:ind w:left="567" w:hanging="567"/>
        <w:rPr>
          <w:sz w:val="24"/>
          <w:u w:color="0000FF"/>
          <w:lang w:val="sk-SK"/>
        </w:rPr>
      </w:pPr>
      <w:r w:rsidRPr="004A2E21">
        <w:rPr>
          <w:rStyle w:val="FootnoteReference"/>
          <w:sz w:val="24"/>
          <w:lang w:val="sk-SK"/>
        </w:rPr>
        <w:footnoteRef/>
      </w:r>
      <w:r w:rsidR="00134F8E" w:rsidRPr="004A2E21">
        <w:rPr>
          <w:sz w:val="24"/>
          <w:lang w:val="sk-SK"/>
        </w:rPr>
        <w:t xml:space="preserve"> </w:t>
      </w:r>
      <w:r w:rsidR="00134F8E" w:rsidRPr="004A2E21">
        <w:rPr>
          <w:sz w:val="24"/>
          <w:lang w:val="sk-SK"/>
        </w:rPr>
        <w:tab/>
      </w:r>
      <w:r w:rsidR="004A2E21" w:rsidRPr="00B86B4E">
        <w:rPr>
          <w:sz w:val="24"/>
          <w:u w:color="0000FF"/>
          <w:lang w:val="sk-SK"/>
        </w:rPr>
        <w:t>Ú. v. EÚ C 456, 10.11.2021, s. 208.</w:t>
      </w:r>
    </w:p>
  </w:footnote>
  <w:footnote w:id="9">
    <w:p w:rsidR="00405483" w:rsidRPr="00134F8E" w:rsidRDefault="00405483" w:rsidP="00134F8E">
      <w:pPr>
        <w:pStyle w:val="FootnoteText"/>
        <w:ind w:left="567" w:hanging="567"/>
        <w:rPr>
          <w:sz w:val="24"/>
          <w:lang w:val="sk-SK"/>
        </w:rPr>
      </w:pPr>
      <w:r w:rsidRPr="00134F8E">
        <w:rPr>
          <w:rStyle w:val="FootnoteReference"/>
          <w:sz w:val="24"/>
          <w:lang w:val="sk-SK"/>
        </w:rPr>
        <w:footnoteRef/>
      </w:r>
      <w:r w:rsidR="00134F8E" w:rsidRPr="00134F8E">
        <w:rPr>
          <w:sz w:val="24"/>
          <w:lang w:val="sk-SK"/>
        </w:rPr>
        <w:t xml:space="preserve"> </w:t>
      </w:r>
      <w:r w:rsidR="00134F8E" w:rsidRPr="00134F8E">
        <w:rPr>
          <w:sz w:val="24"/>
          <w:lang w:val="sk-SK"/>
        </w:rPr>
        <w:tab/>
      </w:r>
      <w:r w:rsidRPr="00134F8E">
        <w:rPr>
          <w:sz w:val="24"/>
          <w:lang w:val="sk-SK"/>
        </w:rPr>
        <w:t>Pozri: https://rm.coe.int/168006457e.</w:t>
      </w:r>
    </w:p>
  </w:footnote>
  <w:footnote w:id="10">
    <w:p w:rsidR="00405483" w:rsidRPr="00B86B4E" w:rsidRDefault="00405483" w:rsidP="00134F8E">
      <w:pPr>
        <w:pStyle w:val="FootnoteText"/>
        <w:ind w:left="567" w:hanging="567"/>
        <w:rPr>
          <w:sz w:val="24"/>
          <w:u w:color="0000FF"/>
          <w:lang w:val="sk-SK"/>
        </w:rPr>
      </w:pPr>
      <w:r w:rsidRPr="00134F8E">
        <w:rPr>
          <w:rStyle w:val="FootnoteReference"/>
          <w:sz w:val="24"/>
          <w:lang w:val="sk-SK"/>
        </w:rPr>
        <w:footnoteRef/>
      </w:r>
      <w:r w:rsidR="00134F8E" w:rsidRPr="00134F8E">
        <w:rPr>
          <w:sz w:val="24"/>
          <w:lang w:val="sk-SK"/>
        </w:rPr>
        <w:t xml:space="preserve"> </w:t>
      </w:r>
      <w:r w:rsidR="00134F8E" w:rsidRPr="00134F8E">
        <w:rPr>
          <w:sz w:val="24"/>
          <w:lang w:val="sk-SK"/>
        </w:rPr>
        <w:tab/>
      </w:r>
      <w:r w:rsidR="004A2E21" w:rsidRPr="00B86B4E">
        <w:rPr>
          <w:sz w:val="24"/>
          <w:u w:color="0000FF"/>
          <w:lang w:val="sk-SK"/>
        </w:rPr>
        <w:t>Štúdia – „</w:t>
      </w:r>
      <w:proofErr w:type="spellStart"/>
      <w:r w:rsidR="004A2E21" w:rsidRPr="00B86B4E">
        <w:rPr>
          <w:sz w:val="24"/>
          <w:u w:color="0000FF"/>
          <w:lang w:val="sk-SK"/>
        </w:rPr>
        <w:t>European</w:t>
      </w:r>
      <w:proofErr w:type="spellEnd"/>
      <w:r w:rsidR="004A2E21" w:rsidRPr="00B86B4E">
        <w:rPr>
          <w:sz w:val="24"/>
          <w:u w:color="0000FF"/>
          <w:lang w:val="sk-SK"/>
        </w:rPr>
        <w:t xml:space="preserve"> </w:t>
      </w:r>
      <w:proofErr w:type="spellStart"/>
      <w:r w:rsidR="004A2E21" w:rsidRPr="00B86B4E">
        <w:rPr>
          <w:sz w:val="24"/>
          <w:u w:color="0000FF"/>
          <w:lang w:val="sk-SK"/>
        </w:rPr>
        <w:t>Historical</w:t>
      </w:r>
      <w:proofErr w:type="spellEnd"/>
      <w:r w:rsidR="004A2E21" w:rsidRPr="00B86B4E">
        <w:rPr>
          <w:sz w:val="24"/>
          <w:u w:color="0000FF"/>
          <w:lang w:val="sk-SK"/>
        </w:rPr>
        <w:t xml:space="preserve"> </w:t>
      </w:r>
      <w:proofErr w:type="spellStart"/>
      <w:r w:rsidR="004A2E21" w:rsidRPr="00B86B4E">
        <w:rPr>
          <w:sz w:val="24"/>
          <w:u w:color="0000FF"/>
          <w:lang w:val="sk-SK"/>
        </w:rPr>
        <w:t>Memory</w:t>
      </w:r>
      <w:proofErr w:type="spellEnd"/>
      <w:r w:rsidR="004A2E21" w:rsidRPr="00B86B4E">
        <w:rPr>
          <w:sz w:val="24"/>
          <w:u w:color="0000FF"/>
          <w:lang w:val="sk-SK"/>
        </w:rPr>
        <w:t xml:space="preserve">: </w:t>
      </w:r>
      <w:proofErr w:type="spellStart"/>
      <w:r w:rsidR="004A2E21" w:rsidRPr="00B86B4E">
        <w:rPr>
          <w:sz w:val="24"/>
          <w:u w:color="0000FF"/>
          <w:lang w:val="sk-SK"/>
        </w:rPr>
        <w:t>Policies</w:t>
      </w:r>
      <w:proofErr w:type="spellEnd"/>
      <w:r w:rsidR="004A2E21" w:rsidRPr="00B86B4E">
        <w:rPr>
          <w:sz w:val="24"/>
          <w:u w:color="0000FF"/>
          <w:lang w:val="sk-SK"/>
        </w:rPr>
        <w:t xml:space="preserve">, </w:t>
      </w:r>
      <w:proofErr w:type="spellStart"/>
      <w:r w:rsidR="004A2E21" w:rsidRPr="00B86B4E">
        <w:rPr>
          <w:sz w:val="24"/>
          <w:u w:color="0000FF"/>
          <w:lang w:val="sk-SK"/>
        </w:rPr>
        <w:t>Challenges</w:t>
      </w:r>
      <w:proofErr w:type="spellEnd"/>
      <w:r w:rsidR="004A2E21" w:rsidRPr="00B86B4E">
        <w:rPr>
          <w:sz w:val="24"/>
          <w:u w:color="0000FF"/>
          <w:lang w:val="sk-SK"/>
        </w:rPr>
        <w:t xml:space="preserve"> and </w:t>
      </w:r>
      <w:proofErr w:type="spellStart"/>
      <w:r w:rsidR="004A2E21" w:rsidRPr="00B86B4E">
        <w:rPr>
          <w:sz w:val="24"/>
          <w:u w:color="0000FF"/>
          <w:lang w:val="sk-SK"/>
        </w:rPr>
        <w:t>Perspectives</w:t>
      </w:r>
      <w:proofErr w:type="spellEnd"/>
      <w:r w:rsidR="004A2E21" w:rsidRPr="00B86B4E">
        <w:rPr>
          <w:sz w:val="24"/>
          <w:u w:color="0000FF"/>
          <w:lang w:val="sk-SK"/>
        </w:rPr>
        <w:t>“ (Európska historická pamäť: politiky, výzvy a vyhliadky do budúcnosti) (druhé vydanie), Európsky parlament, generálne riaditeľstvo pre vnútorné politiky Únie, tematická sekcia B – Štrukturálne politiky a politiky súdržnosti, apríl 2015.</w:t>
      </w:r>
    </w:p>
  </w:footnote>
  <w:footnote w:id="11">
    <w:p w:rsidR="00405483" w:rsidRPr="00B86B4E" w:rsidRDefault="00405483" w:rsidP="00134F8E">
      <w:pPr>
        <w:pStyle w:val="FootnoteText"/>
        <w:ind w:left="567" w:hanging="567"/>
        <w:rPr>
          <w:sz w:val="24"/>
          <w:u w:color="0000FF"/>
          <w:lang w:val="sk-SK"/>
        </w:rPr>
      </w:pPr>
      <w:r w:rsidRPr="004A2E21">
        <w:rPr>
          <w:rStyle w:val="FootnoteReference"/>
          <w:sz w:val="24"/>
          <w:lang w:val="sk-SK"/>
        </w:rPr>
        <w:footnoteRef/>
      </w:r>
      <w:r w:rsidR="00134F8E" w:rsidRPr="004A2E21">
        <w:rPr>
          <w:sz w:val="24"/>
          <w:lang w:val="sk-SK"/>
        </w:rPr>
        <w:t xml:space="preserve"> </w:t>
      </w:r>
      <w:r w:rsidR="00134F8E" w:rsidRPr="004A2E21">
        <w:rPr>
          <w:sz w:val="24"/>
          <w:lang w:val="sk-SK"/>
        </w:rPr>
        <w:tab/>
      </w:r>
      <w:r w:rsidR="004A2E21" w:rsidRPr="00B86B4E">
        <w:rPr>
          <w:sz w:val="24"/>
          <w:u w:color="0000FF"/>
          <w:lang w:val="sk-SK"/>
        </w:rPr>
        <w:t>Štúdia – „</w:t>
      </w:r>
      <w:proofErr w:type="spellStart"/>
      <w:r w:rsidR="004A2E21" w:rsidRPr="00B86B4E">
        <w:rPr>
          <w:sz w:val="24"/>
          <w:u w:color="0000FF"/>
          <w:lang w:val="sk-SK"/>
        </w:rPr>
        <w:t>European</w:t>
      </w:r>
      <w:proofErr w:type="spellEnd"/>
      <w:r w:rsidR="004A2E21" w:rsidRPr="00B86B4E">
        <w:rPr>
          <w:sz w:val="24"/>
          <w:u w:color="0000FF"/>
          <w:lang w:val="sk-SK"/>
        </w:rPr>
        <w:t xml:space="preserve"> Identity“ (Európska identita), Európsky parlament, generálne riaditeľstvo pre vnútorné politiky Únie, tematická sekcia B – Štrukturálne politiky a politiky súdržnosti, apríl 2017.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4F8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4F8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4F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2/2023"/>
    <w:docVar w:name="dvlangue" w:val="SK"/>
    <w:docVar w:name="dvnumam" w:val="0"/>
    <w:docVar w:name="dvpe" w:val="752.701"/>
    <w:docVar w:name="dvrapporteur" w:val="Spravodajkyňa: "/>
    <w:docVar w:name="dvtitre" w:val="Uznesenie Európskeho parlamentu z xx. januára 2024 o európskom historickom vedomí(2023/2112(INI))"/>
  </w:docVars>
  <w:rsids>
    <w:rsidRoot w:val="00AB196D"/>
    <w:rsid w:val="00002272"/>
    <w:rsid w:val="00064002"/>
    <w:rsid w:val="000677B9"/>
    <w:rsid w:val="000831BA"/>
    <w:rsid w:val="000A42CC"/>
    <w:rsid w:val="000E7DD9"/>
    <w:rsid w:val="000F730A"/>
    <w:rsid w:val="0010095E"/>
    <w:rsid w:val="00125B37"/>
    <w:rsid w:val="00134F8E"/>
    <w:rsid w:val="00187494"/>
    <w:rsid w:val="001F32AE"/>
    <w:rsid w:val="002767FF"/>
    <w:rsid w:val="002B18FE"/>
    <w:rsid w:val="002B5493"/>
    <w:rsid w:val="00334DE9"/>
    <w:rsid w:val="00343214"/>
    <w:rsid w:val="00361C00"/>
    <w:rsid w:val="00395FA1"/>
    <w:rsid w:val="003E15D4"/>
    <w:rsid w:val="00405483"/>
    <w:rsid w:val="00411CCE"/>
    <w:rsid w:val="0041666E"/>
    <w:rsid w:val="00421060"/>
    <w:rsid w:val="00471C19"/>
    <w:rsid w:val="004867E3"/>
    <w:rsid w:val="00494A28"/>
    <w:rsid w:val="004A2E21"/>
    <w:rsid w:val="004C0004"/>
    <w:rsid w:val="004C5D52"/>
    <w:rsid w:val="004D1B71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411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196D"/>
    <w:rsid w:val="00AB441E"/>
    <w:rsid w:val="00AB6293"/>
    <w:rsid w:val="00AE0928"/>
    <w:rsid w:val="00AF3B82"/>
    <w:rsid w:val="00B12E95"/>
    <w:rsid w:val="00B22876"/>
    <w:rsid w:val="00B558F0"/>
    <w:rsid w:val="00B86B4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604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826CAA"/>
  <w15:chartTrackingRefBased/>
  <w15:docId w15:val="{DBEF0EEB-B6AE-4856-A096-1E278523F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05483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rsid w:val="00405483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NormalCenter12a">
    <w:name w:val="NormalCenter12a"/>
    <w:basedOn w:val="Normal"/>
    <w:rsid w:val="00405483"/>
    <w:pPr>
      <w:spacing w:after="240"/>
      <w:jc w:val="center"/>
    </w:pPr>
    <w:rPr>
      <w:lang w:val="en-GB"/>
    </w:rPr>
  </w:style>
  <w:style w:type="character" w:customStyle="1" w:styleId="BoldItalic">
    <w:name w:val="BoldItalic"/>
    <w:uiPriority w:val="1"/>
    <w:rsid w:val="00405483"/>
    <w:rPr>
      <w:b/>
      <w:i/>
      <w:u w:val="none"/>
    </w:rPr>
  </w:style>
  <w:style w:type="character" w:customStyle="1" w:styleId="Italic">
    <w:name w:val="Italic"/>
    <w:uiPriority w:val="1"/>
    <w:rsid w:val="00405483"/>
    <w:rPr>
      <w:i/>
    </w:rPr>
  </w:style>
  <w:style w:type="paragraph" w:customStyle="1" w:styleId="Normal12a24b">
    <w:name w:val="Normal12a24b"/>
    <w:basedOn w:val="Normal"/>
    <w:rsid w:val="00405483"/>
    <w:pPr>
      <w:spacing w:before="360" w:after="240"/>
    </w:pPr>
    <w:rPr>
      <w:snapToGrid w:val="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2EE2F-86BE-4854-B8C0-9075AD143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2409</Words>
  <Characters>15072</Characters>
  <Application>Microsoft Office Word</Application>
  <DocSecurity>0</DocSecurity>
  <Lines>418</Lines>
  <Paragraphs>210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2024-01-17T10:46:00Z</dcterms:created>
  <dcterms:modified xsi:type="dcterms:W3CDTF">2024-01-17T10:46:00Z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A9-0402/2023</vt:lpwstr>
  </property>
  <property fmtid="{D5CDD505-2E9C-101B-9397-08002B2CF9AE}" pid="4" name="&lt;Type&gt;">
    <vt:lpwstr>RR</vt:lpwstr>
  </property>
</Properties>
</file>