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D89" w14:paraId="53651933" w14:textId="77777777" w:rsidTr="0010095E">
        <w:trPr>
          <w:trHeight w:hRule="exact" w:val="1418"/>
        </w:trPr>
        <w:tc>
          <w:tcPr>
            <w:tcW w:w="6804" w:type="dxa"/>
            <w:shd w:val="clear" w:color="auto" w:fill="auto"/>
            <w:vAlign w:val="center"/>
          </w:tcPr>
          <w:p w14:paraId="395F79EB" w14:textId="77777777" w:rsidR="00751A4A" w:rsidRPr="00405D89" w:rsidRDefault="00CC5E32" w:rsidP="0010095E">
            <w:pPr>
              <w:pStyle w:val="EPName"/>
            </w:pPr>
            <w:r w:rsidRPr="002025BF">
              <w:t>Europa-Parlamentet</w:t>
            </w:r>
          </w:p>
          <w:p w14:paraId="1ED5113A" w14:textId="77777777" w:rsidR="00751A4A" w:rsidRPr="00405D89" w:rsidRDefault="00817416" w:rsidP="00756632">
            <w:pPr>
              <w:pStyle w:val="EPTerm"/>
              <w:rPr>
                <w:rStyle w:val="HideTWBExt"/>
                <w:noProof w:val="0"/>
                <w:vanish w:val="0"/>
                <w:color w:val="auto"/>
              </w:rPr>
            </w:pPr>
            <w:r w:rsidRPr="00405D89">
              <w:t>2019-2024</w:t>
            </w:r>
          </w:p>
        </w:tc>
        <w:tc>
          <w:tcPr>
            <w:tcW w:w="2268" w:type="dxa"/>
            <w:shd w:val="clear" w:color="auto" w:fill="auto"/>
          </w:tcPr>
          <w:p w14:paraId="6F02A447" w14:textId="77777777" w:rsidR="00751A4A" w:rsidRPr="002025BF" w:rsidRDefault="00187494" w:rsidP="0010095E">
            <w:pPr>
              <w:pStyle w:val="EPLogo"/>
            </w:pPr>
            <w:r w:rsidRPr="002025BF">
              <w:rPr>
                <w:noProof/>
                <w:lang w:val="en-GB"/>
              </w:rPr>
              <w:drawing>
                <wp:inline distT="0" distB="0" distL="0" distR="0" wp14:anchorId="68D83E42" wp14:editId="4AD96A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849876" w14:textId="77777777" w:rsidR="00D058B8" w:rsidRPr="00405D89" w:rsidRDefault="00D058B8" w:rsidP="004C5D52">
      <w:pPr>
        <w:pStyle w:val="LineTop"/>
      </w:pPr>
    </w:p>
    <w:p w14:paraId="41D9C607" w14:textId="77777777" w:rsidR="00680577" w:rsidRPr="00405D89" w:rsidRDefault="00CC5E32" w:rsidP="00680577">
      <w:pPr>
        <w:pStyle w:val="EPBodyTA1"/>
      </w:pPr>
      <w:r w:rsidRPr="00405D89">
        <w:t>VEDTAGNE TEKSTER</w:t>
      </w:r>
    </w:p>
    <w:p w14:paraId="5A8EC83E" w14:textId="77777777" w:rsidR="00D058B8" w:rsidRPr="00405D89" w:rsidRDefault="00D058B8" w:rsidP="00D058B8">
      <w:pPr>
        <w:pStyle w:val="LineBottom"/>
      </w:pPr>
    </w:p>
    <w:p w14:paraId="32A4DA3A" w14:textId="77777777" w:rsidR="00CC5E32" w:rsidRPr="008D4C0E" w:rsidRDefault="00CC5E32" w:rsidP="00CC5E32">
      <w:pPr>
        <w:pStyle w:val="ATHeading1"/>
      </w:pPr>
      <w:bookmarkStart w:id="0" w:name="TANumber"/>
      <w:r w:rsidRPr="008D4C0E">
        <w:t>P9_TA(2024)00</w:t>
      </w:r>
      <w:r w:rsidR="00122074">
        <w:t>31</w:t>
      </w:r>
      <w:bookmarkEnd w:id="0"/>
    </w:p>
    <w:p w14:paraId="7954A587" w14:textId="77777777" w:rsidR="00CC5E32" w:rsidRPr="008D4C0E" w:rsidRDefault="00CC5E32" w:rsidP="00CC5E32">
      <w:pPr>
        <w:pStyle w:val="ATHeading2"/>
      </w:pPr>
      <w:bookmarkStart w:id="1" w:name="title"/>
      <w:r w:rsidRPr="008D4C0E">
        <w:t>EU-udviklingssamarbejde til støtte for målsætningen om global adgang til energi i 2030</w:t>
      </w:r>
      <w:bookmarkEnd w:id="1"/>
    </w:p>
    <w:p w14:paraId="3F5F30AB" w14:textId="77777777" w:rsidR="00CC5E32" w:rsidRPr="002025BF" w:rsidRDefault="00CC5E32" w:rsidP="00CC5E32">
      <w:pPr>
        <w:rPr>
          <w:i/>
          <w:vanish/>
        </w:rPr>
      </w:pPr>
      <w:r w:rsidRPr="002025BF">
        <w:rPr>
          <w:i/>
        </w:rPr>
        <w:fldChar w:fldCharType="begin"/>
      </w:r>
      <w:r w:rsidRPr="002025BF">
        <w:rPr>
          <w:i/>
        </w:rPr>
        <w:instrText xml:space="preserve"> TC"(</w:instrText>
      </w:r>
      <w:bookmarkStart w:id="2" w:name="DocNumber"/>
      <w:r w:rsidRPr="002025BF">
        <w:rPr>
          <w:i/>
        </w:rPr>
        <w:instrText>A</w:instrText>
      </w:r>
      <w:r w:rsidRPr="00405D89">
        <w:rPr>
          <w:i/>
        </w:rPr>
        <w:instrText>9</w:instrText>
      </w:r>
      <w:r w:rsidRPr="008D4C0E">
        <w:rPr>
          <w:i/>
        </w:rPr>
        <w:instrText>-0441/2023</w:instrText>
      </w:r>
      <w:bookmarkEnd w:id="2"/>
      <w:r w:rsidRPr="008D4C0E">
        <w:rPr>
          <w:i/>
        </w:rPr>
        <w:instrText xml:space="preserve"> - Ordfører: Caroline Roose)"\l3 \n&gt; \* MERGEFORMAT </w:instrText>
      </w:r>
      <w:r w:rsidRPr="002025BF">
        <w:rPr>
          <w:i/>
        </w:rPr>
        <w:fldChar w:fldCharType="end"/>
      </w:r>
    </w:p>
    <w:p w14:paraId="41DAD714" w14:textId="77777777" w:rsidR="00CC5E32" w:rsidRPr="008D4C0E" w:rsidRDefault="00CC5E32" w:rsidP="00CC5E32">
      <w:pPr>
        <w:rPr>
          <w:vanish/>
        </w:rPr>
      </w:pPr>
      <w:bookmarkStart w:id="3" w:name="Commission"/>
      <w:r w:rsidRPr="00405D89">
        <w:rPr>
          <w:vanish/>
        </w:rPr>
        <w:t>Udviklingsudvalget</w:t>
      </w:r>
      <w:bookmarkEnd w:id="3"/>
    </w:p>
    <w:p w14:paraId="0379F4A2" w14:textId="77777777" w:rsidR="00CC5E32" w:rsidRPr="008D4C0E" w:rsidRDefault="00CC5E32" w:rsidP="00CC5E32">
      <w:pPr>
        <w:rPr>
          <w:vanish/>
        </w:rPr>
      </w:pPr>
      <w:bookmarkStart w:id="4" w:name="PE"/>
      <w:r w:rsidRPr="008D4C0E">
        <w:rPr>
          <w:vanish/>
        </w:rPr>
        <w:t>PE753.463</w:t>
      </w:r>
      <w:bookmarkEnd w:id="4"/>
    </w:p>
    <w:p w14:paraId="78AAA092" w14:textId="77777777" w:rsidR="00CC5E32" w:rsidRPr="008D4C0E" w:rsidRDefault="00CC5E32" w:rsidP="00CC5E32">
      <w:pPr>
        <w:pStyle w:val="ATHeading3"/>
      </w:pPr>
      <w:bookmarkStart w:id="5" w:name="Sujet"/>
      <w:r w:rsidRPr="008D4C0E">
        <w:t xml:space="preserve">Europa-Parlamentets beslutning af </w:t>
      </w:r>
      <w:r w:rsidR="002025BF" w:rsidRPr="008D4C0E">
        <w:t>17</w:t>
      </w:r>
      <w:r w:rsidRPr="008D4C0E">
        <w:t>. januar 2024 om EU-udviklingssamarbejde til støtte for målsætningen om global adgang til energi i 2030</w:t>
      </w:r>
      <w:bookmarkEnd w:id="5"/>
      <w:r w:rsidRPr="008D4C0E">
        <w:t xml:space="preserve"> </w:t>
      </w:r>
      <w:bookmarkStart w:id="6" w:name="References"/>
      <w:r w:rsidRPr="008D4C0E">
        <w:t>(2023/2073(INI))</w:t>
      </w:r>
      <w:bookmarkEnd w:id="6"/>
    </w:p>
    <w:p w14:paraId="44DF0A4F" w14:textId="77777777" w:rsidR="00720FDF" w:rsidRPr="008D4C0E" w:rsidRDefault="00720FDF" w:rsidP="00720FDF">
      <w:pPr>
        <w:pStyle w:val="EPComma"/>
      </w:pPr>
      <w:bookmarkStart w:id="7" w:name="TextBodyBegin"/>
      <w:bookmarkEnd w:id="7"/>
      <w:r w:rsidRPr="002025BF">
        <w:rPr>
          <w:rStyle w:val="Italic"/>
        </w:rPr>
        <w:t>Europa-Parlamentet</w:t>
      </w:r>
      <w:r w:rsidRPr="00405D89">
        <w:t>,</w:t>
      </w:r>
    </w:p>
    <w:p w14:paraId="3B9B498C" w14:textId="77777777" w:rsidR="00720FDF" w:rsidRPr="008D4C0E" w:rsidRDefault="00720FDF" w:rsidP="00720FDF">
      <w:pPr>
        <w:pStyle w:val="NormalHanging12a"/>
      </w:pPr>
      <w:r w:rsidRPr="008D4C0E">
        <w:t>–</w:t>
      </w:r>
      <w:r w:rsidRPr="008D4C0E">
        <w:tab/>
        <w:t>der henviser til FN's 2030-dagsorden for bæredygtig udvikling og verdensmålene for bæredygtig udvikling (SDG), navnlig verdensmål 1 om fattigdomsudryddelse, verdensmål 7 om sikring af adgang til prisoverkommelig, pålidelig, bæredygtig og moderne energi for alle, verdensmål 9 om industri og infrastruktur, verdensmål 13 om klimaindsats og verdensmål 5 om opnåelse af ligestilling mellem kønnene og styrkelse af alle kvinders og pigers rettigheder og muligheder,</w:t>
      </w:r>
    </w:p>
    <w:p w14:paraId="4F615953" w14:textId="77777777" w:rsidR="00720FDF" w:rsidRPr="008D4C0E" w:rsidRDefault="00720FDF" w:rsidP="00720FDF">
      <w:pPr>
        <w:pStyle w:val="NormalHanging12a"/>
      </w:pPr>
      <w:r w:rsidRPr="008D4C0E">
        <w:t>–</w:t>
      </w:r>
      <w:r w:rsidRPr="008D4C0E">
        <w:tab/>
        <w:t>der henviser til artikel 208 i traktaten om Den Europæiske Unions funktionsmåde, der har nedbringelse og på sigt udryddelse af fattigdom som hovedmålet for EU's udviklingspolitik og stiller krav om, at "Unionen tager hensyn til målene for udviklingssamarbejdet i forbindelse med iværksættelse af politikker, der kan påvirke udviklingslandene",</w:t>
      </w:r>
    </w:p>
    <w:p w14:paraId="64AC9A58" w14:textId="77777777" w:rsidR="00720FDF" w:rsidRPr="008D4C0E" w:rsidRDefault="00720FDF" w:rsidP="00720FDF">
      <w:pPr>
        <w:pStyle w:val="NormalHanging12a"/>
      </w:pPr>
      <w:r w:rsidRPr="008D4C0E">
        <w:t>–</w:t>
      </w:r>
      <w:r w:rsidRPr="008D4C0E">
        <w:tab/>
        <w:t>der henviser til artikel 3, stk. 5, og artikel 21 i traktaten om Den Europæiske Union, som beskriver Unionens engagement i en værdibaseret tilgang til udviklingssamarbejde for at sikre sammenhæng i sin optræden udadtil, overholde principperne i FN-pagten og fremme en bæredygtig økonomisk, social og miljømæssig udvikling i udviklingslandene,</w:t>
      </w:r>
    </w:p>
    <w:p w14:paraId="4CAA0FF7" w14:textId="77777777" w:rsidR="00720FDF" w:rsidRPr="00405D89" w:rsidRDefault="00720FDF" w:rsidP="00720FDF">
      <w:pPr>
        <w:pStyle w:val="NormalHanging12a"/>
      </w:pPr>
      <w:r w:rsidRPr="008D4C0E">
        <w:t>–</w:t>
      </w:r>
      <w:r w:rsidRPr="008D4C0E">
        <w:tab/>
        <w:t>der henviser til fælles erklæring af 30. juni 2017 fra Rådet og repræsentanterne for medlemsstaternes regeringer, forsamlet i Rådet, Europa-Parlamentet og Kommissionen, om den nye europæiske konsensus om udvikling – "Vores verden, vores værdighed, vores fremtid"</w:t>
      </w:r>
      <w:r w:rsidRPr="002025BF">
        <w:rPr>
          <w:rStyle w:val="FootnoteReference"/>
        </w:rPr>
        <w:footnoteReference w:id="1"/>
      </w:r>
      <w:r w:rsidRPr="002025BF">
        <w:t>,</w:t>
      </w:r>
    </w:p>
    <w:p w14:paraId="33334315" w14:textId="77777777" w:rsidR="00720FDF" w:rsidRPr="008D4C0E" w:rsidRDefault="00720FDF" w:rsidP="00720FDF">
      <w:pPr>
        <w:pStyle w:val="NormalHanging12a"/>
      </w:pPr>
      <w:r w:rsidRPr="008D4C0E">
        <w:t>–</w:t>
      </w:r>
      <w:r w:rsidRPr="008D4C0E">
        <w:tab/>
        <w:t xml:space="preserve">der henviser til Europa-Parlamentets og Rådets forordning (EU) 2021/947 af 9. juni 2021 om oprettelse af instrumentet for naboskab, udviklingssamarbejde og </w:t>
      </w:r>
      <w:r w:rsidRPr="008D4C0E">
        <w:lastRenderedPageBreak/>
        <w:t>internationalt samarbejde – et globalt Europa, og om ændring og ophævelse af Europa-Parlamentets og Rådets afgørelse nr. 466/2014/EU og ophævelse af Europa-Parlamentets og Rådets forordning (EU) 2017/1601 og Rådets forordning (EF, Euratom) nr. 480/2009</w:t>
      </w:r>
      <w:r w:rsidRPr="002025BF">
        <w:rPr>
          <w:rStyle w:val="FootnoteReference"/>
        </w:rPr>
        <w:footnoteReference w:id="2"/>
      </w:r>
      <w:r w:rsidRPr="002025BF">
        <w:t>,</w:t>
      </w:r>
    </w:p>
    <w:p w14:paraId="50A159FD" w14:textId="77777777" w:rsidR="00720FDF" w:rsidRPr="008D4C0E" w:rsidRDefault="00720FDF" w:rsidP="00720FDF">
      <w:pPr>
        <w:pStyle w:val="NormalHanging12a"/>
      </w:pPr>
      <w:r w:rsidRPr="008D4C0E">
        <w:t>–</w:t>
      </w:r>
      <w:r w:rsidRPr="008D4C0E">
        <w:tab/>
        <w:t>der henviser til Rådets konklusioner af 4. oktober 2022 om klimafinansiering med henblik på UNFCCC's 27. partskonference (COP27) den 6.-18. november 2022 i Sharm al-Sheikh, af 25. januar 2021 om klima- og energidiplomati – gennemførelse af den eksterne dimension af den europæiske grønne pagt og af 28. november 2016 om energi og udvikling,</w:t>
      </w:r>
    </w:p>
    <w:p w14:paraId="59062530" w14:textId="77777777" w:rsidR="00720FDF" w:rsidRPr="008D4C0E" w:rsidRDefault="00720FDF" w:rsidP="00720FDF">
      <w:pPr>
        <w:pStyle w:val="NormalHanging12a"/>
      </w:pPr>
      <w:r w:rsidRPr="008D4C0E">
        <w:t>–</w:t>
      </w:r>
      <w:r w:rsidRPr="008D4C0E">
        <w:tab/>
        <w:t>der henviser til Kommissionens meddelelse af 11. december 2019 med titlen "Den europæiske grønne pagt" (COM(2019)0640),</w:t>
      </w:r>
    </w:p>
    <w:p w14:paraId="5BCD79F4" w14:textId="77777777" w:rsidR="00720FDF" w:rsidRPr="008D4C0E" w:rsidRDefault="00720FDF" w:rsidP="00720FDF">
      <w:pPr>
        <w:pStyle w:val="NormalHanging12a"/>
      </w:pPr>
      <w:r w:rsidRPr="008D4C0E">
        <w:t>–</w:t>
      </w:r>
      <w:r w:rsidRPr="008D4C0E">
        <w:tab/>
        <w:t>der henviser til Kommissionens forslag af 16. marts 2023 til Europa-Parlamentets og Rådets forordning om fastlæggelse af en ramme for at sikre en sikker og bæredygtig forsyning med kritiske råstoffer og om ændring af forordning (EU) nr. 168/2013, (EU) 2018/858, (EU) 2018/1724 og (EU) 2019/1020 (COM(2023)0160),</w:t>
      </w:r>
    </w:p>
    <w:p w14:paraId="74CC6579" w14:textId="77777777" w:rsidR="00720FDF" w:rsidRPr="008D4C0E" w:rsidRDefault="00720FDF" w:rsidP="00720FDF">
      <w:pPr>
        <w:pStyle w:val="NormalHanging12a"/>
      </w:pPr>
      <w:r w:rsidRPr="008D4C0E">
        <w:t>–</w:t>
      </w:r>
      <w:r w:rsidRPr="008D4C0E">
        <w:tab/>
        <w:t>der henviser til Kommissionens delegerede forordning (EU) 2023/1184 af 10. februar 2023 om supplerende regler til Europa-Parlamentets og Rådets direktiv (EU) 2018/2001 ved at fastlægge en EU-metode med nærmere regler for produktionen af vedvarende flydende eller gasformige transportbrændstoffer, der ikke er af biologisk oprindelse</w:t>
      </w:r>
      <w:r w:rsidRPr="002025BF">
        <w:rPr>
          <w:rStyle w:val="FootnoteReference"/>
        </w:rPr>
        <w:footnoteReference w:id="3"/>
      </w:r>
      <w:r w:rsidRPr="002025BF">
        <w:t>,</w:t>
      </w:r>
    </w:p>
    <w:p w14:paraId="605DB902" w14:textId="77777777" w:rsidR="00720FDF" w:rsidRPr="008D4C0E" w:rsidRDefault="00720FDF" w:rsidP="00720FDF">
      <w:pPr>
        <w:pStyle w:val="NormalHanging12a"/>
      </w:pPr>
      <w:r w:rsidRPr="008D4C0E">
        <w:t>–</w:t>
      </w:r>
      <w:r w:rsidRPr="008D4C0E">
        <w:tab/>
        <w:t>der henviser til Kommissionens meddelelse af 16. marts 2023 om Den Europæiske Brintbank (COM(2023)0156),</w:t>
      </w:r>
    </w:p>
    <w:p w14:paraId="068F6ADB" w14:textId="77777777" w:rsidR="00720FDF" w:rsidRPr="008D4C0E" w:rsidRDefault="00720FDF" w:rsidP="00720FDF">
      <w:pPr>
        <w:pStyle w:val="NormalHanging12a"/>
      </w:pPr>
      <w:r w:rsidRPr="008D4C0E">
        <w:t>–</w:t>
      </w:r>
      <w:r w:rsidRPr="008D4C0E">
        <w:tab/>
        <w:t>der henviser til Kommissionens meddelelse af 8. juli 2020 med titlen "En strategi for brint med henblik på et klimaneutralt Europa" (COM(2020)0301),</w:t>
      </w:r>
    </w:p>
    <w:p w14:paraId="470300F7" w14:textId="77777777" w:rsidR="00720FDF" w:rsidRPr="008D4C0E" w:rsidRDefault="00720FDF" w:rsidP="00720FDF">
      <w:pPr>
        <w:pStyle w:val="NormalHanging12a"/>
      </w:pPr>
      <w:r w:rsidRPr="008D4C0E">
        <w:t>–</w:t>
      </w:r>
      <w:r w:rsidRPr="008D4C0E">
        <w:tab/>
        <w:t>der henviser til den fælles meddelelse af 18. maj 2022 fra Kommissionen og Unionens højtstående repræsentant for udenrigsanliggender og sikkerhedspolitik med titlen "EU's eksterne engagement på energiområdet i en verden i forandring" (JOIN(2022)0023),</w:t>
      </w:r>
    </w:p>
    <w:p w14:paraId="5948E06A" w14:textId="77777777" w:rsidR="00720FDF" w:rsidRPr="008D4C0E" w:rsidRDefault="00720FDF" w:rsidP="00720FDF">
      <w:pPr>
        <w:pStyle w:val="NormalHanging12a"/>
      </w:pPr>
      <w:r w:rsidRPr="008D4C0E">
        <w:t>–</w:t>
      </w:r>
      <w:r w:rsidRPr="008D4C0E">
        <w:tab/>
        <w:t>der henviser til den fælles meddelelse fra Kommissionen og Unionens højtstående repræsentant for udenrigsanliggender og sikkerhedspolitik af 1. december 2021 med titlen "The Global Gateway" (JOIN(2021)0030),</w:t>
      </w:r>
    </w:p>
    <w:p w14:paraId="5BD636CC" w14:textId="77777777" w:rsidR="00720FDF" w:rsidRPr="008D4C0E" w:rsidRDefault="00720FDF" w:rsidP="00720FDF">
      <w:pPr>
        <w:pStyle w:val="NormalHanging12a"/>
      </w:pPr>
      <w:r w:rsidRPr="008D4C0E">
        <w:t>–</w:t>
      </w:r>
      <w:r w:rsidRPr="008D4C0E">
        <w:tab/>
        <w:t>der henviser til den fælles meddelelse fra Kommissionen og Unionens højtstående repræsentant for udenrigsanliggender og sikkerhedspolitik af 9. marts 2020 med titlen "Frem mod en omfattende strategi for samarbejdet med Afrika" (JOIN(2020)0004),</w:t>
      </w:r>
    </w:p>
    <w:p w14:paraId="4401065A" w14:textId="77777777" w:rsidR="00720FDF" w:rsidRPr="008D4C0E" w:rsidRDefault="00720FDF" w:rsidP="00720FDF">
      <w:pPr>
        <w:pStyle w:val="NormalHanging12a"/>
      </w:pPr>
      <w:r w:rsidRPr="008D4C0E">
        <w:t>–</w:t>
      </w:r>
      <w:r w:rsidRPr="008D4C0E">
        <w:tab/>
        <w:t>der henviser til rapporten af 5. januar 2023 fra FN's Menneskerettighedsråds særlige rapportør om spørgsmålet om menneskerettighedsforpligtelser i forbindelse med retten til et sikkert, rent, sundt og bæredygtigt miljø med titlen "Kvinder, piger og retten til et rent, sundt og bæredygtigt miljø",</w:t>
      </w:r>
    </w:p>
    <w:p w14:paraId="765D8727" w14:textId="77777777" w:rsidR="00720FDF" w:rsidRPr="008D4C0E" w:rsidRDefault="00720FDF" w:rsidP="00720FDF">
      <w:pPr>
        <w:pStyle w:val="NormalHanging12a"/>
      </w:pPr>
      <w:r w:rsidRPr="008D4C0E">
        <w:t>–</w:t>
      </w:r>
      <w:r w:rsidRPr="008D4C0E">
        <w:tab/>
        <w:t xml:space="preserve">der henviser til den nye partnerskabsaftale mellem Den Europæiske Union og medlemmerne af Organisationen af Stater i Afrika, Caribien og Stillehavet (OACSS) </w:t>
      </w:r>
      <w:r w:rsidRPr="008D4C0E">
        <w:lastRenderedPageBreak/>
        <w:t>(Samoaaftalen), som træder i kraft, når Europa-Parlamentet godkender den, og den er ratificeret af parterne,</w:t>
      </w:r>
    </w:p>
    <w:p w14:paraId="7D16E8E9" w14:textId="77777777" w:rsidR="00720FDF" w:rsidRPr="008D4C0E" w:rsidRDefault="00720FDF" w:rsidP="00720FDF">
      <w:pPr>
        <w:pStyle w:val="NormalHanging12a"/>
      </w:pPr>
      <w:r w:rsidRPr="008D4C0E">
        <w:t>–</w:t>
      </w:r>
      <w:r w:rsidRPr="008D4C0E">
        <w:tab/>
        <w:t>der henviser til De Forenede Nationers rammekonvention om klimaændringer (UNFCCC) fra 1992 og Kyotoprotokollen hertil, til den 21. partskonference (COP21) under UNFCCC i december 2015 i Paris, til vedtagelsen af Parisaftalen, den første universelle, juridisk bindende globale klimaaftale nogensinde, og til Det Mellemstatslige Panel om Klimaændringers femte vurderingsrapport om klimaændringer,</w:t>
      </w:r>
    </w:p>
    <w:p w14:paraId="72F23BB0" w14:textId="77777777" w:rsidR="00720FDF" w:rsidRPr="008D4C0E" w:rsidRDefault="00720FDF" w:rsidP="00720FDF">
      <w:pPr>
        <w:pStyle w:val="NormalHanging12a"/>
      </w:pPr>
      <w:r w:rsidRPr="008D4C0E">
        <w:t>–</w:t>
      </w:r>
      <w:r w:rsidRPr="008D4C0E">
        <w:tab/>
        <w:t>der henviser til særrapporten fra Det Mellemstatslige Panel om Klimaændringer fra den 24. september 2019 om havet og kryosfæren i et klima i forandring,</w:t>
      </w:r>
    </w:p>
    <w:p w14:paraId="51E8B151" w14:textId="77777777" w:rsidR="00720FDF" w:rsidRPr="008D4C0E" w:rsidRDefault="00720FDF" w:rsidP="00720FDF">
      <w:pPr>
        <w:pStyle w:val="NormalHanging12a"/>
      </w:pPr>
      <w:r w:rsidRPr="008D4C0E">
        <w:t>–</w:t>
      </w:r>
      <w:r w:rsidRPr="008D4C0E">
        <w:tab/>
        <w:t>der henviser til FN's erklæring om oprindelige folks rettigheder, som blev vedtaget af FN's generalforsamling den 13. september 2007,</w:t>
      </w:r>
    </w:p>
    <w:p w14:paraId="66E75D4B" w14:textId="77777777" w:rsidR="00720FDF" w:rsidRPr="008D4C0E" w:rsidRDefault="00720FDF" w:rsidP="00720FDF">
      <w:pPr>
        <w:pStyle w:val="NormalHanging12a"/>
      </w:pPr>
      <w:r w:rsidRPr="008D4C0E">
        <w:t>–</w:t>
      </w:r>
      <w:r w:rsidRPr="008D4C0E">
        <w:tab/>
        <w:t>der henviser til rapporten fra FN's Miljøprogram om emissionskløften fra 2022 og til dets anden synteserapport om fossilt baseret brændstofproduktion (Production Gap Report 2021)</w:t>
      </w:r>
      <w:r w:rsidRPr="00405D89">
        <w:rPr>
          <w:rStyle w:val="FootnoteReference"/>
        </w:rPr>
        <w:footnoteReference w:id="4"/>
      </w:r>
      <w:r w:rsidRPr="00405D89">
        <w:t>,</w:t>
      </w:r>
    </w:p>
    <w:p w14:paraId="54F30386" w14:textId="77777777" w:rsidR="00720FDF" w:rsidRPr="008D4C0E" w:rsidRDefault="00720FDF" w:rsidP="00720FDF">
      <w:pPr>
        <w:pStyle w:val="NormalHanging12a"/>
      </w:pPr>
      <w:r w:rsidRPr="008D4C0E">
        <w:t>–</w:t>
      </w:r>
      <w:r w:rsidRPr="008D4C0E">
        <w:tab/>
        <w:t>der henviser til FN's vejledende principper om erhvervslivet og menneskerettigheder, som blev godkendt af FN's Menneskerettighedsråd den 16. juni 2011,</w:t>
      </w:r>
    </w:p>
    <w:p w14:paraId="09DB207F" w14:textId="77777777" w:rsidR="00720FDF" w:rsidRPr="008D4C0E" w:rsidRDefault="00720FDF" w:rsidP="00720FDF">
      <w:pPr>
        <w:pStyle w:val="NormalHanging12a"/>
      </w:pPr>
      <w:r w:rsidRPr="008D4C0E">
        <w:t>–</w:t>
      </w:r>
      <w:r w:rsidRPr="008D4C0E">
        <w:tab/>
        <w:t>der henviser til OECD's retningslinjer for multinationale virksomheder og OECD's due diligence-retningslinjer for ansvarlig forretningsadfærd,</w:t>
      </w:r>
    </w:p>
    <w:p w14:paraId="367A626F" w14:textId="77777777" w:rsidR="00720FDF" w:rsidRPr="008D4C0E" w:rsidRDefault="00720FDF" w:rsidP="00720FDF">
      <w:pPr>
        <w:pStyle w:val="NormalHanging12a"/>
      </w:pPr>
      <w:r w:rsidRPr="008D4C0E">
        <w:t>–</w:t>
      </w:r>
      <w:r w:rsidRPr="008D4C0E">
        <w:tab/>
        <w:t>der henviser til det politiske notat fra 2018 fra FN's Afdeling for Økonomisk og Socialt Samarbejde og Udviklingsspørgsmål med titlen "Policy Brief #12: Global Progress of SDG7 – Energy and Gender",</w:t>
      </w:r>
    </w:p>
    <w:p w14:paraId="101EFBF1" w14:textId="77777777" w:rsidR="00720FDF" w:rsidRPr="008D4C0E" w:rsidRDefault="00720FDF" w:rsidP="00720FDF">
      <w:pPr>
        <w:pStyle w:val="NormalHanging12a"/>
      </w:pPr>
      <w:r w:rsidRPr="008D4C0E">
        <w:t>–</w:t>
      </w:r>
      <w:r w:rsidRPr="008D4C0E">
        <w:tab/>
        <w:t>der henviser til rapporten fra 2022 fra Det Internationale Agentur for Vedvarende Energi med titlen "World Energy Transitions Outlook 2022: 1.5 °C Pathway"</w:t>
      </w:r>
      <w:r w:rsidRPr="00405D89">
        <w:rPr>
          <w:rStyle w:val="FootnoteReference"/>
        </w:rPr>
        <w:footnoteReference w:id="5"/>
      </w:r>
      <w:r w:rsidRPr="00405D89">
        <w:t>,</w:t>
      </w:r>
    </w:p>
    <w:p w14:paraId="0FB40832" w14:textId="77777777" w:rsidR="00720FDF" w:rsidRPr="008D4C0E" w:rsidRDefault="00720FDF" w:rsidP="00720FDF">
      <w:pPr>
        <w:pStyle w:val="NormalHanging12a"/>
      </w:pPr>
      <w:r w:rsidRPr="008D4C0E">
        <w:t>–</w:t>
      </w:r>
      <w:r w:rsidRPr="008D4C0E">
        <w:tab/>
        <w:t>der henviser til den fælles rapport fra 2023 fra Verdensbanken, Det Internationale Energiagentur, Det Internationale Agentur for Vedvarende Energi, FN og Verdenssundhedsorganisationen med titlen "Tracking SDG 7: The Energy Progress Report, 2023"</w:t>
      </w:r>
      <w:r w:rsidRPr="00405D89">
        <w:rPr>
          <w:rStyle w:val="FootnoteReference"/>
        </w:rPr>
        <w:footnoteReference w:id="6"/>
      </w:r>
      <w:r w:rsidRPr="00405D89">
        <w:t>,</w:t>
      </w:r>
    </w:p>
    <w:p w14:paraId="08AB301F" w14:textId="77777777" w:rsidR="00720FDF" w:rsidRPr="008D4C0E" w:rsidRDefault="00720FDF" w:rsidP="00720FDF">
      <w:pPr>
        <w:pStyle w:val="NormalHanging12a"/>
      </w:pPr>
      <w:r w:rsidRPr="008D4C0E">
        <w:t>–</w:t>
      </w:r>
      <w:r w:rsidRPr="008D4C0E">
        <w:tab/>
        <w:t xml:space="preserve">der henviser til Den Afrikanske Unions handlingsplan for grøn genopretning 2021-2027, som indeholder en omfattende strategi, der har til formål at fremme grønne </w:t>
      </w:r>
      <w:r w:rsidRPr="008D4C0E">
        <w:lastRenderedPageBreak/>
        <w:t>initiativer, reducere drivhusgasudledninger, beskytte miljøet og øge modstandsdygtigheden over for klimaændringer</w:t>
      </w:r>
      <w:r w:rsidRPr="00405D89">
        <w:rPr>
          <w:rStyle w:val="FootnoteReference"/>
        </w:rPr>
        <w:footnoteReference w:id="7"/>
      </w:r>
      <w:r w:rsidRPr="00405D89">
        <w:t>,</w:t>
      </w:r>
    </w:p>
    <w:p w14:paraId="2A61D374" w14:textId="77777777" w:rsidR="00720FDF" w:rsidRPr="008D4C0E" w:rsidRDefault="00720FDF" w:rsidP="00720FDF">
      <w:pPr>
        <w:pStyle w:val="NormalHanging12a"/>
      </w:pPr>
      <w:r w:rsidRPr="008D4C0E">
        <w:t>–</w:t>
      </w:r>
      <w:r w:rsidRPr="008D4C0E">
        <w:tab/>
        <w:t>der henviser til de afrikanske lederes Nairobierklæring om klimaændringer og opfordring til handling af 6. september 2023,</w:t>
      </w:r>
    </w:p>
    <w:p w14:paraId="05F9D9D8" w14:textId="77777777" w:rsidR="00720FDF" w:rsidRPr="008D4C0E" w:rsidRDefault="00720FDF" w:rsidP="00720FDF">
      <w:pPr>
        <w:pStyle w:val="NormalHanging12a"/>
      </w:pPr>
      <w:r w:rsidRPr="008D4C0E">
        <w:t>–</w:t>
      </w:r>
      <w:r w:rsidRPr="008D4C0E">
        <w:tab/>
        <w:t>der henviser til den afrikanske befolknings klima- og udviklingserklæring 2023,</w:t>
      </w:r>
    </w:p>
    <w:p w14:paraId="5D26D8A2" w14:textId="77777777" w:rsidR="00720FDF" w:rsidRPr="008D4C0E" w:rsidRDefault="00720FDF" w:rsidP="00720FDF">
      <w:pPr>
        <w:pStyle w:val="NormalHanging12a"/>
      </w:pPr>
      <w:r w:rsidRPr="008D4C0E">
        <w:t>–</w:t>
      </w:r>
      <w:r w:rsidRPr="008D4C0E">
        <w:tab/>
        <w:t>der henviser til sin beslutning af 14. marts 2023 om udviklingsvenlig politikkohærens</w:t>
      </w:r>
      <w:r w:rsidRPr="00405D89">
        <w:rPr>
          <w:rStyle w:val="FootnoteReference"/>
        </w:rPr>
        <w:footnoteReference w:id="8"/>
      </w:r>
      <w:r w:rsidRPr="00405D89">
        <w:t xml:space="preserve">, af </w:t>
      </w:r>
      <w:r w:rsidRPr="008D4C0E">
        <w:t>25. marts 2021 om en ny EU-Afrika-strategi – et partnerskab for bæredygtig og inklusiv udvikling</w:t>
      </w:r>
      <w:r w:rsidRPr="00405D89">
        <w:rPr>
          <w:rStyle w:val="FootnoteReference"/>
        </w:rPr>
        <w:footnoteReference w:id="9"/>
      </w:r>
      <w:r w:rsidRPr="00405D89">
        <w:t xml:space="preserve">, af </w:t>
      </w:r>
      <w:r w:rsidRPr="008D4C0E">
        <w:t>15. januar 2020 om den europæiske grønne pagt</w:t>
      </w:r>
      <w:r w:rsidRPr="00405D89">
        <w:rPr>
          <w:rStyle w:val="FootnoteReference"/>
        </w:rPr>
        <w:footnoteReference w:id="10"/>
      </w:r>
      <w:r w:rsidRPr="00405D89">
        <w:t xml:space="preserve">, af </w:t>
      </w:r>
      <w:r w:rsidRPr="008D4C0E">
        <w:t>1. december 2016 om adgang til energi i udviklingslandene</w:t>
      </w:r>
      <w:r w:rsidRPr="00405D89">
        <w:rPr>
          <w:rStyle w:val="FootnoteReference"/>
        </w:rPr>
        <w:footnoteReference w:id="11"/>
      </w:r>
      <w:r w:rsidRPr="00405D89">
        <w:t xml:space="preserve"> og af </w:t>
      </w:r>
      <w:r w:rsidRPr="008D4C0E">
        <w:t>2. februar 2012 om EU's udviklingssamarbejde til støtte for målsætningen om global adgang til energi i 2030</w:t>
      </w:r>
      <w:r w:rsidRPr="00405D89">
        <w:rPr>
          <w:rStyle w:val="FootnoteReference"/>
        </w:rPr>
        <w:footnoteReference w:id="12"/>
      </w:r>
      <w:r w:rsidRPr="00405D89">
        <w:t>,</w:t>
      </w:r>
    </w:p>
    <w:p w14:paraId="36519C4A" w14:textId="77777777" w:rsidR="00720FDF" w:rsidRPr="008D4C0E" w:rsidRDefault="00720FDF" w:rsidP="00720FDF">
      <w:pPr>
        <w:pStyle w:val="NormalHanging12a"/>
      </w:pPr>
      <w:r w:rsidRPr="008D4C0E">
        <w:t>–</w:t>
      </w:r>
      <w:r w:rsidRPr="008D4C0E">
        <w:tab/>
        <w:t>der henviser til handlingsplanen om ligestilling mellem kønnene og styrkelse af kvinders indflydelse og status i eksterne forbindelser 2021‑2025 (EU's kønshandlingsplan III),</w:t>
      </w:r>
    </w:p>
    <w:p w14:paraId="73E589C3" w14:textId="77777777" w:rsidR="00720FDF" w:rsidRPr="008D4C0E" w:rsidRDefault="00720FDF" w:rsidP="00720FDF">
      <w:pPr>
        <w:pStyle w:val="NormalHanging12a"/>
      </w:pPr>
      <w:r w:rsidRPr="008D4C0E">
        <w:t>–</w:t>
      </w:r>
      <w:r w:rsidRPr="008D4C0E">
        <w:tab/>
        <w:t>der henviser til rapporten fra Den Økonomiske Kommission for Latinamerika og Caribien fra maj 2022 med titlen "Energy in Latin America and the Caribbean: access, renewability and efficiency",</w:t>
      </w:r>
    </w:p>
    <w:p w14:paraId="47E2F799" w14:textId="77777777" w:rsidR="00720FDF" w:rsidRPr="008D4C0E" w:rsidRDefault="00720FDF" w:rsidP="00720FDF">
      <w:pPr>
        <w:pStyle w:val="NormalHanging12a"/>
      </w:pPr>
      <w:r w:rsidRPr="008D4C0E">
        <w:t>–</w:t>
      </w:r>
      <w:r w:rsidRPr="008D4C0E">
        <w:tab/>
        <w:t>der henviser til rapporten fra Verdenskommissionen for dæmninger af 16. november 2000 med titlen "A new framework for decision-making",</w:t>
      </w:r>
    </w:p>
    <w:p w14:paraId="694188DD" w14:textId="77777777" w:rsidR="00720FDF" w:rsidRPr="008D4C0E" w:rsidRDefault="00720FDF" w:rsidP="00720FDF">
      <w:pPr>
        <w:pStyle w:val="NormalHanging12a"/>
      </w:pPr>
      <w:r w:rsidRPr="008D4C0E">
        <w:t>–</w:t>
      </w:r>
      <w:r w:rsidRPr="008D4C0E">
        <w:tab/>
        <w:t>der henviser til forretningsordenens artikel 54,</w:t>
      </w:r>
    </w:p>
    <w:p w14:paraId="122C6FCA" w14:textId="77777777" w:rsidR="00720FDF" w:rsidRPr="008D4C0E" w:rsidRDefault="00720FDF" w:rsidP="00720FDF">
      <w:pPr>
        <w:pStyle w:val="NormalHanging12a"/>
      </w:pPr>
      <w:r w:rsidRPr="008D4C0E">
        <w:t>–</w:t>
      </w:r>
      <w:r w:rsidRPr="008D4C0E">
        <w:tab/>
        <w:t>der henviser til betænkning fra Udviklingsudvalget (A9-0441/2023),</w:t>
      </w:r>
    </w:p>
    <w:p w14:paraId="4DC94244" w14:textId="77777777" w:rsidR="00720FDF" w:rsidRPr="008D4C0E" w:rsidRDefault="00720FDF" w:rsidP="00720FDF">
      <w:pPr>
        <w:pStyle w:val="NormalHanging12a"/>
      </w:pPr>
      <w:r w:rsidRPr="008D4C0E">
        <w:t>A.</w:t>
      </w:r>
      <w:r w:rsidRPr="008D4C0E">
        <w:tab/>
        <w:t>der henviser til, at energi er kernen i alle verdensmålene for bæredygtig udvikling, men at det i rapporten om verdensmålene for bæredygtig udvikling 2023</w:t>
      </w:r>
      <w:r w:rsidRPr="00405D89">
        <w:rPr>
          <w:vertAlign w:val="superscript"/>
        </w:rPr>
        <w:footnoteReference w:id="13"/>
      </w:r>
      <w:r w:rsidRPr="00405D89">
        <w:t xml:space="preserve"> konkluderes, at verden stadig ikke er på vej til at opnå universel adgang til energi; der henviser til, at energi er en befordrende faktor for udviklingen, især udviklingen af landbrug, erhvervsliv, kommunikation, uddannelse, sundhedsp</w:t>
      </w:r>
      <w:r w:rsidRPr="008D4C0E">
        <w:t xml:space="preserve">leje og transport, og for statens funktion; </w:t>
      </w:r>
    </w:p>
    <w:p w14:paraId="3D001926" w14:textId="77777777" w:rsidR="00720FDF" w:rsidRPr="008D4C0E" w:rsidRDefault="00720FDF" w:rsidP="00720FDF">
      <w:pPr>
        <w:pStyle w:val="NormalHanging12a"/>
        <w:rPr>
          <w:szCs w:val="24"/>
        </w:rPr>
      </w:pPr>
      <w:r w:rsidRPr="008D4C0E">
        <w:t>B.</w:t>
      </w:r>
      <w:r w:rsidRPr="008D4C0E">
        <w:tab/>
        <w:t xml:space="preserve">der henviser til, at verdensmål 7 er målet om at opnå bæredygtig adgang til økonomisk overkommelig og ren energi senest i 2030, navnlig ved at opfordre til større internationalt samarbejde for at lette adgangen til forskning i ren og vedvarende energi, infrastruktur og teknologi og fremme investeringer til disse formål; der henviser til, at </w:t>
      </w:r>
      <w:r w:rsidRPr="008D4C0E">
        <w:lastRenderedPageBreak/>
        <w:t>det er afgørende at styrke den diplomatiske indsats for at fremme større politiske ambitioner med henblik på at tackle og afskaffe energifattigdom effektivt;</w:t>
      </w:r>
    </w:p>
    <w:p w14:paraId="47D1969A" w14:textId="77777777" w:rsidR="00720FDF" w:rsidRPr="008D4C0E" w:rsidRDefault="00720FDF" w:rsidP="00720FDF">
      <w:pPr>
        <w:pStyle w:val="NormalHanging12a"/>
        <w:rPr>
          <w:szCs w:val="24"/>
        </w:rPr>
      </w:pPr>
      <w:r w:rsidRPr="008D4C0E">
        <w:t>C.</w:t>
      </w:r>
      <w:r w:rsidRPr="008D4C0E">
        <w:tab/>
        <w:t>der henviser til, at FN medio 2023 anslog, at ca. 733 millioner mennesker på verdensplan, hvoraf 80 % bor i Afrika syd for Sahara, stadig ikke har adgang til økonomisk overkommelig, pålidelig og ren energi af høj kvalitet</w:t>
      </w:r>
      <w:r w:rsidRPr="00405D89">
        <w:rPr>
          <w:vertAlign w:val="superscript"/>
        </w:rPr>
        <w:footnoteReference w:id="14"/>
      </w:r>
      <w:r w:rsidRPr="00405D89">
        <w:t>;</w:t>
      </w:r>
    </w:p>
    <w:p w14:paraId="4E8B7CF1" w14:textId="77777777" w:rsidR="00720FDF" w:rsidRPr="008D4C0E" w:rsidRDefault="00720FDF" w:rsidP="00720FDF">
      <w:pPr>
        <w:pStyle w:val="NormalHanging12a"/>
        <w:rPr>
          <w:szCs w:val="24"/>
        </w:rPr>
      </w:pPr>
      <w:r w:rsidRPr="008D4C0E">
        <w:t>D.</w:t>
      </w:r>
      <w:r w:rsidRPr="008D4C0E">
        <w:tab/>
        <w:t>der henviser til, at adgangen til energi varierer meget fra udviklingsland til udviklingsland; der henviser til, at 52 % af befolkningen i Afrika syd for Sahara lever uden adgang til elektricitet, og at det er den eneste region i verden, hvor andelen af mennesker uden elektricitet stiger; der henviser til, at dette tal dækker over dybe forskelle, idet kun 30,4 % af regionens landbefolkning, sammenlignet med 80,7 % af bybefolkningen, har regelmæssig adgang til energi; der henviser til, at uddannelse anerkendes som en af de vigtigste komponenter i fattigdomsbekæmpelse; der henviser til, at adgang til elektricitet også understøtter kvalitetsuddannelse, men at kun 47 % af skolerne i Afrika syd for Sahara har elektricitet;</w:t>
      </w:r>
    </w:p>
    <w:p w14:paraId="58451213" w14:textId="77777777" w:rsidR="00720FDF" w:rsidRPr="008D4C0E" w:rsidRDefault="00720FDF" w:rsidP="00720FDF">
      <w:pPr>
        <w:pStyle w:val="NormalHanging12a"/>
      </w:pPr>
      <w:r w:rsidRPr="008D4C0E">
        <w:t>E.</w:t>
      </w:r>
      <w:r w:rsidRPr="008D4C0E">
        <w:tab/>
        <w:t xml:space="preserve">der henviser til, at den manglende adgang til elektricitet i bymæssige eller bynære miljøer påvirker befolkningerne i store irregulære bosættelser samt tvangsfordrevne og flygtninge; der henviser til, at selv når der er adgang til elektricitet, er kvaliteten af tjenesterne ofte dårlig; </w:t>
      </w:r>
    </w:p>
    <w:p w14:paraId="6CD34BA6" w14:textId="77777777" w:rsidR="00720FDF" w:rsidRPr="008D4C0E" w:rsidRDefault="00720FDF" w:rsidP="00720FDF">
      <w:pPr>
        <w:pStyle w:val="NormalHanging12a"/>
      </w:pPr>
      <w:r w:rsidRPr="008D4C0E">
        <w:t>F.</w:t>
      </w:r>
      <w:r w:rsidRPr="008D4C0E">
        <w:tab/>
        <w:t>der henviser til, at adgangen til økonomisk overkommelig, pålidelig, ren energi af høj kvalitet er endnu vanskeligere i lande, der er ramt af konflikter og naturkatastrofer; der henviser til, at selv i regioner, der har bedre adgang til energi, såsom Asien og Stillehavsområdet eller Latinamerika og Caribien, er der store uligheder mellem lande og mellem befolkninger;</w:t>
      </w:r>
    </w:p>
    <w:p w14:paraId="010A1CF7" w14:textId="77777777" w:rsidR="00720FDF" w:rsidRPr="008D4C0E" w:rsidRDefault="00720FDF" w:rsidP="00720FDF">
      <w:pPr>
        <w:pStyle w:val="NormalHanging12a"/>
        <w:rPr>
          <w:szCs w:val="24"/>
        </w:rPr>
      </w:pPr>
      <w:r w:rsidRPr="008D4C0E">
        <w:t>G.</w:t>
      </w:r>
      <w:r w:rsidRPr="008D4C0E">
        <w:tab/>
        <w:t>der henviser til, at energikrisen, der blev udløst af Ruslands invasion af Ukraine, fortsætter med at veje tungt med høje energipriser, der rammer de mest sårbare hårdest, især i udviklingsøkonomier;</w:t>
      </w:r>
    </w:p>
    <w:p w14:paraId="7C05D45E" w14:textId="77777777" w:rsidR="00720FDF" w:rsidRPr="008D4C0E" w:rsidRDefault="00720FDF" w:rsidP="00720FDF">
      <w:pPr>
        <w:pStyle w:val="NormalHanging12a"/>
        <w:rPr>
          <w:szCs w:val="24"/>
        </w:rPr>
      </w:pPr>
      <w:r w:rsidRPr="008D4C0E">
        <w:t>H.</w:t>
      </w:r>
      <w:r w:rsidRPr="008D4C0E">
        <w:tab/>
        <w:t>der henviser til, at adgang til energi er afgørende for, at humanitære organisationer og udviklingsorganisationer kan levere effektiv humanitær bistand, især lægehjælp og akutbehandling;</w:t>
      </w:r>
    </w:p>
    <w:p w14:paraId="06B1138A" w14:textId="77777777" w:rsidR="00720FDF" w:rsidRPr="008D4C0E" w:rsidRDefault="00720FDF" w:rsidP="00720FDF">
      <w:pPr>
        <w:pStyle w:val="NormalHanging12a"/>
        <w:rPr>
          <w:szCs w:val="24"/>
        </w:rPr>
      </w:pPr>
      <w:r w:rsidRPr="008D4C0E">
        <w:t>I.</w:t>
      </w:r>
      <w:r w:rsidRPr="008D4C0E">
        <w:tab/>
        <w:t>der henviser til, at de nuværende fremskrivninger tyder på, at omkring 660 millioner mennesker på verdensplan i 2030 ikke vil have adgang til elektricitet, og at omkring 1 milliard vil mangle adgang til ren madlavning, medmindre der træffes passende foranstaltninger;</w:t>
      </w:r>
    </w:p>
    <w:p w14:paraId="524737AD" w14:textId="77777777" w:rsidR="00720FDF" w:rsidRPr="008D4C0E" w:rsidRDefault="00720FDF" w:rsidP="00720FDF">
      <w:pPr>
        <w:pStyle w:val="NormalHanging12a"/>
      </w:pPr>
      <w:r w:rsidRPr="008D4C0E">
        <w:t>J.</w:t>
      </w:r>
      <w:r w:rsidRPr="008D4C0E">
        <w:tab/>
        <w:t>der henviser til, at bedre adgang til økonomisk overkommelig og ren energi vil frigøre bæredygtig økonomisk vækst, tiltrække virksomheder og iværksætteri og forbedre menneskers sundhed, trivsel og sikkerhed;</w:t>
      </w:r>
    </w:p>
    <w:p w14:paraId="112FB793" w14:textId="77777777" w:rsidR="00720FDF" w:rsidRPr="008D4C0E" w:rsidRDefault="00720FDF" w:rsidP="00720FDF">
      <w:pPr>
        <w:pStyle w:val="NormalHanging12a"/>
        <w:rPr>
          <w:szCs w:val="24"/>
        </w:rPr>
      </w:pPr>
      <w:r w:rsidRPr="008D4C0E">
        <w:lastRenderedPageBreak/>
        <w:t>K.</w:t>
      </w:r>
      <w:r w:rsidRPr="008D4C0E">
        <w:tab/>
        <w:t>der henviser til, at energifattigdom, der defineres som manglen på bæredygtige, rene og sikre energikilder, bl.a. er et kønsrelateret problem, og at kvinder og piger i gennemsnit bruger op til 18 timer om ugen på indsamling af brændsel til madlavning</w:t>
      </w:r>
      <w:r w:rsidRPr="00405D89">
        <w:rPr>
          <w:vertAlign w:val="superscript"/>
        </w:rPr>
        <w:footnoteReference w:id="15"/>
      </w:r>
      <w:r w:rsidRPr="00405D89">
        <w:t>;</w:t>
      </w:r>
    </w:p>
    <w:p w14:paraId="6EA24011" w14:textId="77777777" w:rsidR="00720FDF" w:rsidRPr="008D4C0E" w:rsidRDefault="00720FDF" w:rsidP="00720FDF">
      <w:pPr>
        <w:pStyle w:val="NormalHanging12a"/>
        <w:rPr>
          <w:szCs w:val="24"/>
        </w:rPr>
      </w:pPr>
      <w:r w:rsidRPr="008D4C0E">
        <w:t>L.</w:t>
      </w:r>
      <w:r w:rsidRPr="008D4C0E">
        <w:tab/>
        <w:t xml:space="preserve">der henviser til, at kvinder er stærkt underrepræsenteret i energisektorens arbejdsstyrke på verdensplan, især i lederroller; der henviser til, at inddragelse af kvinder som aktive deltagere i vedvarende energiløsninger i overensstemmelse med EU's kønshandlingsplan III vil forbedre bæredygtigheden og øge de positive kønsmæssige resultater; </w:t>
      </w:r>
    </w:p>
    <w:p w14:paraId="6180B8D2" w14:textId="77777777" w:rsidR="00720FDF" w:rsidRPr="008D4C0E" w:rsidRDefault="00720FDF" w:rsidP="00720FDF">
      <w:pPr>
        <w:pStyle w:val="NormalHanging12a"/>
      </w:pPr>
      <w:r w:rsidRPr="008D4C0E">
        <w:t>M.</w:t>
      </w:r>
      <w:r w:rsidRPr="008D4C0E">
        <w:tab/>
        <w:t xml:space="preserve">der henviser til, at traditionelle madlavningsbrændsler (fast biomasse, petroleum og kul) er de væsentligste bidragydere til kulstofemissioner, skovrydning og klimaændringer og udgør en trussel mod menneskers sundhed; der henviser til, at 2,4 milliarder mennesker verden over er afhængige af disse brændsler, hvilket resulterer i omkring 3,7 millioner for tidlige dødsfald om året, hvor kvinder og børn er de mest berørte; der henviser til, at Afrika alene i 2019 registrerede 700 000 dødsfald som følge af luftforurening i husholdningerne; </w:t>
      </w:r>
    </w:p>
    <w:p w14:paraId="223F38D1" w14:textId="77777777" w:rsidR="00720FDF" w:rsidRPr="008D4C0E" w:rsidRDefault="00720FDF" w:rsidP="00720FDF">
      <w:pPr>
        <w:pStyle w:val="NormalHanging12a"/>
        <w:rPr>
          <w:szCs w:val="24"/>
        </w:rPr>
      </w:pPr>
      <w:r w:rsidRPr="008D4C0E">
        <w:t>N.</w:t>
      </w:r>
      <w:r w:rsidRPr="008D4C0E">
        <w:tab/>
        <w:t>der henviser til, at EU's finansiering af rent brændsel til madlavning er marginal; der henviser til, at selv om der findes strategier for ren madlavning, er de svære at gennemføre, og der er kun lidt finansiering til rådighed, hvilket gør det vanskeligt at opnå selv beskedne gevinster, og udbredelsen og den vedvarende brug af forbedrede komfurer forbliver begrænset; der henviser til, at mindre end 10 % af de mennesker, der ikke har adgang til ren madlavning, bor i lande, der har effektive politikker og tilstrækkelig finansiering til at opnå universel adgang senest i 2030;</w:t>
      </w:r>
    </w:p>
    <w:p w14:paraId="6E736C4F" w14:textId="77777777" w:rsidR="00720FDF" w:rsidRPr="008D4C0E" w:rsidRDefault="00720FDF" w:rsidP="00720FDF">
      <w:pPr>
        <w:pStyle w:val="NormalHanging12a"/>
        <w:rPr>
          <w:szCs w:val="24"/>
        </w:rPr>
      </w:pPr>
      <w:r w:rsidRPr="008D4C0E">
        <w:t>O.</w:t>
      </w:r>
      <w:r w:rsidRPr="008D4C0E">
        <w:tab/>
        <w:t>der henviser til, at covid-19-pandemien og energiprisstigningen har bremset fremskridtene med hensyn til at udvide adgangen til ren madlavning; der henviser til, at i udviklingslande, der er stærkt afhængige af biomasse til madlavning, bør EU støtte alternativer til forbruget af træ og fremme løsninger såsom solkomfurer;</w:t>
      </w:r>
    </w:p>
    <w:p w14:paraId="5D0F105A" w14:textId="77777777" w:rsidR="00720FDF" w:rsidRPr="008D4C0E" w:rsidRDefault="00720FDF" w:rsidP="00720FDF">
      <w:pPr>
        <w:pStyle w:val="NormalHanging12a"/>
        <w:rPr>
          <w:szCs w:val="24"/>
        </w:rPr>
      </w:pPr>
      <w:r w:rsidRPr="008D4C0E">
        <w:t>P.</w:t>
      </w:r>
      <w:r w:rsidRPr="008D4C0E">
        <w:tab/>
        <w:t>der henviser til, at manglen på adgang til ren madlavning øger den tid, kvinder og piger bruger på at lave mad; der henviser til, at dette forstærker den ulige fordeling af husligt arbejde mellem mænd og kvinder; der henviser til, at det anslås, at adgang til ren madlavning ville give kvinder og piger i gennemsnit 1,5 timer mere om dagen, som de kunne bruge til fritid og/eller uddannelse;</w:t>
      </w:r>
    </w:p>
    <w:p w14:paraId="25F33E10" w14:textId="77777777" w:rsidR="00720FDF" w:rsidRPr="008D4C0E" w:rsidRDefault="00720FDF" w:rsidP="00720FDF">
      <w:pPr>
        <w:pStyle w:val="NormalHanging12a"/>
        <w:rPr>
          <w:szCs w:val="24"/>
        </w:rPr>
      </w:pPr>
      <w:r w:rsidRPr="008D4C0E">
        <w:t>Q.</w:t>
      </w:r>
      <w:r w:rsidRPr="008D4C0E">
        <w:tab/>
        <w:t>der henviser til, at udviklingslandene har et væld af vedvarende energikilder, men at de ofte mangler en befordrende politisk og lovgivningsmæssig ramme og de nødvendige industrielle og teknologiske betingelser for bæredygtig udvikling og anvendelse af energi; der henviser til, at de også står over for flere udfordringer såsom klimaændringer, overdreven gældsætning og hurtig demografisk vækst, som alle påvirker efterspørgslen efter og forbruget af energi; der henviser til, at lande som Namibia og Angola er involveret i ambitiøse projekter om vedvarende energi; der henviser til, at nogle udviklingslande såsom Senegal, Rwanda og Kenya har gjort bemærkelsesværdige fremskridt inden for adgang til energi; der henviser til, at der skal tages hensyn til de forskellige sammenhænge i hvert land for at opnå gennembrud inden for adgang til energi med et passende niveau af politisk vilje og EU-støtte;</w:t>
      </w:r>
    </w:p>
    <w:p w14:paraId="7FA0BED4" w14:textId="77777777" w:rsidR="00720FDF" w:rsidRPr="008D4C0E" w:rsidRDefault="00720FDF" w:rsidP="00720FDF">
      <w:pPr>
        <w:pStyle w:val="NormalHanging12a"/>
        <w:rPr>
          <w:szCs w:val="24"/>
        </w:rPr>
      </w:pPr>
      <w:r w:rsidRPr="008D4C0E">
        <w:lastRenderedPageBreak/>
        <w:t>R.</w:t>
      </w:r>
      <w:r w:rsidRPr="008D4C0E">
        <w:tab/>
        <w:t>der henviser til, at EU har en lang tradition for energisamarbejde i Afrika; der henviser til, at EU sammen med sine medlemsstater ydede langt størstedelen af den officielle udviklingsbistand til verdensmål 7-projekter i Afrika, som beløb sig til 13,8 mia. EUR mellem 2014 og 2020; der henviser til, at dette stadig ikke er nok, og at der skal gøres en større indsats; der henviser til, at det anslås, at 53 % af udbetalingerne var i form af lån, men at denne yderligere gæld reducerer disse landes evne til at investere i verdensmålene, herunder verdensmål 7; der henviser til, at 21 lavindkomstlande i Afrika i 2023 er i eller risikerer at blive ramt af gældskrise;</w:t>
      </w:r>
    </w:p>
    <w:p w14:paraId="54C5D51C" w14:textId="77777777" w:rsidR="00720FDF" w:rsidRPr="008D4C0E" w:rsidRDefault="00720FDF" w:rsidP="00720FDF">
      <w:pPr>
        <w:pStyle w:val="NormalHanging12a"/>
        <w:rPr>
          <w:szCs w:val="24"/>
        </w:rPr>
      </w:pPr>
      <w:r w:rsidRPr="008D4C0E">
        <w:t>S.</w:t>
      </w:r>
      <w:r w:rsidRPr="008D4C0E">
        <w:tab/>
        <w:t>der henviser til, at de finansielle strømme til energi fortsat er koncentreret i en lille gruppe af lande, og at de mindst udviklede lande ofte lades i stikken; der henviser til, at hvad angår geografisk målretning er kun tre af de ti største støttemodtagere mindst udviklede lande, hvilket viser, at ressourcer til udvidelse af adgangen til energi og bekæmpelse af energifattigdom ikke er blevet fordelt i prioriteret rækkefølge;</w:t>
      </w:r>
    </w:p>
    <w:p w14:paraId="448D6405" w14:textId="77777777" w:rsidR="00720FDF" w:rsidRPr="008D4C0E" w:rsidRDefault="00720FDF" w:rsidP="00720FDF">
      <w:pPr>
        <w:pStyle w:val="NormalHanging12a"/>
        <w:rPr>
          <w:szCs w:val="24"/>
        </w:rPr>
      </w:pPr>
      <w:r w:rsidRPr="008D4C0E">
        <w:t>T.</w:t>
      </w:r>
      <w:r w:rsidRPr="008D4C0E">
        <w:tab/>
        <w:t>der henviser til, at energiomstillingen i udviklingsregioner er alvorligt og konstant underfinansieret, navnlig i de mindst udviklede lande; der henviser til, at Natural Resource Governance Institute definerer ressourceforbandelsen som mange ressourcerige landes manglende evne til at udnytte deres naturressourcer fuldt ud, og for regeringer i disse lande til at reagere effektivt på offentlige velfærdsbehov</w:t>
      </w:r>
      <w:r w:rsidRPr="00405D89">
        <w:rPr>
          <w:vertAlign w:val="superscript"/>
        </w:rPr>
        <w:footnoteReference w:id="16"/>
      </w:r>
      <w:r w:rsidRPr="00405D89">
        <w:t xml:space="preserve">; der </w:t>
      </w:r>
      <w:r w:rsidRPr="008D4C0E">
        <w:t>henviser til, at overdreven afhængighed af eksport af fossile brændstoffer indebærer en risiko for lav økonomisk diversificering;</w:t>
      </w:r>
    </w:p>
    <w:p w14:paraId="7F42ED47" w14:textId="77777777" w:rsidR="00720FDF" w:rsidRPr="008D4C0E" w:rsidRDefault="00720FDF" w:rsidP="00720FDF">
      <w:pPr>
        <w:pStyle w:val="NormalHanging12a"/>
        <w:rPr>
          <w:szCs w:val="24"/>
        </w:rPr>
      </w:pPr>
      <w:r w:rsidRPr="008D4C0E">
        <w:t>U.</w:t>
      </w:r>
      <w:r w:rsidRPr="008D4C0E">
        <w:tab/>
        <w:t>der henviser til, at EU bør øge finansieringen af vedvarende energi i udviklingslandene, især i den nye geopolitiske kontekst, der er skabt af Ruslands invasion af Ukraine, og samtidig tackle korruption og svage institutioner, der forværrer problemerne med underfinansiering, især i de mindst udviklede lande;</w:t>
      </w:r>
    </w:p>
    <w:p w14:paraId="4595B85A" w14:textId="77777777" w:rsidR="00720FDF" w:rsidRPr="008D4C0E" w:rsidRDefault="00720FDF" w:rsidP="00720FDF">
      <w:pPr>
        <w:pStyle w:val="NormalHanging12a"/>
        <w:rPr>
          <w:szCs w:val="24"/>
        </w:rPr>
      </w:pPr>
      <w:r w:rsidRPr="008D4C0E">
        <w:t>V.</w:t>
      </w:r>
      <w:r w:rsidRPr="008D4C0E">
        <w:tab/>
        <w:t>der henviser til, at de fleste EU-finansierede projekter sigter mod at fremme elproduktion, men at distributionssegmentet alligevel er det svageste, selv om det er afgørende for at nå verdensmål 7; der henviser til, at mange udviklingslande fortsat er afhængige af kul som den primære energikilde til elproduktion;</w:t>
      </w:r>
    </w:p>
    <w:p w14:paraId="1BCE1C67" w14:textId="77777777" w:rsidR="00720FDF" w:rsidRPr="008D4C0E" w:rsidRDefault="00720FDF" w:rsidP="00720FDF">
      <w:pPr>
        <w:pStyle w:val="NormalHanging12a"/>
        <w:rPr>
          <w:szCs w:val="24"/>
        </w:rPr>
      </w:pPr>
      <w:r w:rsidRPr="008D4C0E">
        <w:t>W.</w:t>
      </w:r>
      <w:r w:rsidRPr="008D4C0E">
        <w:tab/>
        <w:t>der henviser til, at de lande, der er hårdest ramt af de negative konsekvenser af klimaændringerne, er mindst ansvarlige for udledninger; der henviser til, at Afrika er hjemsted for næsten 18 % af verdens befolkning, men tegner sig for mindre end 6 % af det globale energiforbrug; der henviser til, at Afrika kun er ansvarligt for 3 % af verdens energirelaterede CO</w:t>
      </w:r>
      <w:r w:rsidRPr="008D4C0E">
        <w:rPr>
          <w:vertAlign w:val="subscript"/>
        </w:rPr>
        <w:t>2</w:t>
      </w:r>
      <w:r w:rsidRPr="008D4C0E">
        <w:t>-udledninger; der henviser til, at de lande, der udgør G20, tegner sig for 80 % af de globale udledninger;</w:t>
      </w:r>
    </w:p>
    <w:p w14:paraId="4D246EBD" w14:textId="77777777" w:rsidR="00720FDF" w:rsidRPr="008D4C0E" w:rsidRDefault="00720FDF" w:rsidP="00720FDF">
      <w:pPr>
        <w:pStyle w:val="NormalHanging12a"/>
        <w:rPr>
          <w:szCs w:val="24"/>
        </w:rPr>
      </w:pPr>
      <w:r w:rsidRPr="008D4C0E">
        <w:t>X.</w:t>
      </w:r>
      <w:r w:rsidRPr="008D4C0E">
        <w:tab/>
        <w:t xml:space="preserve">der henviser til, at Afrika-EU-Energipartnerskabet blev fornyet i februar 2022 for at afspejle Den Afrikanske Unions Agenda 2063 og EU's prioriteter for klimaændringer, energisikkerhed, REPowerEU og Global Gateway, som har til formål at fremme produktion og distribution af vedvarende energi, herunder til eksport til Europa; der henviser til, at der blev bebudet en investeringspakke på ca. 150 mia. EUR til støtte for kontinenternes fælles ambitioner, som fastsat i 2030-dagsordenen og Den Afrikanske </w:t>
      </w:r>
      <w:r w:rsidRPr="008D4C0E">
        <w:lastRenderedPageBreak/>
        <w:t>Unions Agenda 2063, med det formål bl.a. at sikre en energiomstilling, der er omkostningseffektiv, moderne, effektiv, pålidelig, retfærdig og lige;</w:t>
      </w:r>
    </w:p>
    <w:p w14:paraId="09B921E7" w14:textId="77777777" w:rsidR="00720FDF" w:rsidRPr="008D4C0E" w:rsidRDefault="00720FDF" w:rsidP="00720FDF">
      <w:pPr>
        <w:pStyle w:val="NormalHanging12a"/>
      </w:pPr>
      <w:r w:rsidRPr="008D4C0E">
        <w:t>Y.</w:t>
      </w:r>
      <w:r w:rsidRPr="008D4C0E">
        <w:tab/>
        <w:t>der henviser til, at EU's partnerskab om en retfærdig energiomstilling med Sydafrika er et eksempel på EU's vilje til at positionere sig som en global leder i den retfærdige energiomstilling og dermed bidrage til den eksterne dimension af EU's energi- og klimastrategi og fremme ambitionerne i den europæiske grønne pagt på verdensplan;</w:t>
      </w:r>
    </w:p>
    <w:p w14:paraId="1E565B35" w14:textId="77777777" w:rsidR="00720FDF" w:rsidRPr="008D4C0E" w:rsidRDefault="00720FDF" w:rsidP="00720FDF">
      <w:pPr>
        <w:pStyle w:val="NormalHanging12a"/>
      </w:pPr>
      <w:r w:rsidRPr="008D4C0E">
        <w:t>Z.</w:t>
      </w:r>
      <w:r w:rsidRPr="008D4C0E">
        <w:tab/>
        <w:t>der henviser til, at små udviklingsøstaters energiuafhængighed, der bygger på deres store potentiale for vedvarende energi, fortsat bør være et klart mål;</w:t>
      </w:r>
    </w:p>
    <w:p w14:paraId="71F5D43F" w14:textId="77777777" w:rsidR="00720FDF" w:rsidRPr="008D4C0E" w:rsidRDefault="00720FDF" w:rsidP="00720FDF">
      <w:pPr>
        <w:pStyle w:val="NormalHanging12a"/>
      </w:pPr>
      <w:r w:rsidRPr="008D4C0E">
        <w:t>AA.</w:t>
      </w:r>
      <w:r w:rsidRPr="008D4C0E">
        <w:tab/>
        <w:t xml:space="preserve">der henviser til, at det, der er mærket "kulstoffattig brint", også kan omfatte brint produceret ved hjælp af atomkraft og naturgas, hvilket betyder, at det ikke nødvendigvis er emissionsfrit; der henviser til, at grøn brint fra vedvarende kilder er den eneste type brint, der reelt kan bidrage til klimaneutralitet på lang sigt; </w:t>
      </w:r>
    </w:p>
    <w:p w14:paraId="7EDC6679" w14:textId="77777777" w:rsidR="00720FDF" w:rsidRPr="008D4C0E" w:rsidRDefault="00720FDF" w:rsidP="00720FDF">
      <w:pPr>
        <w:pStyle w:val="NormalHanging12a"/>
        <w:rPr>
          <w:szCs w:val="24"/>
        </w:rPr>
      </w:pPr>
      <w:r w:rsidRPr="008D4C0E">
        <w:t>AB.</w:t>
      </w:r>
      <w:r w:rsidRPr="008D4C0E">
        <w:tab/>
        <w:t>der henviser til, at REPowerEU fastsætter et mål om at importere 10 mio. tons grøn brint årligt senest i 2030; der henviser til, at Kommissionen med henblik herpå blandt andre initiativer undertegnede aftalememoranda om strategiske partnerskaber for vedvarende brint med Namibia og Egypten i november 2022;</w:t>
      </w:r>
    </w:p>
    <w:p w14:paraId="68543E3E" w14:textId="77777777" w:rsidR="00720FDF" w:rsidRPr="008D4C0E" w:rsidRDefault="00720FDF" w:rsidP="00720FDF">
      <w:pPr>
        <w:pStyle w:val="NormalHanging12a"/>
        <w:rPr>
          <w:szCs w:val="24"/>
        </w:rPr>
      </w:pPr>
      <w:r w:rsidRPr="008D4C0E">
        <w:t>AC.</w:t>
      </w:r>
      <w:r w:rsidRPr="008D4C0E">
        <w:tab/>
        <w:t>der henviser til, at 99 % af den brint, der produceres på verdensplan, ifølge Det Internationale Energiagenturs Global Hydrogen Review 2023</w:t>
      </w:r>
      <w:r w:rsidRPr="00405D89">
        <w:rPr>
          <w:vertAlign w:val="superscript"/>
        </w:rPr>
        <w:footnoteReference w:id="17"/>
      </w:r>
      <w:r w:rsidRPr="00405D89">
        <w:t xml:space="preserve"> er fremstillet af fossile brændstoffer;</w:t>
      </w:r>
    </w:p>
    <w:p w14:paraId="02E4CE55" w14:textId="77777777" w:rsidR="00720FDF" w:rsidRPr="008D4C0E" w:rsidRDefault="00720FDF" w:rsidP="00720FDF">
      <w:pPr>
        <w:pStyle w:val="NormalHanging12a"/>
        <w:rPr>
          <w:szCs w:val="24"/>
        </w:rPr>
      </w:pPr>
      <w:r w:rsidRPr="008D4C0E">
        <w:t>AD.</w:t>
      </w:r>
      <w:r w:rsidRPr="008D4C0E">
        <w:tab/>
        <w:t xml:space="preserve">der henviser til, at grøn brint har potentiale til at fremskynde vejen til dekarbonisering af industriproduktionen i partnerlandene, forudsat at det ikke bremser den lokale energiomstilling og er en del af en bredere strategi med henblik på at reducere det samlede energiforbrug i de udviklede lande for at respektere planetens begrænsninger; der henviser til, at der samtidig skal tages behørigt hensyn til, at den nødvendige infrastruktur for grøn brint er kapital- og teknologiintensiv, at transport og oplagring af brint over lange afstande er energiintensiv og dyr, og at den store produktion af grøn brint kræver store mængder jord og vand; </w:t>
      </w:r>
    </w:p>
    <w:p w14:paraId="1ECC4562" w14:textId="77777777" w:rsidR="00720FDF" w:rsidRPr="008D4C0E" w:rsidRDefault="00720FDF" w:rsidP="00720FDF">
      <w:pPr>
        <w:pStyle w:val="NormalHanging12a"/>
        <w:rPr>
          <w:szCs w:val="24"/>
        </w:rPr>
      </w:pPr>
      <w:r w:rsidRPr="008D4C0E">
        <w:t>AE.</w:t>
      </w:r>
      <w:r w:rsidRPr="008D4C0E">
        <w:tab/>
        <w:t xml:space="preserve">der henviser til, at klimamålene for 2030 og 2050 ikke kan nås uden dekarbonisering af vigtige sektorer, hvor det er vanskeligt at reducere forbruget; der henviser til, at import af grøn brint fra lande uden for EU er en vigtig del af EU's nye strategiske partnerskaber; der henviser til, at omkostningsudfordringer ifølge Det Internationale Energiagenturs Global Hydrogen Review 2023 truer den langsigtede rentabilitet af udbredelsen af brintproduktion; der henviser til, at udbredelsen af brintproduktion kan indebære en risiko for at udvide brugen af fossile brændstoffer og udvindingsmetoder, herunder en mulig omfattende tilegnelse af jord, vand og energi i udviklingsproducentlande; </w:t>
      </w:r>
    </w:p>
    <w:p w14:paraId="1D8E846B" w14:textId="77777777" w:rsidR="00720FDF" w:rsidRPr="008D4C0E" w:rsidRDefault="00720FDF" w:rsidP="00720FDF">
      <w:pPr>
        <w:pStyle w:val="NormalHanging12a"/>
        <w:rPr>
          <w:szCs w:val="24"/>
        </w:rPr>
      </w:pPr>
      <w:r w:rsidRPr="008D4C0E">
        <w:t>AF.</w:t>
      </w:r>
      <w:r w:rsidRPr="008D4C0E">
        <w:tab/>
        <w:t xml:space="preserve">der henviser til, at kritiske råmaterialer spiller en afgørende rolle for at sikre tilgængeligheden og prisoverkommeligheden af rene energiteknologier for alle; der desuden henviser til, at EU er i færd med at etablere en sammenhængende ramme for at </w:t>
      </w:r>
      <w:r w:rsidRPr="008D4C0E">
        <w:lastRenderedPageBreak/>
        <w:t>sikre kontinuerlig, sikker og ansvarlig forsyning heraf, samtidig med at menneskerettighederne opretholdes, og den lokale udvikling støttes;</w:t>
      </w:r>
    </w:p>
    <w:p w14:paraId="7F7AAFBE" w14:textId="77777777" w:rsidR="00720FDF" w:rsidRPr="008D4C0E" w:rsidRDefault="00720FDF" w:rsidP="00720FDF">
      <w:pPr>
        <w:pStyle w:val="NormalHanging12a"/>
        <w:rPr>
          <w:szCs w:val="24"/>
        </w:rPr>
      </w:pPr>
      <w:r w:rsidRPr="008D4C0E">
        <w:t>AG.</w:t>
      </w:r>
      <w:r w:rsidRPr="008D4C0E">
        <w:tab/>
        <w:t>der henviser til, at vedvarende energi fra decentrale mininet og uden for nettet giver gode løsninger for fjerntliggende lokalsamfund, navnlig med hensyn til jobskabelse, uddannelse og sundhed, men at den skal være ledsaget af offentlig støtte for at skabe en levedygtig og ansvarlig forretningsmodel;</w:t>
      </w:r>
    </w:p>
    <w:p w14:paraId="20B5190A" w14:textId="77777777" w:rsidR="00720FDF" w:rsidRPr="008D4C0E" w:rsidRDefault="00720FDF" w:rsidP="00720FDF">
      <w:pPr>
        <w:pStyle w:val="NormalHanging12a"/>
        <w:rPr>
          <w:szCs w:val="24"/>
        </w:rPr>
      </w:pPr>
      <w:r w:rsidRPr="008D4C0E">
        <w:t>AH.</w:t>
      </w:r>
      <w:r w:rsidRPr="008D4C0E">
        <w:tab/>
        <w:t>der henviser til, at udvidelsen af vedvarende energi baseret på sol- og vindkraft, produktionen af vedvarende brint og opførelsen af vandkraftdæmninger også giver udfordringer, da de kræver store arealer, hvilket muligvis forstyrrer den eksisterende arealanvendelse og lokale behov, især med hensyn til adgang til vand, og kan forårsage fordrivelse af lokale og oprindelige samfund samt skade økosystemer og naturlige levesteder; der henviser til, at land- og havområder, der kan anvendes til produktion af vedvarende energi, skal udpeges under hensyntagen til respekten for biodiversiteten, den lokale økonomi og samtykke fra oprindelige befolkninger;</w:t>
      </w:r>
    </w:p>
    <w:p w14:paraId="5E8E68C7" w14:textId="77777777" w:rsidR="00720FDF" w:rsidRPr="008D4C0E" w:rsidRDefault="00720FDF" w:rsidP="00720FDF">
      <w:pPr>
        <w:pStyle w:val="NormalHanging12a"/>
        <w:rPr>
          <w:szCs w:val="24"/>
        </w:rPr>
      </w:pPr>
      <w:r w:rsidRPr="008D4C0E">
        <w:t>AI.</w:t>
      </w:r>
      <w:r w:rsidRPr="008D4C0E">
        <w:tab/>
        <w:t>der henviser til, at omstillingen til vedvarende energi forventes at skabe mere beskæftigelse i sektoren for vedvarende energi; der henviser til, at nye vedvarende teknologier har potentiale til at skabe økonomiske muligheder, som igen har evnen til at støtte opnåelsen af retten til et anstændigt liv og anstændigt arbejde; der henviser til, at Afrika har en lovende fremtid inden for vedvarende energisystemer med 60 % af verdens bedste solressourcer, men kun 1 % af den installerede solenergikapacitet; der henviser til, at Latinamerika er en af verdens førende regioner for brug og produktion af vedvarende energi;</w:t>
      </w:r>
    </w:p>
    <w:p w14:paraId="18567376" w14:textId="77777777" w:rsidR="00720FDF" w:rsidRPr="008D4C0E" w:rsidRDefault="00720FDF" w:rsidP="00720FDF">
      <w:pPr>
        <w:pStyle w:val="NormalHanging12a"/>
        <w:rPr>
          <w:szCs w:val="24"/>
        </w:rPr>
      </w:pPr>
      <w:r w:rsidRPr="008D4C0E">
        <w:t>AJ.</w:t>
      </w:r>
      <w:r w:rsidRPr="008D4C0E">
        <w:tab/>
        <w:t>der henviser til, at den globale vandkraftkapacitet ifølge Det Internationale Energiagentur vil stige med 17 % mellem 2021 og 2030; der henviser til, at det største uudnyttede vandkraftpotentiale ligger i udviklingsøkonomier i hele Afrika, Asien og Latinamerika; der henviser til, at store vandkraftprojekter imidlertid er forbundet med negative sociale og miljømæssige virkninger lige fra fordrivelse af sårbare befolkningsgrupper til ødelæggelse af unik biodiversitet; der henviser til, at vandkraft skaber nye udfordringer i forbindelse med klimaændringer, hvilket vil øge hyppigheden af oversvømmelser og tørke dramatisk på de floder, hvor der er iværksat vandkraftprojekter, hvilket øger risikoen for både projekternes sikkerhed og deres kapacitet til at producere elektricitet;</w:t>
      </w:r>
    </w:p>
    <w:p w14:paraId="47982F30" w14:textId="77777777" w:rsidR="00720FDF" w:rsidRPr="008D4C0E" w:rsidRDefault="00720FDF" w:rsidP="00720FDF">
      <w:pPr>
        <w:pStyle w:val="NormalHanging12a"/>
      </w:pPr>
      <w:r w:rsidRPr="008D4C0E">
        <w:t>AK.</w:t>
      </w:r>
      <w:r w:rsidRPr="008D4C0E">
        <w:tab/>
        <w:t xml:space="preserve">der henviser til, at EU og partnerlandene har et fælles, men forskelligartet ansvar for at opnå en bæredygtig energiomstilling; der henviser til, at EU's støtte til projekter om vedvarende energi først og fremmest skal opfylde lokalbefolkningens behov, inden der ydes støtte til eksport; </w:t>
      </w:r>
    </w:p>
    <w:p w14:paraId="34571C8E" w14:textId="77777777" w:rsidR="00720FDF" w:rsidRPr="008D4C0E" w:rsidRDefault="00720FDF" w:rsidP="00720FDF">
      <w:pPr>
        <w:pStyle w:val="NormalHanging12a"/>
      </w:pPr>
      <w:r w:rsidRPr="008D4C0E">
        <w:t>AL.</w:t>
      </w:r>
      <w:r w:rsidRPr="008D4C0E">
        <w:tab/>
        <w:t xml:space="preserve">der henviser til, at visse udviklingslandes erklærede ønske om at udnytte deres kulbrinteressourcer også bør analyseres i lyset af EU's pres for et globalt løfte på COP28 om at udfase fossile brændstoffer; der henviser til, at brugen af naturressourcer til energiproduktion har potentiale til at skabe økonomiske muligheder, men at udviklingslandene ved at prioritere eksporten af vedvarende energi potentielt kan bringe deres indenlandske energiomstilling i fare og øge andelen af fossilt brændstofforbrug i deres eget elektricitetsmiks; </w:t>
      </w:r>
    </w:p>
    <w:p w14:paraId="0CEF3E71" w14:textId="77777777" w:rsidR="00720FDF" w:rsidRPr="008D4C0E" w:rsidRDefault="00720FDF" w:rsidP="00720FDF">
      <w:pPr>
        <w:pStyle w:val="NormalHanging12a"/>
        <w:rPr>
          <w:szCs w:val="24"/>
        </w:rPr>
      </w:pPr>
      <w:r w:rsidRPr="008D4C0E">
        <w:lastRenderedPageBreak/>
        <w:t>AM.</w:t>
      </w:r>
      <w:r w:rsidRPr="008D4C0E">
        <w:tab/>
        <w:t>der henviser til, at 25 % af verdens befolkning ifølge World Resources Institute står over for ekstremt høj vandstress hvert år; der henviser til, at vand er centralt for dyrkning af afgrøder og opdræt af husdyr, produktion af elektricitet, opretholdelse af menneskers sundhed, fremme af retfærdige samfund og opfyldelse af verdens klimamål;</w:t>
      </w:r>
    </w:p>
    <w:p w14:paraId="513B3A22" w14:textId="77777777" w:rsidR="00720FDF" w:rsidRPr="008D4C0E" w:rsidRDefault="00720FDF" w:rsidP="00720FDF">
      <w:pPr>
        <w:pStyle w:val="NormalHanging12a"/>
        <w:rPr>
          <w:szCs w:val="24"/>
        </w:rPr>
      </w:pPr>
      <w:r w:rsidRPr="008D4C0E">
        <w:t>AN.</w:t>
      </w:r>
      <w:r w:rsidRPr="008D4C0E">
        <w:tab/>
        <w:t>der henviser til, at landbrugsfødevaresystemer forbruger omkring 30 % af verdens energi, og at en tredjedel af sektorens drivhusgasudledninger kommer fra energiforbrug; der henviser til, at energiomstillingen og omdannelsen af landbrugsfødevaresystemer er indbyrdes forbundne;</w:t>
      </w:r>
    </w:p>
    <w:p w14:paraId="68321652" w14:textId="77777777" w:rsidR="00720FDF" w:rsidRPr="008D4C0E" w:rsidRDefault="00720FDF" w:rsidP="00720FDF">
      <w:pPr>
        <w:pStyle w:val="Normal12a24b"/>
      </w:pPr>
      <w:r w:rsidRPr="008D4C0E">
        <w:rPr>
          <w:rStyle w:val="BoldItalic"/>
        </w:rPr>
        <w:t xml:space="preserve">Fremme af universel adgang til ren energi </w:t>
      </w:r>
    </w:p>
    <w:p w14:paraId="648F3E2D" w14:textId="77777777" w:rsidR="00720FDF" w:rsidRPr="008D4C0E" w:rsidRDefault="00720FDF" w:rsidP="00720FDF">
      <w:pPr>
        <w:pStyle w:val="NormalHanging12a"/>
        <w:rPr>
          <w:szCs w:val="24"/>
        </w:rPr>
      </w:pPr>
      <w:r w:rsidRPr="008D4C0E">
        <w:t>1.</w:t>
      </w:r>
      <w:r w:rsidRPr="008D4C0E">
        <w:tab/>
        <w:t>minder om, at adgang til universel, økonomisk overkommelig og bæredygtig energi er en grundlæggende menneskerettighed og en forudsætning for at nå verdensmålene for bæredygtig udvikling og nå målet om ikke at lade nogen i stikken; anerkender med henblik herpå den rolle, som offentlig og privat finansiering spiller; understreger, at en kulstofneutral fremtid og udviklingen af vedvarende energi skal gå hånd i hånd med økonomisk diversificering, grøn industrialisering, dekarbonisering, fattigdomsbekæmpelse og en menneskerettighedsbaseret tilgang;</w:t>
      </w:r>
    </w:p>
    <w:p w14:paraId="66511DE3" w14:textId="77777777" w:rsidR="00720FDF" w:rsidRPr="008D4C0E" w:rsidRDefault="00720FDF" w:rsidP="00720FDF">
      <w:pPr>
        <w:pStyle w:val="NormalHanging12a"/>
      </w:pPr>
      <w:r w:rsidRPr="008D4C0E">
        <w:t>2.</w:t>
      </w:r>
      <w:r w:rsidRPr="008D4C0E">
        <w:tab/>
        <w:t xml:space="preserve">understreger, at sikring af en stabil energiforsyning ikke kun er et økonomisk og logistisk spørgsmål, men også et geopolitisk spørgsmål; minder om, at Ruslands angrebskrig mod Ukraine har haft en alvorlig indvirkning på de globale energimarkeder, især i udviklingslandene, og at der stadig er behov for en koordineret indsats for at sikre stabile energiforsyninger og overkommelige priser; </w:t>
      </w:r>
    </w:p>
    <w:p w14:paraId="50F469A0" w14:textId="77777777" w:rsidR="00720FDF" w:rsidRPr="008D4C0E" w:rsidRDefault="00720FDF" w:rsidP="00720FDF">
      <w:pPr>
        <w:pStyle w:val="NormalHanging12a"/>
      </w:pPr>
      <w:r w:rsidRPr="008D4C0E">
        <w:t>3.</w:t>
      </w:r>
      <w:r w:rsidRPr="008D4C0E">
        <w:tab/>
        <w:t xml:space="preserve">opfordrer EU til at fremme adgangen til vedvarende energi i udviklingslandene gennem politisk, lovgivningsmæssig og administrativ støtte, herunder kapacitetsopbygning og overførsel af teknologi; tilskynder til partnerskaber, der bevæger sig væk fra udnyttelsen af fossile ressourcer og fokuserer på brug af ren energi; understreger behovet for at sikre, at grønne investeringer bidrager til socioøkonomisk udvikling og større deltagelse fra udviklingslandenes side i det nye geopolitiske landskab med nettonulenergi; </w:t>
      </w:r>
    </w:p>
    <w:p w14:paraId="4B850900" w14:textId="77777777" w:rsidR="00720FDF" w:rsidRPr="008D4C0E" w:rsidRDefault="00720FDF" w:rsidP="00720FDF">
      <w:pPr>
        <w:pStyle w:val="NormalHanging12a"/>
        <w:rPr>
          <w:szCs w:val="24"/>
        </w:rPr>
      </w:pPr>
      <w:r w:rsidRPr="008D4C0E">
        <w:t>4.</w:t>
      </w:r>
      <w:r w:rsidRPr="008D4C0E">
        <w:tab/>
        <w:t>fremhæver behovet for at udvikle løsninger, der kan bidrage til at udbrede vedvarende energi i udviklingslandene, herunder hav- og flodenergi, samtidig med at biodiversiteten beskyttes; understreger det betydelige potentiale for installation af offshoreproduktionsanlæg til vedvarende energi i udviklingslande; understreger behovet for en holistisk forvaltning af havområder, der involverer alle relevante interessenter og respekterer samtykke fra lokalsamfundene;</w:t>
      </w:r>
    </w:p>
    <w:p w14:paraId="49B711BA" w14:textId="77777777" w:rsidR="00720FDF" w:rsidRPr="008D4C0E" w:rsidRDefault="00720FDF" w:rsidP="00720FDF">
      <w:pPr>
        <w:pStyle w:val="NormalHanging12a"/>
        <w:rPr>
          <w:szCs w:val="24"/>
        </w:rPr>
      </w:pPr>
      <w:r w:rsidRPr="008D4C0E">
        <w:t>5.</w:t>
      </w:r>
      <w:r w:rsidRPr="008D4C0E">
        <w:tab/>
        <w:t>opfordrer på det kraftigste udviklingslandene til at forpligte sig til energiretfærdighed gennem deres lovgivningsmæssige rammer, som skal sikre lokal accept, samfundsdeltagelse, beskyttelse af jordrettigheder og overholdelse af internationalt anerkendte menneskerettighedsstandarder med det formål at sikre adgang til energi og prisoverkommelig energi til alle; understreger nødvendigheden af at knytte energipartnerskaber til vedtagelsen af lovgivningsmæssige rammer og af at yde teknisk bistand til deres vedtagelse;</w:t>
      </w:r>
    </w:p>
    <w:p w14:paraId="0F2FE66A" w14:textId="77777777" w:rsidR="00720FDF" w:rsidRPr="008D4C0E" w:rsidRDefault="00720FDF" w:rsidP="00720FDF">
      <w:pPr>
        <w:pStyle w:val="NormalHanging12a"/>
      </w:pPr>
      <w:r w:rsidRPr="008D4C0E">
        <w:t>6.</w:t>
      </w:r>
      <w:r w:rsidRPr="008D4C0E">
        <w:tab/>
        <w:t xml:space="preserve">påpeger, at energisikkerhed kræver en kønsspecifik tilgang; understreger, at energifattigdom i uforholdsmæssigt høj grad rammer kvinder og piger; fremhæver deres daglige involvering i indsamling af brænde og trækul langt fra deres hjem; opfordrer til </w:t>
      </w:r>
      <w:r w:rsidRPr="008D4C0E">
        <w:lastRenderedPageBreak/>
        <w:t xml:space="preserve">inddragelse af kvinder som aktive deltagere i energiomstillingsprocessen, herunder i marine bevaringsområder; </w:t>
      </w:r>
    </w:p>
    <w:p w14:paraId="3BA71BD1" w14:textId="77777777" w:rsidR="00720FDF" w:rsidRPr="008D4C0E" w:rsidRDefault="00720FDF" w:rsidP="00720FDF">
      <w:pPr>
        <w:pStyle w:val="NormalHanging12a"/>
        <w:rPr>
          <w:szCs w:val="24"/>
        </w:rPr>
      </w:pPr>
      <w:r w:rsidRPr="008D4C0E">
        <w:t>7.</w:t>
      </w:r>
      <w:r w:rsidRPr="008D4C0E">
        <w:tab/>
        <w:t>opfordrer EU til at øge sin tekniske støtte til at integrere kønsaspektet i energiomstillingen, herunder ved at prioritere kønsrelaterede energiprojekter, der involverer kvindeledede energiorganisationer og virksomheder, og også sikrer lokalt ejerskab, idet der lægges særlig vægt på de mindst udviklede lande og mellemindkomstlande, der lider under betydelige uligheder i landet med hensyn til adgang til energi og ren madlavning; understreger vigtigheden af at indsamle kønsopdelte data om adgang til energi som rettesnor for EU's optræden udadtil på energiområdet; påpeger, at energifattigdom også rammer mindretal og marginaliserede samfund;</w:t>
      </w:r>
    </w:p>
    <w:p w14:paraId="14E2FA51" w14:textId="77777777" w:rsidR="00720FDF" w:rsidRPr="008D4C0E" w:rsidRDefault="00720FDF" w:rsidP="00720FDF">
      <w:pPr>
        <w:pStyle w:val="NormalHanging12a"/>
      </w:pPr>
      <w:r w:rsidRPr="008D4C0E">
        <w:t>8.</w:t>
      </w:r>
      <w:r w:rsidRPr="008D4C0E">
        <w:tab/>
        <w:t xml:space="preserve">er bekymret over de sundheds- og miljømæssige konsekvenser af udledninger fra husholdningsbrændsel som eksempelvis luftvejs- og kredsløbssygdomme og kræft, skovforringelse, drivhusgasudledninger og tab af biodiversitet; henleder opmærksomheden på den risiko, der er forbundet med den stigende brug af urent brændsel til madlavning for at opfylde energibehovet hos den voksende befolkning, især i Afrika syd for Sahara; </w:t>
      </w:r>
    </w:p>
    <w:p w14:paraId="62A9C3A6" w14:textId="77777777" w:rsidR="00720FDF" w:rsidRPr="008D4C0E" w:rsidRDefault="00720FDF" w:rsidP="00720FDF">
      <w:pPr>
        <w:pStyle w:val="NormalHanging12a"/>
        <w:rPr>
          <w:szCs w:val="24"/>
        </w:rPr>
      </w:pPr>
      <w:r w:rsidRPr="008D4C0E">
        <w:t>9.</w:t>
      </w:r>
      <w:r w:rsidRPr="008D4C0E">
        <w:tab/>
        <w:t>understreger, at mennesker, der lever i ekstrem fattigdom, mange steder ikke længere har adgang til brænde, og at de derfor opvarmer og laver mad ved hjælp af andre materialer, der findes i hjemmet eller i nærheden, såsom dæk og andre sundhedsskadelige stoffer; fremhæver på denne baggrund, at kvinder og piger er uforholdsmæssigt stærkt påvirket af luftforurening i husholdningen;</w:t>
      </w:r>
    </w:p>
    <w:p w14:paraId="25C3A96C" w14:textId="77777777" w:rsidR="00720FDF" w:rsidRPr="008D4C0E" w:rsidRDefault="00720FDF" w:rsidP="00720FDF">
      <w:pPr>
        <w:pStyle w:val="NormalHanging12a"/>
      </w:pPr>
      <w:r w:rsidRPr="008D4C0E">
        <w:t>10.</w:t>
      </w:r>
      <w:r w:rsidRPr="008D4C0E">
        <w:tab/>
        <w:t xml:space="preserve">påpeger, at det tempo, hvormed adgangen til brændsel til ren madlavning i øjeblikket udvides i mange udviklingslande, ikke er hurtigt nok til at opfylde de relaterede mål under verdensmål 7 senest i 2030; anerkender de mangesidede udfordringer i forbindelse med indførelsen af ren madlavning og passende komfurer, der er i overensstemmelse med WHO's standarder; opfordrer til at øge bevidstheden om de sundhedsrisici, der er forbundet med husholdningsluftforurening fra traditionelle madlavningspraksisser, og om fordelene ved alternativer; opfordrer indtrængende EU til at yde økonomisk støtte til, slå til lyd for og tilskynde til nationale tiltag i partnerlande; </w:t>
      </w:r>
    </w:p>
    <w:p w14:paraId="5E476036" w14:textId="77777777" w:rsidR="00720FDF" w:rsidRPr="008D4C0E" w:rsidRDefault="00720FDF" w:rsidP="00720FDF">
      <w:pPr>
        <w:pStyle w:val="NormalHanging12a"/>
        <w:rPr>
          <w:szCs w:val="24"/>
        </w:rPr>
      </w:pPr>
      <w:r w:rsidRPr="008D4C0E">
        <w:t>11.</w:t>
      </w:r>
      <w:r w:rsidRPr="008D4C0E">
        <w:tab/>
        <w:t>opfordrer endvidere EU til at indarbejde adgang til ren madlavning som en prioritet i sine energipartnerskaber og sine flerårige vejledende programmer med udviklingslande og i programmeringen af samarbejdet på lokalt, regionalt og nationalt plan; understreger betydningen af høring af civilsamfundet på stedet, især organisationer ledet af kvinder, med henblik på at opnå ligestilling mellem kønnene og fremme en mere ligelig fordeling af husholdnings- og omsorgsarbejde mellem mænd og kvinder i overensstemmelse med omsorgssamfundet som begreb; påpeger de muligheder, der præsenteres af Global Gateway-initiativer såsom Modern Cooking Facility for Africa og Strengthening the Entrepreneurial Environment for Clean Cooking;</w:t>
      </w:r>
    </w:p>
    <w:p w14:paraId="7342D87F" w14:textId="77777777" w:rsidR="00720FDF" w:rsidRPr="008D4C0E" w:rsidRDefault="00720FDF" w:rsidP="00720FDF">
      <w:pPr>
        <w:pStyle w:val="NormalHanging12a"/>
        <w:rPr>
          <w:szCs w:val="24"/>
        </w:rPr>
      </w:pPr>
      <w:r w:rsidRPr="008D4C0E">
        <w:t>12.</w:t>
      </w:r>
      <w:r w:rsidRPr="008D4C0E">
        <w:tab/>
        <w:t>opfordrer endvidere til, at EU lægger særlig vægt på infrastruktur og forsyningsselskaber, herunder opførelse af og adgang til kloaksystemer, og husholdningers eller lokalsamfunds adgang til brønde eller vandrensningssystemer;</w:t>
      </w:r>
    </w:p>
    <w:p w14:paraId="66787B04" w14:textId="77777777" w:rsidR="00720FDF" w:rsidRPr="008D4C0E" w:rsidRDefault="00720FDF" w:rsidP="00720FDF">
      <w:pPr>
        <w:pStyle w:val="NormalHanging12a"/>
      </w:pPr>
      <w:r w:rsidRPr="008D4C0E">
        <w:t>13.</w:t>
      </w:r>
      <w:r w:rsidRPr="008D4C0E">
        <w:tab/>
        <w:t xml:space="preserve">beklager den ødelæggende indvirkning af den manglende adgang til elektricitet på befolkningens grundlæggende behov; opfordrer EU og dets medlemsstater til at </w:t>
      </w:r>
      <w:r w:rsidRPr="008D4C0E">
        <w:lastRenderedPageBreak/>
        <w:t xml:space="preserve">prioritere elektrificering i deres samarbejde og partnerskaber med udviklingslande; understreger især behovet for at investere i produktionskapacitet, navnlig i Afrika syd for Sahara, for at nå målet om universel adgang til energi; </w:t>
      </w:r>
    </w:p>
    <w:p w14:paraId="37144476" w14:textId="77777777" w:rsidR="00720FDF" w:rsidRPr="008D4C0E" w:rsidRDefault="00720FDF" w:rsidP="00720FDF">
      <w:pPr>
        <w:pStyle w:val="NormalHanging12a"/>
        <w:rPr>
          <w:szCs w:val="24"/>
        </w:rPr>
      </w:pPr>
      <w:r w:rsidRPr="008D4C0E">
        <w:t>14.</w:t>
      </w:r>
      <w:r w:rsidRPr="008D4C0E">
        <w:tab/>
        <w:t>henleder opmærksomheden på mulighederne for adgang til alternative energikilder såsom uudnyttede geotermiske energiressourcer; påpeger, at støtte til overkommelige energiomkostninger er afgørende for at udvide adgangen til elektricitet, især i Afrika, hvor 30 % af befolkningen ikke har råd til et væsentligt udvalg af elektricitetstjenester;</w:t>
      </w:r>
    </w:p>
    <w:p w14:paraId="1F932DF3" w14:textId="77777777" w:rsidR="00720FDF" w:rsidRPr="008D4C0E" w:rsidRDefault="00720FDF" w:rsidP="00720FDF">
      <w:pPr>
        <w:pStyle w:val="NormalHanging12a"/>
      </w:pPr>
      <w:r w:rsidRPr="008D4C0E">
        <w:t>15.</w:t>
      </w:r>
      <w:r w:rsidRPr="008D4C0E">
        <w:tab/>
        <w:t xml:space="preserve">udtrykker bekymring over det stigende energibehov blandt flygtninge og internt fordrevne, der bor i lejre; beklager, at energiusikkerhed i isolerede områder og humanitære miljøer forhindrer lokale sundhedsklinikker og skoler i at fungere fuldt ud; </w:t>
      </w:r>
    </w:p>
    <w:p w14:paraId="6C5676E7" w14:textId="77777777" w:rsidR="00720FDF" w:rsidRPr="008D4C0E" w:rsidRDefault="00720FDF" w:rsidP="00720FDF">
      <w:pPr>
        <w:pStyle w:val="NormalHanging12a"/>
        <w:rPr>
          <w:szCs w:val="24"/>
        </w:rPr>
      </w:pPr>
      <w:r w:rsidRPr="008D4C0E">
        <w:t>16.</w:t>
      </w:r>
      <w:r w:rsidRPr="008D4C0E">
        <w:tab/>
        <w:t>understreger behovet for at øge budgetposten for humanitær bistand i forbindelse med revisionen af den flerårige finansielle ramme for at imødekomme humanitære behov, bl.a. ved at øge den finansielle bistand til sikring af energiforsyning i lejre, herunder gennem grønne projekter for vedvarende energi fra mininet og uden for nettet, for at garantere, at humanitære organisationer på stedet kan yde grundlæggende humanitær bistand, navnlig lægehjælp og akut behandling;</w:t>
      </w:r>
    </w:p>
    <w:p w14:paraId="4C1C5B87" w14:textId="77777777" w:rsidR="00720FDF" w:rsidRPr="008D4C0E" w:rsidRDefault="00720FDF" w:rsidP="00720FDF">
      <w:pPr>
        <w:pStyle w:val="Normal12a24b"/>
      </w:pPr>
      <w:r w:rsidRPr="008D4C0E">
        <w:rPr>
          <w:rStyle w:val="BoldItalic"/>
        </w:rPr>
        <w:t>Støtte til energiomstillingen i overensstemmelse med princippet om udviklingsvenlig politikkohærens</w:t>
      </w:r>
    </w:p>
    <w:p w14:paraId="76F01B30" w14:textId="77777777" w:rsidR="00720FDF" w:rsidRPr="008D4C0E" w:rsidRDefault="00720FDF" w:rsidP="00720FDF">
      <w:pPr>
        <w:pStyle w:val="NormalHanging12a"/>
      </w:pPr>
      <w:r w:rsidRPr="008D4C0E">
        <w:t>17.</w:t>
      </w:r>
      <w:r w:rsidRPr="008D4C0E">
        <w:tab/>
        <w:t>opfordrer indtrængende EU og dets medlemsstater til at sikre politikkohærens for bæredygtig udvikling i hele EU's eksterne energidagsorden, som bør skræddersys til lokale forhold og behov;</w:t>
      </w:r>
    </w:p>
    <w:p w14:paraId="744FF5C6" w14:textId="77777777" w:rsidR="00720FDF" w:rsidRPr="008D4C0E" w:rsidRDefault="00720FDF" w:rsidP="00720FDF">
      <w:pPr>
        <w:pStyle w:val="NormalHanging12a"/>
        <w:rPr>
          <w:szCs w:val="24"/>
        </w:rPr>
      </w:pPr>
      <w:r w:rsidRPr="008D4C0E">
        <w:t>18.</w:t>
      </w:r>
      <w:r w:rsidRPr="008D4C0E">
        <w:tab/>
        <w:t>gentager sit engagement i energimæssig retfærdighed; opfordrer EU til at støtte udviklingslandene i gennemførelsen af rettighedsbaserede ordninger for vedvarende energi, der effektivt bidrager til deres bæredygtige udvikling; mener, at princippet om frit, forudgående og informeret samtykke for de berørte lokalsamfund er en forudsætning for en vellykket grøn og retfærdig energiomstilling; fremhæver betydningen af at fremme energieffektivitet og lokale færdigheder og tilskynde til teknologisk innovation, teknologioverførsel og teknisk samarbejde i sådanne energiomstillingsprojekter;</w:t>
      </w:r>
    </w:p>
    <w:p w14:paraId="3A949827" w14:textId="77777777" w:rsidR="00720FDF" w:rsidRPr="008D4C0E" w:rsidRDefault="00720FDF" w:rsidP="00720FDF">
      <w:pPr>
        <w:pStyle w:val="NormalHanging12a"/>
        <w:rPr>
          <w:szCs w:val="24"/>
        </w:rPr>
      </w:pPr>
      <w:r w:rsidRPr="008D4C0E">
        <w:t>19.</w:t>
      </w:r>
      <w:r w:rsidRPr="008D4C0E">
        <w:tab/>
        <w:t>understreger behovet for, at EU, hvor det er nødvendigt, støtter udviklingslandene i at etablere eller styrke lovgivningsmæssige rammer, der garanterer energidistribution og forsyningspligtydelser på tværs af deres territorier, samt god forvaltningskapacitet og gennemsigtighed i alle energiomstillingsprojekter; opfordrer EU til at øge den tekniske bistand til at reformere elsystemerne; opfordrer endvidere Kommissionen til at aflægge rapport om de fremskridt, der er gjort med hensyn til at forbedre adgangen til energi og regulering af energisektoren gennem dedikerede EU-projekter og investeringer i partnerudviklingslande;</w:t>
      </w:r>
    </w:p>
    <w:p w14:paraId="719DE74F" w14:textId="77777777" w:rsidR="00720FDF" w:rsidRPr="008D4C0E" w:rsidRDefault="00720FDF" w:rsidP="00720FDF">
      <w:pPr>
        <w:pStyle w:val="NormalHanging12a"/>
        <w:rPr>
          <w:szCs w:val="24"/>
        </w:rPr>
      </w:pPr>
      <w:r w:rsidRPr="008D4C0E">
        <w:t>20.</w:t>
      </w:r>
      <w:r w:rsidRPr="008D4C0E">
        <w:tab/>
        <w:t>fremhæver den potentielle risiko for konflikter om areal- og vandanvendelse, navnlig tvungen genbosættelse og ekspropriationer til store anlæg til vedvarende energi; opfordrer indtrængende EU til gennem sine partnerskaber at støtte udviklingslandenes regeringer i at:</w:t>
      </w:r>
    </w:p>
    <w:p w14:paraId="51BFA50E" w14:textId="77777777" w:rsidR="00720FDF" w:rsidRPr="008D4C0E" w:rsidRDefault="00720FDF" w:rsidP="00720FDF">
      <w:pPr>
        <w:pStyle w:val="NormalHanging12a"/>
        <w:ind w:left="1134"/>
        <w:rPr>
          <w:szCs w:val="24"/>
        </w:rPr>
      </w:pPr>
      <w:r w:rsidRPr="008D4C0E">
        <w:lastRenderedPageBreak/>
        <w:t>a)</w:t>
      </w:r>
      <w:r w:rsidRPr="008D4C0E">
        <w:tab/>
        <w:t>foretage uafhængig og upartisk kortlægning af traditionel areal- og vandanvendelse, herunder til sæsonbetonet græsning, oprindelige folks kulturarv og biodiversitetssystemer af høj værdi, forud for udviklingen af projekter om vedvarende energi med henblik på at tilskynde til bæredygtig arealanvendelse og vurdere de miljømæssige og sociale konsekvenser</w:t>
      </w:r>
    </w:p>
    <w:p w14:paraId="402BDE88" w14:textId="77777777" w:rsidR="00720FDF" w:rsidRPr="008D4C0E" w:rsidRDefault="00720FDF" w:rsidP="00720FDF">
      <w:pPr>
        <w:pStyle w:val="NormalHanging12a"/>
        <w:ind w:left="1134"/>
        <w:rPr>
          <w:szCs w:val="24"/>
        </w:rPr>
      </w:pPr>
      <w:r w:rsidRPr="008D4C0E">
        <w:t>b)</w:t>
      </w:r>
      <w:r w:rsidRPr="008D4C0E">
        <w:tab/>
        <w:t>søge frit, forudgående og informeret samtykke fra lokalsamfundene og samtidig garantere deres ret til at sige nej og deres ret til domstolsprøvelse, klageadgang og erstatning eller godtgørelse</w:t>
      </w:r>
    </w:p>
    <w:p w14:paraId="6E04D614" w14:textId="77777777" w:rsidR="00720FDF" w:rsidRPr="008D4C0E" w:rsidRDefault="00720FDF" w:rsidP="00720FDF">
      <w:pPr>
        <w:pStyle w:val="NormalHanging12a"/>
        <w:ind w:left="1134"/>
        <w:rPr>
          <w:szCs w:val="24"/>
        </w:rPr>
      </w:pPr>
      <w:r w:rsidRPr="008D4C0E">
        <w:t>c)</w:t>
      </w:r>
      <w:r w:rsidRPr="008D4C0E">
        <w:tab/>
        <w:t>fastlægge miljømæssige og sociale kriterier og ansvarlig forretningspraksis i overensstemmelse med internationale lovgivningsmæssige rammer og sikre deres overholdelse gennem tilsyns- og klagemekanismer</w:t>
      </w:r>
    </w:p>
    <w:p w14:paraId="4A95B2D4" w14:textId="77777777" w:rsidR="00720FDF" w:rsidRPr="008D4C0E" w:rsidRDefault="00720FDF" w:rsidP="00720FDF">
      <w:pPr>
        <w:pStyle w:val="NormalHanging12a"/>
        <w:ind w:left="1134"/>
        <w:rPr>
          <w:szCs w:val="24"/>
        </w:rPr>
      </w:pPr>
      <w:r w:rsidRPr="008D4C0E">
        <w:t>d)</w:t>
      </w:r>
      <w:r w:rsidRPr="008D4C0E">
        <w:tab/>
        <w:t>sikre beskyttelse af klimaaktivister</w:t>
      </w:r>
    </w:p>
    <w:p w14:paraId="6BFA48B4" w14:textId="77777777" w:rsidR="00720FDF" w:rsidRPr="008D4C0E" w:rsidRDefault="00720FDF" w:rsidP="00720FDF">
      <w:pPr>
        <w:pStyle w:val="NormalHanging12a"/>
        <w:ind w:left="1134"/>
        <w:rPr>
          <w:szCs w:val="24"/>
        </w:rPr>
      </w:pPr>
      <w:r w:rsidRPr="008D4C0E">
        <w:t>e)</w:t>
      </w:r>
      <w:r w:rsidRPr="008D4C0E">
        <w:tab/>
        <w:t xml:space="preserve">lette udveksling af viden og bedste praksis mellem udviklingslande og regioner, der med succes har håndteret konflikter om arealanvendelse i forbindelse med energiprojekter; </w:t>
      </w:r>
    </w:p>
    <w:p w14:paraId="7BC40B7C" w14:textId="77777777" w:rsidR="00720FDF" w:rsidRPr="008D4C0E" w:rsidRDefault="00720FDF" w:rsidP="00720FDF">
      <w:pPr>
        <w:pStyle w:val="NormalHanging12a"/>
        <w:rPr>
          <w:szCs w:val="24"/>
        </w:rPr>
      </w:pPr>
      <w:r w:rsidRPr="008D4C0E">
        <w:t>21.</w:t>
      </w:r>
      <w:r w:rsidRPr="008D4C0E">
        <w:tab/>
        <w:t>bemærker, at for så vidt angår visse store projekter om grøn energi (såsom vind- og solenergi) som f.eks. dem, der etableres i tørre områder, er det afgørende med tilstrækkelig høring af de traditionelle brugere af jorden (såsom kvægnomader); minder om, at traditionelle fælles rettigheder har en ret svag retlig status og ofte ikke gennemføres, hvilket potentielt kan øge risikoen for land grabbing; opfordrer på denne baggrund indtrængende EU og dets partnerlande til at anerkende og beskytte oprindelige folks ret til sædvanebaseret ejerskab over og kontrol med deres jord og naturressourcer som fastsat i FN's erklæring om oprindelige folks rettigheder og Den Internationale Arbejdsorganisations konvention 169 og til at overholde princippet om frit, forudgående og informeret samtykke;</w:t>
      </w:r>
    </w:p>
    <w:p w14:paraId="2AF99C0B" w14:textId="77777777" w:rsidR="00720FDF" w:rsidRPr="008D4C0E" w:rsidRDefault="00720FDF" w:rsidP="00720FDF">
      <w:pPr>
        <w:pStyle w:val="NormalHanging12a"/>
      </w:pPr>
      <w:r w:rsidRPr="008D4C0E">
        <w:t>22.</w:t>
      </w:r>
      <w:r w:rsidRPr="008D4C0E">
        <w:tab/>
        <w:t>henstiller, at EU-medlemsstater, der ikke allerede har gjort det, ratificerer Den Internationale Arbejdsorganisations konvention nr. 169 om oprindelige folk og stammefolk;</w:t>
      </w:r>
    </w:p>
    <w:p w14:paraId="44E41F8C" w14:textId="77777777" w:rsidR="00720FDF" w:rsidRPr="008D4C0E" w:rsidRDefault="00720FDF" w:rsidP="00720FDF">
      <w:pPr>
        <w:pStyle w:val="NormalHanging12a"/>
        <w:rPr>
          <w:szCs w:val="24"/>
        </w:rPr>
      </w:pPr>
      <w:r w:rsidRPr="008D4C0E">
        <w:t>23.</w:t>
      </w:r>
      <w:r w:rsidRPr="008D4C0E">
        <w:tab/>
        <w:t>anerkender den indvirkning, som vandintensive energiomlægningspraksisser såsom vandkraftværker og brintproduktion kan have på landbrugssamfundene; fremhæver de negative virkninger af vandkraftdæmninger på floder og biodiversitet, især i flodmundinger, som bl.a. beskrevet i rapporten fra Verdenskommissionen for dæmninger af 16. november 2000; understreger dog potentialet til at udvikle saltgradientenergi, især i flodmundinger og deltaer, for at levere løsninger til produktion af vedvarende energi;</w:t>
      </w:r>
    </w:p>
    <w:p w14:paraId="7E9B179F" w14:textId="77777777" w:rsidR="00720FDF" w:rsidRPr="008D4C0E" w:rsidRDefault="00720FDF" w:rsidP="00720FDF">
      <w:pPr>
        <w:pStyle w:val="NormalHanging12a"/>
        <w:rPr>
          <w:szCs w:val="24"/>
        </w:rPr>
      </w:pPr>
      <w:r w:rsidRPr="008D4C0E">
        <w:t>24.</w:t>
      </w:r>
      <w:r w:rsidRPr="008D4C0E">
        <w:tab/>
        <w:t xml:space="preserve">minder om, at store vandkraftprojekter i udviklingslande ofte står over for en række udfordringer, herunder uoverkommelige startomkostninger, store omkostningsoverskridelser og forsinkelser, vanskeligheder med at tiltrække finansiering, sociale og miljømæssige fodaftryk, sårbarhed over for klimaændringer og dårlige resultater med hensyn til at levere den lovede effekt; understreger vigtigheden af at fremme bæredygtige vandkraftprojekter ved at gennemføre omfattende miljømæssige og sociale konsekvensanalyser og sikre meningsfuld deltagelse fra lokalsamfundets </w:t>
      </w:r>
      <w:r w:rsidRPr="008D4C0E">
        <w:lastRenderedPageBreak/>
        <w:t>side; er af den opfattelse, at andre mindre og forskellige former for vedvarende energiprojekter bør prioriteres, hvor det er muligt;</w:t>
      </w:r>
    </w:p>
    <w:p w14:paraId="1EE61FD5" w14:textId="77777777" w:rsidR="00720FDF" w:rsidRPr="008D4C0E" w:rsidRDefault="00720FDF" w:rsidP="00720FDF">
      <w:pPr>
        <w:pStyle w:val="NormalHanging12a"/>
        <w:rPr>
          <w:szCs w:val="24"/>
        </w:rPr>
      </w:pPr>
      <w:r w:rsidRPr="008D4C0E">
        <w:t>25.</w:t>
      </w:r>
      <w:r w:rsidRPr="008D4C0E">
        <w:tab/>
        <w:t xml:space="preserve">understreger, at i henhold til anbefalingerne i rapporten fra Verdenskommissionen for dæmninger af 16. november 2000 bør enhver planlægning af dæmninger evalueres i henhold til fem værdier: lighed, effektivitet, bred deltagelse i beslutningsprocessen, bæredygtighed og ansvarlighed; fremhæver mere generelt, at der under beslutningstagningsprocessen for dæmningsprojekter fuldt ud bør tages hensyn til menneskerettighederne, som stadfæstet i verdenserklæringen om menneskerettighederne fra 1948 og de hermed forbundne konventioner, der blev vedtaget herefter, for at løse komplekse problemer omkring vand, dæmninger og udvikling; understreger, at EU bør arbejde inden for rammerne af sine partnerskaber med udviklingslande for at sikre, at de samfund, der er berørt af dæmningsprojekter, kompenseres tilstrækkeligt og forsynes med passende foranstaltninger til genetablering af erhverv; </w:t>
      </w:r>
    </w:p>
    <w:p w14:paraId="7D5FE599" w14:textId="77777777" w:rsidR="00720FDF" w:rsidRPr="008D4C0E" w:rsidRDefault="00720FDF" w:rsidP="00720FDF">
      <w:pPr>
        <w:pStyle w:val="NormalHanging12a"/>
      </w:pPr>
      <w:r w:rsidRPr="008D4C0E">
        <w:t>26.</w:t>
      </w:r>
      <w:r w:rsidRPr="008D4C0E">
        <w:tab/>
        <w:t>er bekymret over faciliteternes skrøbelighed i lyset af ekstreme vejrforhold, som fremhævet af de nylige oversvømmelser i Libyen, der skyllede hele kvarterer væk og beskadigede kritisk infrastruktur; insisterer på de overordnede mål for verdensmål 9, som søger at opbygge modstandsdygtig infrastruktur, fremme bæredygtig industrialisering og fremme innovation;</w:t>
      </w:r>
    </w:p>
    <w:p w14:paraId="62F819C3" w14:textId="77777777" w:rsidR="00720FDF" w:rsidRPr="008D4C0E" w:rsidRDefault="00720FDF" w:rsidP="00720FDF">
      <w:pPr>
        <w:pStyle w:val="NormalHanging12a"/>
        <w:rPr>
          <w:szCs w:val="24"/>
        </w:rPr>
      </w:pPr>
      <w:r w:rsidRPr="008D4C0E">
        <w:t>27.</w:t>
      </w:r>
      <w:r w:rsidRPr="008D4C0E">
        <w:tab/>
        <w:t>bemærker med bekymring, at Afrika er vært for et stigende antal projekter om fossile brændstoffer, hvilket risikerer at forhindre, at Afrika tager springet til vedvarende energi i rette tid; bemærker endvidere, at selv om Afrika er hjemsted for 18 % af verdens befolkning, tegner det sig kun for 6 % af det globale energiforbrug; minder om, at en stor del af den nuværende olie-, gas- og kulproduktion i Afrika er bestemt til eksport, mens kontinentet fortsat er plaget af energifattigdom; insisterer på, at det er nødvendigt at prioritere investeringer i infrastruktur til bæredygtig vedvarende energi i Afrika, især i landdistrikter og marginaliserede samfund, gennem etablering af decentrale energisystemer og mikronet;</w:t>
      </w:r>
    </w:p>
    <w:p w14:paraId="63013F5B" w14:textId="77777777" w:rsidR="00720FDF" w:rsidRPr="008D4C0E" w:rsidRDefault="00720FDF" w:rsidP="00720FDF">
      <w:pPr>
        <w:pStyle w:val="NormalHanging12a"/>
        <w:rPr>
          <w:szCs w:val="24"/>
        </w:rPr>
      </w:pPr>
      <w:r w:rsidRPr="008D4C0E">
        <w:t>28.</w:t>
      </w:r>
      <w:r w:rsidRPr="008D4C0E">
        <w:tab/>
        <w:t>opfordrer EU til at tilskynde til udvikling af energisystemer, der ikke involverer eller er afhængige af udvidelsen af eksisterende eller nye fossile brændstofprojekter, i overensstemmelse med anbefalingerne fra Det Internationale Energiagentur; understreger vigtigheden af win-win-partnerskaber, der også gavner eksportlandene og deres befolkninger med hensyn til vedvarende energi;</w:t>
      </w:r>
    </w:p>
    <w:p w14:paraId="41E86704" w14:textId="77777777" w:rsidR="00720FDF" w:rsidRPr="008D4C0E" w:rsidRDefault="00720FDF" w:rsidP="00720FDF">
      <w:pPr>
        <w:pStyle w:val="NormalHanging12a"/>
      </w:pPr>
      <w:r w:rsidRPr="008D4C0E">
        <w:t>29.</w:t>
      </w:r>
      <w:r w:rsidRPr="008D4C0E">
        <w:tab/>
        <w:t>fordømmer den dobbeltmoral, hvormed private og offentlige finansielle institutioner i udviklede lande i stigende grad giver tilsagn om at opnå kulstofneutralitet senest i 2050, samtidig med at de finansierer udviklingen og ekspansionen af fossile brændstoffer; understreger, at opfordringer til lav- og mellemindkomstlande om at reducere deres afhængighed af kul ikke vil være effektive, så længe de udviklede lande fortsat er afgørende afhængige af andre fossile brændstoffer;</w:t>
      </w:r>
    </w:p>
    <w:p w14:paraId="0BC4DFF2" w14:textId="77777777" w:rsidR="00720FDF" w:rsidRPr="008D4C0E" w:rsidRDefault="00720FDF" w:rsidP="00720FDF">
      <w:pPr>
        <w:pStyle w:val="NormalHanging12a"/>
      </w:pPr>
      <w:r w:rsidRPr="008D4C0E">
        <w:t>30.</w:t>
      </w:r>
      <w:r w:rsidRPr="008D4C0E">
        <w:tab/>
        <w:t xml:space="preserve">minder om, at vedvarende energibaserede alternativer i stigende grad kan give en billigere, mere tilgængelig, inklusiv og pålidelig energikilde; understreger den rolle, som vedvarende energi spiller for at øge tilpasningen og effektiviteten af landbrugsfødevaresystemer; opfordrer EU og dets medlemsstater til at prioritere brugen af vedvarende energi i landbrugsfødevaresystemer i deres partnerskabsaftaler med lande uden for EU; </w:t>
      </w:r>
    </w:p>
    <w:p w14:paraId="1ACFF213" w14:textId="77777777" w:rsidR="00720FDF" w:rsidRPr="008D4C0E" w:rsidRDefault="00720FDF" w:rsidP="00720FDF">
      <w:pPr>
        <w:pStyle w:val="NormalHanging12a"/>
      </w:pPr>
      <w:r w:rsidRPr="008D4C0E">
        <w:lastRenderedPageBreak/>
        <w:t>31.</w:t>
      </w:r>
      <w:r w:rsidRPr="008D4C0E">
        <w:tab/>
        <w:t xml:space="preserve">anbefaler, at der gennemføres en fælles energiomstillingsplanlægning inden for rammerne af partnerskabet mellem EU og Den Afrikanske Union, der trækker på Den Blandede Parlamentariske Forsamling ACS-EU og afrikanske civilsamfund, samtidig med at de afrikanske nationers suverænitet respekteres; anbefaler, at der udarbejdes retningslinjer for en retfærdig fordeling af investeringer, indtægter, teknologier og færdigheder; </w:t>
      </w:r>
    </w:p>
    <w:p w14:paraId="36868E5B" w14:textId="77777777" w:rsidR="00720FDF" w:rsidRPr="008D4C0E" w:rsidRDefault="00720FDF" w:rsidP="00720FDF">
      <w:pPr>
        <w:pStyle w:val="NormalHanging12a"/>
        <w:rPr>
          <w:szCs w:val="24"/>
        </w:rPr>
      </w:pPr>
      <w:r w:rsidRPr="008D4C0E">
        <w:t>32.</w:t>
      </w:r>
      <w:r w:rsidRPr="008D4C0E">
        <w:tab/>
        <w:t>opfordrer EU og dets medlemsstater til at inkludere uddannelsesprogrammer for lokalbefolkningen i deres energipartnerskaber med lande uden for EU for at støtte energiomstillingen på stedet og skabe beskæftigelsesmuligheder for lokalsamfundene; opfordrer ligeledes EU til at intensivere det videnskabelige samarbejde med udviklingslandene om adgang til forskning og vedvarende energiteknologier; mener, at produktionsmatrixen for vedvarende energi bør ændres for at bevæge sig væk fra et rent udvindingsperspektiv;</w:t>
      </w:r>
    </w:p>
    <w:p w14:paraId="63100F86" w14:textId="77777777" w:rsidR="00720FDF" w:rsidRPr="008D4C0E" w:rsidRDefault="00720FDF" w:rsidP="00720FDF">
      <w:pPr>
        <w:pStyle w:val="NormalHanging12a"/>
      </w:pPr>
      <w:r w:rsidRPr="008D4C0E">
        <w:t>33.</w:t>
      </w:r>
      <w:r w:rsidRPr="008D4C0E">
        <w:tab/>
        <w:t>minder om, at Glasgowerklæringen fra 2021 om international offentlig støtte til omstillingen til ren energi forpligter underskriverne til at afslutte ny direkte offentlig støtte til energisektoren for fossile brændstoffer; opfordrer EU og dets medlemsstater til at foregå med et godt eksempel og standse finansieringen af projekter om fossile brændstoffer;</w:t>
      </w:r>
    </w:p>
    <w:p w14:paraId="7A30790B" w14:textId="77777777" w:rsidR="00720FDF" w:rsidRPr="008D4C0E" w:rsidRDefault="00720FDF" w:rsidP="00720FDF">
      <w:pPr>
        <w:pStyle w:val="Normal12a24b"/>
      </w:pPr>
      <w:r w:rsidRPr="008D4C0E">
        <w:rPr>
          <w:rStyle w:val="BoldItalic"/>
        </w:rPr>
        <w:t>Grøn brint</w:t>
      </w:r>
    </w:p>
    <w:p w14:paraId="30A09462" w14:textId="77777777" w:rsidR="00720FDF" w:rsidRPr="008D4C0E" w:rsidRDefault="00720FDF" w:rsidP="00720FDF">
      <w:pPr>
        <w:pStyle w:val="NormalHanging12a"/>
      </w:pPr>
      <w:r w:rsidRPr="008D4C0E">
        <w:t>34.</w:t>
      </w:r>
      <w:r w:rsidRPr="008D4C0E">
        <w:tab/>
        <w:t xml:space="preserve">understreger den afgørende rolle, som grøn brint spiller som et redskab til at dekarbonisere energisystemet, opnå nettonulemissioner på verdensplan senest i 2050 og nå Parisaftalens mål, men minder om vigtigheden af livscyklusvurderinger, der tager hensyn til de anvendte produktions- og transportformer; </w:t>
      </w:r>
    </w:p>
    <w:p w14:paraId="1B6930F8" w14:textId="77777777" w:rsidR="00720FDF" w:rsidRPr="008D4C0E" w:rsidRDefault="00720FDF" w:rsidP="00720FDF">
      <w:pPr>
        <w:pStyle w:val="NormalHanging12a"/>
      </w:pPr>
      <w:r w:rsidRPr="008D4C0E">
        <w:t>35.</w:t>
      </w:r>
      <w:r w:rsidRPr="008D4C0E">
        <w:tab/>
        <w:t xml:space="preserve">advarer mod den potentielle risiko for en ny "grøn brint-forbandelse", der vil fremme udviklingslandenes afhængighed af eksport og kan fortrænge investeringer i udviklingen af de lokale energimarkeder; fastslår, at industrien for grøn brint kan spille en afgørende rolle i udviklingen i ressourcerige udviklingslande, hvis visse faktorer er til stede, f.eks. god regeringsførelse, gennemførelse og overvågning af en sund retlig ramme, forebyggelse af korruption, fungerende retsstatsprincipper og gennemsigtighed med hensyn til finansielle strømme; </w:t>
      </w:r>
    </w:p>
    <w:p w14:paraId="2D886ADE" w14:textId="77777777" w:rsidR="00720FDF" w:rsidRPr="008D4C0E" w:rsidRDefault="00720FDF" w:rsidP="00720FDF">
      <w:pPr>
        <w:pStyle w:val="NormalHanging12a"/>
      </w:pPr>
      <w:r w:rsidRPr="008D4C0E">
        <w:t>36.</w:t>
      </w:r>
      <w:r w:rsidRPr="008D4C0E">
        <w:tab/>
        <w:t xml:space="preserve">fremhæver behovet for at tage fat på den globale infrastruktur i forbindelse med produktion, oplagring, transport, distribution og forbrug af grøn brint, transportomkostninger over lange afstande og klimapåvirkning, de begrænsede investeringer og den finansielle kapacitet og de risici, der er forbundet med svage institutioner og korruption i nogle udviklingslande; </w:t>
      </w:r>
    </w:p>
    <w:p w14:paraId="65789924" w14:textId="77777777" w:rsidR="00720FDF" w:rsidRPr="008D4C0E" w:rsidRDefault="00720FDF" w:rsidP="00720FDF">
      <w:pPr>
        <w:pStyle w:val="NormalHanging12a"/>
      </w:pPr>
      <w:r w:rsidRPr="008D4C0E">
        <w:t>37.</w:t>
      </w:r>
      <w:r w:rsidRPr="008D4C0E">
        <w:tab/>
        <w:t xml:space="preserve">opfordrer EU til, navnlig gennem Global Gateway-initiativet, at støtte win-win-partnerskaber, der gavner både import- og eksportlande og deres befolkninger; opfordrer med henblik herpå til, at EU støtter udviklingen af en værdikæde for grøn brint, når den medfører lige sociale og økonomiske fordele for eksportlandene, navnlig med hensyn til uddannelse og omskoling af lokalbefolkningen, jobskabelse, dekarbonisering af industriaktiviteter, der er svære at reducere, og adgang til renere mobilitet og energi; </w:t>
      </w:r>
    </w:p>
    <w:p w14:paraId="5E97F9C1" w14:textId="77777777" w:rsidR="00720FDF" w:rsidRPr="008D4C0E" w:rsidRDefault="00720FDF" w:rsidP="00720FDF">
      <w:pPr>
        <w:pStyle w:val="NormalHanging12a"/>
        <w:rPr>
          <w:szCs w:val="24"/>
        </w:rPr>
      </w:pPr>
      <w:r w:rsidRPr="008D4C0E">
        <w:lastRenderedPageBreak/>
        <w:t>38.</w:t>
      </w:r>
      <w:r w:rsidRPr="008D4C0E">
        <w:tab/>
        <w:t>opfordrer EU til at støtte økonomisk diversificering og national adgang til elektricitet og vand med fuld respekt for økosystemer og med henblik på at reducere overdreven afhængighed af eksport af fossile brændstoffer; understreger, at et øget samarbejde mellem virksomheder og SMV'er i EU og partnerlande, der kombinerer forskellige ligesindede partneres ekspertise, kan skabe en vej til sund iværksætterånd i sektoren for grøn brint;</w:t>
      </w:r>
    </w:p>
    <w:p w14:paraId="07554EBD" w14:textId="77777777" w:rsidR="00720FDF" w:rsidRPr="008D4C0E" w:rsidRDefault="00720FDF" w:rsidP="00720FDF">
      <w:pPr>
        <w:pStyle w:val="NormalHanging12a"/>
      </w:pPr>
      <w:r w:rsidRPr="008D4C0E">
        <w:t>39.</w:t>
      </w:r>
      <w:r w:rsidRPr="008D4C0E">
        <w:tab/>
        <w:t xml:space="preserve">anerkender, at ekspansionen af grøn brint kan have negative sociale og miljømæssige virkninger i det globale syd, navnlig fordi den afhænger af minedrift og anvendelse af råstoffer og sjældne jordarter, som kræver store mængder ferskvand og medfører vandforurening; understreger betydningen af at udvikle en global ressourceforvaltningsordning, der prioriterer bæredygtighed, effektivitet og cirkularitet, med henblik på at mindske den globale efterspørgsel efter primære råstoffer og samtidig anerkende de udfordringer, der er forbundet med at opnå dette; </w:t>
      </w:r>
    </w:p>
    <w:p w14:paraId="6EBA522B" w14:textId="77777777" w:rsidR="00720FDF" w:rsidRPr="008D4C0E" w:rsidRDefault="00720FDF" w:rsidP="00720FDF">
      <w:pPr>
        <w:pStyle w:val="NormalHanging12a"/>
        <w:rPr>
          <w:szCs w:val="24"/>
        </w:rPr>
      </w:pPr>
      <w:r w:rsidRPr="008D4C0E">
        <w:t>40.</w:t>
      </w:r>
      <w:r w:rsidRPr="008D4C0E">
        <w:tab/>
        <w:t>understreger behovet for en systemisk tilgang til vurdering af de lokale muligheder og konsekvenser af produktionen af grøn brint for europæiske behov i udviklingslandene; understreger, at EU bør sikre bæredygtigheden af de udvundne, forarbejdede og genanvendte kritiske råstoffer, der er grundlæggende for brint og de andre nettonulteknologier;</w:t>
      </w:r>
    </w:p>
    <w:p w14:paraId="7CEF2D95" w14:textId="77777777" w:rsidR="00720FDF" w:rsidRPr="008D4C0E" w:rsidRDefault="00720FDF" w:rsidP="00720FDF">
      <w:pPr>
        <w:pStyle w:val="NormalHanging12a"/>
      </w:pPr>
      <w:r w:rsidRPr="008D4C0E">
        <w:t>41.</w:t>
      </w:r>
      <w:r w:rsidRPr="008D4C0E">
        <w:tab/>
        <w:t>bemærker med bekymring den modsætningsfyldte anvendelse af vand, der er knyttet til minedrift og udviklingen af store anlæg til vedvarende energi såsom anlæg til grøn brint; bekræfter på ny, at adgang til vand er en grundlæggende menneskeret; understreger nødvendigheden af at forbedre vandinfrastrukturen i regioner, hvor minedrift og vedvarende energianlæg er fremtrædende, ved at investere i vandbehandlingsanlæg og vandgenanvendelsessystemer;</w:t>
      </w:r>
    </w:p>
    <w:p w14:paraId="7EB4B7F8" w14:textId="77777777" w:rsidR="00720FDF" w:rsidRPr="008D4C0E" w:rsidRDefault="00720FDF" w:rsidP="00720FDF">
      <w:pPr>
        <w:pStyle w:val="NormalHanging12a"/>
      </w:pPr>
      <w:r w:rsidRPr="008D4C0E">
        <w:t>42.</w:t>
      </w:r>
      <w:r w:rsidRPr="008D4C0E">
        <w:tab/>
        <w:t>understreger behovet for at regulere vand som en ressource til produktion af grøn brint på en bæredygtig måde, især i tørre regioner, herunder ved at gennemføre forordninger, der giver mandat til bæredygtige vandforsyningsteknikker, effektiv vandanvendelse og minimering af spildevandsudledning, så det ikke bringer lokalbefolkningens adgang til vand i fare eller øger vandomkostningerne;</w:t>
      </w:r>
    </w:p>
    <w:p w14:paraId="76029542" w14:textId="77777777" w:rsidR="00720FDF" w:rsidRPr="008D4C0E" w:rsidRDefault="00720FDF" w:rsidP="00720FDF">
      <w:pPr>
        <w:pStyle w:val="NormalHanging12a"/>
        <w:rPr>
          <w:szCs w:val="24"/>
        </w:rPr>
      </w:pPr>
      <w:r w:rsidRPr="008D4C0E">
        <w:t>43.</w:t>
      </w:r>
      <w:r w:rsidRPr="008D4C0E">
        <w:tab/>
        <w:t>bemærker udbredelsen af afsaltningsanlæg til håndtering af vandknaphed; anerkender, at afsaltningsanlæg kan gavne lokalsamfundene og den indenlandske økonomi, men påpeger, at afsaltning af havvand kan have store miljømæssige konsekvenser, især for den marine biodiversitet; opfordrer til fremme af en bæredygtig tilgang til afsaltning af vand og af løsninger, der ikke har nogen indvirkning på kystområder, såsom dybhavsafsaltning; fremhæver, at en reduktion af vandforbruget og genanvendelse eller genbrug af renset spildevand ofte er billigere end afsaltning;</w:t>
      </w:r>
    </w:p>
    <w:p w14:paraId="5C250208" w14:textId="77777777" w:rsidR="00720FDF" w:rsidRPr="008D4C0E" w:rsidRDefault="00720FDF" w:rsidP="00720FDF">
      <w:pPr>
        <w:pStyle w:val="NormalHanging12a"/>
      </w:pPr>
      <w:r w:rsidRPr="008D4C0E">
        <w:t>44.</w:t>
      </w:r>
      <w:r w:rsidRPr="008D4C0E">
        <w:tab/>
        <w:t>fremhæver de potentielle risici for water grabbing og vandforurening i forbindelse med udenlandske direkte investeringer i store landerhvervelser til vedvarende energi; opfordrer EU og dets medlemsstater til at vedtage obligatoriske vandrelaterede due diligence- og rapporteringsstandarder for virksomheder;</w:t>
      </w:r>
    </w:p>
    <w:p w14:paraId="12CBCCE4" w14:textId="77777777" w:rsidR="00720FDF" w:rsidRPr="008D4C0E" w:rsidRDefault="00720FDF" w:rsidP="00720FDF">
      <w:pPr>
        <w:pStyle w:val="NormalHanging12a"/>
      </w:pPr>
      <w:r w:rsidRPr="008D4C0E">
        <w:t>45.</w:t>
      </w:r>
      <w:r w:rsidRPr="008D4C0E">
        <w:tab/>
        <w:t xml:space="preserve">insisterer på, at strategierne for grøn brint skal følge stærke sociale standarder og bæredygtighedsstandarder; opfordrer EU til at etablere passende overvågningsrammer i sine partnerskabsaftaler, der gør det muligt at vurdere deres bredere indvirkning på opfyldelsen af verdensmålene for bæredygtig udvikling, navnlig ved at udpege </w:t>
      </w:r>
      <w:r w:rsidRPr="008D4C0E">
        <w:lastRenderedPageBreak/>
        <w:t>miljømæssige, sociale og ledelsesmæssige indikatorer og fastsætte målbare mål; opfordrer til, at der gennemføres obligatoriske miljøkonsekvensundersøgelser, herunder om afsaltning, og at biodiversitetshotspots udelukkes som opførelsessteder for anlæg til grøn brint; mener, at produktion af grøn brint bør vise afhængighed af materialer, der er indkøbt i henhold til miljø- og menneskerettighedsstandarder til udvindingsaktiviteter (f.eks. fra lande, der er underskrivere af gennemsigtighedsinitiativet for udvindingsindustrien);</w:t>
      </w:r>
    </w:p>
    <w:p w14:paraId="2F801475" w14:textId="77777777" w:rsidR="00720FDF" w:rsidRPr="008D4C0E" w:rsidRDefault="00720FDF" w:rsidP="00720FDF">
      <w:pPr>
        <w:pStyle w:val="NormalHanging12a"/>
      </w:pPr>
      <w:r w:rsidRPr="008D4C0E">
        <w:t>46.</w:t>
      </w:r>
      <w:r w:rsidRPr="008D4C0E">
        <w:tab/>
        <w:t>opfordrer indtrængende Kommissionen til at etablere en inkluderende forvaltningsramme for partnerskabsaftaler, som indbefatter civilsamfundsorganisationer, for at sikre, at princippet om ikke at gøre skade overholdes over for lokalsamfundene, og at de globale menneskerettighedsstandarder overholdes;</w:t>
      </w:r>
    </w:p>
    <w:p w14:paraId="5F9D86DF" w14:textId="77777777" w:rsidR="00720FDF" w:rsidRPr="008D4C0E" w:rsidRDefault="00720FDF" w:rsidP="00720FDF">
      <w:pPr>
        <w:pStyle w:val="Normal12a24b"/>
      </w:pPr>
      <w:r w:rsidRPr="008D4C0E">
        <w:rPr>
          <w:rStyle w:val="BoldItalic"/>
        </w:rPr>
        <w:t xml:space="preserve">Opskalering af finansieringen til en retfærdig energiomstilling </w:t>
      </w:r>
    </w:p>
    <w:p w14:paraId="394C05F5" w14:textId="77777777" w:rsidR="00720FDF" w:rsidRPr="008D4C0E" w:rsidRDefault="00720FDF" w:rsidP="00720FDF">
      <w:pPr>
        <w:pStyle w:val="NormalHanging12a"/>
        <w:rPr>
          <w:szCs w:val="24"/>
        </w:rPr>
      </w:pPr>
      <w:r w:rsidRPr="008D4C0E">
        <w:t>47.</w:t>
      </w:r>
      <w:r w:rsidRPr="008D4C0E">
        <w:tab/>
        <w:t xml:space="preserve">understreger, at EU-finansiering af vedvarende energi bør være i overensstemmelse med principperne om retfærdighed, bæredygtighed og klimaretfærdighed, som bl.a. kan omfatte gældsbistand, gældssanering og </w:t>
      </w:r>
      <w:r w:rsidRPr="008D4C0E">
        <w:noBreakHyphen/>
        <w:t>eftergivelse, gældsomlægning og fonden for tab og skader;</w:t>
      </w:r>
    </w:p>
    <w:p w14:paraId="348D65E4" w14:textId="77777777" w:rsidR="00720FDF" w:rsidRPr="008D4C0E" w:rsidRDefault="00720FDF" w:rsidP="00720FDF">
      <w:pPr>
        <w:pStyle w:val="NormalHanging12a"/>
        <w:rPr>
          <w:szCs w:val="24"/>
        </w:rPr>
      </w:pPr>
      <w:r w:rsidRPr="008D4C0E">
        <w:t>48.</w:t>
      </w:r>
      <w:r w:rsidRPr="008D4C0E">
        <w:tab/>
        <w:t>understreger, at investeringer i vedvarende brint produceret af lande uden for EU bør være baseret på internationale due diligence-principper, herunder, men ikke begrænset til, FN's Vejledende Principper for Menneskerettigheder og Erhvervsliv, OECD's Retningslinjer for Multinationale Virksomheder og OECD's due diligence-retningslinjer for ansvarlig forretningsadfærd;</w:t>
      </w:r>
    </w:p>
    <w:p w14:paraId="2F8AA629" w14:textId="77777777" w:rsidR="00720FDF" w:rsidRPr="008D4C0E" w:rsidRDefault="00720FDF" w:rsidP="00720FDF">
      <w:pPr>
        <w:pStyle w:val="NormalHanging12a"/>
      </w:pPr>
      <w:r w:rsidRPr="008D4C0E">
        <w:t>49.</w:t>
      </w:r>
      <w:r w:rsidRPr="008D4C0E">
        <w:tab/>
        <w:t xml:space="preserve">opfordrer EU og dets medlemsstater til at øge mængden af officiel udviklingsbistand til energisektoren, især under udgiftsområde 6 i den næste flerårige finansielle ramme, og især i Afrika, og samtidig prioritere tilskud frem for lån og omlægge finansieringen til lande med dårligere adgang til elektricitet med det formål at støtte deres omstilling til ren og vedvarende energi i overensstemmelse med 2030-dagsordenen for bæredygtig udvikling; </w:t>
      </w:r>
    </w:p>
    <w:p w14:paraId="75152D8F" w14:textId="77777777" w:rsidR="00720FDF" w:rsidRPr="008D4C0E" w:rsidRDefault="00720FDF" w:rsidP="00720FDF">
      <w:pPr>
        <w:pStyle w:val="NormalHanging12a"/>
        <w:rPr>
          <w:szCs w:val="24"/>
        </w:rPr>
      </w:pPr>
      <w:r w:rsidRPr="008D4C0E">
        <w:t>50.</w:t>
      </w:r>
      <w:r w:rsidRPr="008D4C0E">
        <w:tab/>
        <w:t>tilskynder til udvikling af offentlige og private partnerskaber samt programmer til fremme af overførsel af viden og grønne teknologier; fremhæver, at mange afrikanske landes elektricitetssektorer har særlige karakteristika (såsom kraftig vækst i efterspørgslen, små net, skrøbelige nationale forsyningsselskaber og begrænset betalingsevne hos kunderne), der skal tages i betragtning;</w:t>
      </w:r>
    </w:p>
    <w:p w14:paraId="4881CFC5" w14:textId="77777777" w:rsidR="00720FDF" w:rsidRPr="008D4C0E" w:rsidRDefault="00720FDF" w:rsidP="00720FDF">
      <w:pPr>
        <w:pStyle w:val="NormalHanging12a"/>
      </w:pPr>
      <w:r w:rsidRPr="008D4C0E">
        <w:t>51.</w:t>
      </w:r>
      <w:r w:rsidRPr="008D4C0E">
        <w:tab/>
        <w:t xml:space="preserve">understreger, at adgangen til finansiering til en retfærdig energiomstilling skal forenkles og fremskyndes for udviklingslandene; fremhæver, at EU kan tilbyde innovative løsninger til at fremskynde den grønne omstilling og øge den globale andel af vedvarende energi; opfordrer med henblik herpå EU og dets medlemsstater til at overveje gæld-for-klima-aftaler, så skyldnerudviklingslandene kan bruge de skyldige beløb til at finansiere klimatilpasnings- og afbødningsprojekter; </w:t>
      </w:r>
    </w:p>
    <w:p w14:paraId="370C861E" w14:textId="77777777" w:rsidR="00720FDF" w:rsidRPr="008D4C0E" w:rsidRDefault="00720FDF" w:rsidP="00720FDF">
      <w:pPr>
        <w:pStyle w:val="NormalHanging12a"/>
        <w:rPr>
          <w:szCs w:val="24"/>
        </w:rPr>
      </w:pPr>
      <w:r w:rsidRPr="008D4C0E">
        <w:t>52.</w:t>
      </w:r>
      <w:r w:rsidRPr="008D4C0E">
        <w:tab/>
        <w:t>opfordrer mere generelt til, at en langsigtet gæld-for-klima-aftalemekanisme gøres operationel inden for rammerne af G20's initiativ om suspension af gældsbetjeningen og til, at IMF's særlige trækningsrettigheder omfordeles;</w:t>
      </w:r>
    </w:p>
    <w:p w14:paraId="768206A9" w14:textId="77777777" w:rsidR="00720FDF" w:rsidRPr="008D4C0E" w:rsidRDefault="00720FDF" w:rsidP="00720FDF">
      <w:pPr>
        <w:pStyle w:val="NormalHanging12a"/>
      </w:pPr>
      <w:r w:rsidRPr="008D4C0E">
        <w:lastRenderedPageBreak/>
        <w:t>53.</w:t>
      </w:r>
      <w:r w:rsidRPr="008D4C0E">
        <w:tab/>
        <w:t xml:space="preserve">opfordrer EU og dets medlemsstater til at øge midlerne til at hjælpe udviklingslandene med at tilpasse sig klimaændringerne og gøre energisystemerne mere modstandsdygtige over for klimarisici; understreger relevansen af grøn energi i skovlandbrugs- og klimatilpasningsprojekter såsom Den Store Grønne Mur; </w:t>
      </w:r>
    </w:p>
    <w:p w14:paraId="75467275" w14:textId="77777777" w:rsidR="00720FDF" w:rsidRPr="008D4C0E" w:rsidRDefault="00720FDF" w:rsidP="00720FDF">
      <w:pPr>
        <w:pStyle w:val="NormalHanging12a"/>
        <w:rPr>
          <w:szCs w:val="24"/>
        </w:rPr>
      </w:pPr>
      <w:r w:rsidRPr="008D4C0E">
        <w:t>54.</w:t>
      </w:r>
      <w:r w:rsidRPr="008D4C0E">
        <w:tab/>
        <w:t>opfordrer indtrængende Kommissionen til at øge antallet af programmer under Global Gateway-initiativet, der prioriterer grundlæggende adgang til elektricitet og ren madlavning, især i de lande, der har størst behov; understreger vigtigheden af, at den private sektor øger finansieringen af grundlæggende adgang til energi og ren madlavning, samtidig med at den sikrer offentlig adgang og styrker de nationale offentlige energileverandører; opfordrer med henblik herpå Kommissionen til at bruge Den Europæiske Fond for Bæredygtig Udvikling Plus som et instrument til at støtte private investeringer i udviklingslande med henblik på at styrke energiinfrastrukturen og give bedre adgang til energi og ren madlavning til husholdningsbrug;</w:t>
      </w:r>
    </w:p>
    <w:p w14:paraId="2AA1F674" w14:textId="77777777" w:rsidR="00720FDF" w:rsidRPr="008D4C0E" w:rsidRDefault="00720FDF" w:rsidP="00720FDF">
      <w:pPr>
        <w:pStyle w:val="NormalHanging12a"/>
      </w:pPr>
      <w:r w:rsidRPr="008D4C0E">
        <w:t>55.</w:t>
      </w:r>
      <w:r w:rsidRPr="008D4C0E">
        <w:tab/>
        <w:t>opfordrer indtrængende EU til at støtte udviklingslandene i gradvist at udfase subsidier til fossile brændsler og til at fokusere på effektive, moderne og økonomisk overkommelige madlavningsteknologier; opfordrer til mobilisering af investeringer og skabelse af gunstige miljøer til at drive væksten i en robust industri for ren madlavning;</w:t>
      </w:r>
    </w:p>
    <w:p w14:paraId="22789509" w14:textId="77777777" w:rsidR="00720FDF" w:rsidRPr="008D4C0E" w:rsidRDefault="00720FDF" w:rsidP="00720FDF">
      <w:pPr>
        <w:spacing w:after="240"/>
        <w:ind w:left="567" w:hanging="567"/>
        <w:rPr>
          <w:szCs w:val="24"/>
        </w:rPr>
      </w:pPr>
      <w:r w:rsidRPr="008D4C0E">
        <w:t>56.</w:t>
      </w:r>
      <w:r w:rsidRPr="008D4C0E">
        <w:tab/>
        <w:t>opfordrer EU og de europæiske udviklingsfinansieringsinstitutioner til at:</w:t>
      </w:r>
    </w:p>
    <w:p w14:paraId="06FA4C65" w14:textId="77777777" w:rsidR="00720FDF" w:rsidRPr="008D4C0E" w:rsidRDefault="00720FDF" w:rsidP="00720FDF">
      <w:pPr>
        <w:pStyle w:val="NormalHanging12a"/>
        <w:ind w:left="1134"/>
        <w:rPr>
          <w:szCs w:val="24"/>
        </w:rPr>
      </w:pPr>
      <w:r w:rsidRPr="008D4C0E">
        <w:t>a)</w:t>
      </w:r>
      <w:r w:rsidRPr="008D4C0E">
        <w:tab/>
        <w:t>foretage direkte investeringer i distributionssegmentet, især elektrificering af landdistrikter, og prioritere decentrale, små vedvarende energisystemer uden for nettet, når sådanne løsninger er mere hensigtsmæssige end netudvidelse for at gøre det muligt for landbefolkninger at få adgang til elektricitet</w:t>
      </w:r>
    </w:p>
    <w:p w14:paraId="4B51752A" w14:textId="77777777" w:rsidR="00720FDF" w:rsidRPr="008D4C0E" w:rsidRDefault="00720FDF" w:rsidP="00720FDF">
      <w:pPr>
        <w:pStyle w:val="NormalHanging12a"/>
        <w:ind w:left="1134"/>
        <w:rPr>
          <w:szCs w:val="24"/>
        </w:rPr>
      </w:pPr>
      <w:r w:rsidRPr="008D4C0E">
        <w:t>b)</w:t>
      </w:r>
      <w:r w:rsidRPr="008D4C0E">
        <w:tab/>
        <w:t>koordinere investeringer mellem forskellige institutioner for at maksimere virkningen og undgå dobbeltarbejde</w:t>
      </w:r>
    </w:p>
    <w:p w14:paraId="0F08A820" w14:textId="77777777" w:rsidR="00720FDF" w:rsidRPr="008D4C0E" w:rsidRDefault="00720FDF" w:rsidP="00720FDF">
      <w:pPr>
        <w:pStyle w:val="NormalHanging12a"/>
        <w:ind w:left="1134"/>
        <w:rPr>
          <w:szCs w:val="24"/>
        </w:rPr>
      </w:pPr>
      <w:r w:rsidRPr="008D4C0E">
        <w:t>c)</w:t>
      </w:r>
      <w:r w:rsidRPr="008D4C0E">
        <w:tab/>
        <w:t>sikre, at der foretages uafhængige og objektive konsekvensanalyser vedrørende menneskerettigheder, og at alle nødvendige sociale og miljømæssige garantier og retsmidler gennemføres og overvåges behørigt, herunder retningslinjerne for menneskerettigheder og jordbesiddelse</w:t>
      </w:r>
    </w:p>
    <w:p w14:paraId="5A267B43" w14:textId="77777777" w:rsidR="00720FDF" w:rsidRPr="008D4C0E" w:rsidRDefault="00720FDF" w:rsidP="00720FDF">
      <w:pPr>
        <w:pStyle w:val="NormalHanging12a"/>
        <w:ind w:left="1134"/>
        <w:rPr>
          <w:szCs w:val="24"/>
        </w:rPr>
      </w:pPr>
      <w:r w:rsidRPr="008D4C0E">
        <w:t>d)</w:t>
      </w:r>
      <w:r w:rsidRPr="008D4C0E">
        <w:tab/>
        <w:t>sikre, at lokalsamfund inkluderes og informeres behørigt gennem hele projektplanlægnings- og leveringsfasen</w:t>
      </w:r>
    </w:p>
    <w:p w14:paraId="1153968E" w14:textId="77777777" w:rsidR="00720FDF" w:rsidRPr="008D4C0E" w:rsidRDefault="00720FDF" w:rsidP="00720FDF">
      <w:pPr>
        <w:pStyle w:val="NormalHanging12a"/>
        <w:ind w:left="1134"/>
        <w:rPr>
          <w:szCs w:val="24"/>
        </w:rPr>
      </w:pPr>
      <w:r w:rsidRPr="008D4C0E">
        <w:t>e)</w:t>
      </w:r>
      <w:r w:rsidRPr="008D4C0E">
        <w:tab/>
        <w:t>gennemføre og nøje anvende den rettighedsbaserede tilgang, der giver effektive klagemekanismer i overensstemmelse med internationale standarder for ansvarlig forretningspraksis og kræver konsekvensanalyser for projekter, især med hensyn til klimaændringer, uligheder og fordrivelse af lokalbefolkninger, herunder i projekter under Global Gateway-initiativet</w:t>
      </w:r>
    </w:p>
    <w:p w14:paraId="4EC37790" w14:textId="77777777" w:rsidR="00720FDF" w:rsidRPr="008D4C0E" w:rsidRDefault="00720FDF" w:rsidP="00720FDF">
      <w:pPr>
        <w:pStyle w:val="NormalHanging12a"/>
        <w:ind w:left="1134"/>
      </w:pPr>
      <w:r w:rsidRPr="008D4C0E">
        <w:t>f)</w:t>
      </w:r>
      <w:r w:rsidRPr="008D4C0E">
        <w:tab/>
        <w:t>sikre, at alle dæmningsprojekter med godkendt finansiering overholder retningslinjerne fra Verdenskommissionen for dæmninger</w:t>
      </w:r>
    </w:p>
    <w:p w14:paraId="3BCEAF12" w14:textId="77777777" w:rsidR="00720FDF" w:rsidRPr="008D4C0E" w:rsidRDefault="00720FDF" w:rsidP="00720FDF">
      <w:pPr>
        <w:pStyle w:val="NormalHanging12a"/>
        <w:ind w:left="1134"/>
        <w:rPr>
          <w:szCs w:val="24"/>
        </w:rPr>
      </w:pPr>
      <w:r w:rsidRPr="008D4C0E">
        <w:t>g)</w:t>
      </w:r>
      <w:r w:rsidRPr="008D4C0E">
        <w:tab/>
        <w:t>støtte lokale og regionale elsammenkoblingsprojekter</w:t>
      </w:r>
    </w:p>
    <w:p w14:paraId="031F24A1" w14:textId="77777777" w:rsidR="00720FDF" w:rsidRPr="008D4C0E" w:rsidRDefault="00720FDF" w:rsidP="00720FDF">
      <w:pPr>
        <w:pStyle w:val="NormalHanging12a"/>
        <w:ind w:left="1134"/>
        <w:rPr>
          <w:szCs w:val="24"/>
        </w:rPr>
      </w:pPr>
      <w:r w:rsidRPr="008D4C0E">
        <w:t>h)</w:t>
      </w:r>
      <w:r w:rsidRPr="008D4C0E">
        <w:tab/>
        <w:t>tilbyde teknisk støtte og kapacitetsopbygningsinitiativer for at sætte udviklingslandene i stand til at gennemføre projekter om ren energi effektivt;</w:t>
      </w:r>
    </w:p>
    <w:p w14:paraId="5CCCD4DB" w14:textId="77777777" w:rsidR="00720FDF" w:rsidRPr="008D4C0E" w:rsidRDefault="00720FDF" w:rsidP="00720FDF">
      <w:pPr>
        <w:pStyle w:val="NormalHanging12a"/>
      </w:pPr>
      <w:r w:rsidRPr="008D4C0E">
        <w:lastRenderedPageBreak/>
        <w:t>57.</w:t>
      </w:r>
      <w:r w:rsidRPr="008D4C0E">
        <w:tab/>
        <w:t>opfordrer Kommissionen til at levere disaggregerede data om mængden af investeringer i adgang til energi for at kunne spore, hvor meget der er afsat til verdensmål 7, samt til at levere data om den centrale resultatindikator "produktionskapacitet for vedvarende energi, der er installeret (MW) med EU-støtte", som er identificeret under instrumentet for naboskab, udviklingssamarbejde og internationalt samarbejde – et globalt Europa;</w:t>
      </w:r>
    </w:p>
    <w:p w14:paraId="390EC162" w14:textId="6D2BF6D5" w:rsidR="00720FDF" w:rsidRPr="008D4C0E" w:rsidRDefault="00720FDF" w:rsidP="00720FDF">
      <w:pPr>
        <w:pStyle w:val="NormalHanging12a"/>
      </w:pPr>
      <w:r w:rsidRPr="008D4C0E">
        <w:t>58.</w:t>
      </w:r>
      <w:r w:rsidRPr="008D4C0E">
        <w:tab/>
        <w:t xml:space="preserve">glæder sig over </w:t>
      </w:r>
      <w:r w:rsidR="00D91FB8" w:rsidRPr="00D91FB8">
        <w:t xml:space="preserve">konklusionerne </w:t>
      </w:r>
      <w:r w:rsidRPr="008D4C0E">
        <w:t xml:space="preserve">fra COP28 i 2023, som </w:t>
      </w:r>
      <w:r w:rsidR="00D91FB8" w:rsidRPr="00D91FB8">
        <w:t>for første gang i historien opfordrer til en omstilling væk fra fossile brændstoffer og give et klart tilsagn om 1,5</w:t>
      </w:r>
      <w:r w:rsidR="00D91FB8">
        <w:t> </w:t>
      </w:r>
      <w:r w:rsidR="00D91FB8" w:rsidRPr="00D91FB8">
        <w:t>°C-målet</w:t>
      </w:r>
      <w:r w:rsidR="00D96472">
        <w:t>,</w:t>
      </w:r>
      <w:r w:rsidR="00D91FB8" w:rsidRPr="00D91FB8">
        <w:t xml:space="preserve"> til at træffe </w:t>
      </w:r>
      <w:r w:rsidR="00D96472">
        <w:t>tiltag</w:t>
      </w:r>
      <w:r w:rsidR="00D91FB8" w:rsidRPr="00D91FB8">
        <w:t xml:space="preserve"> med henblik på at opnå en tredobling af kapaciteten til vedvarende energi og en fordobling af energieffektivitetsforbedringerne på globalt plan </w:t>
      </w:r>
      <w:r w:rsidRPr="008D4C0E">
        <w:t xml:space="preserve">senest i 2030 og </w:t>
      </w:r>
      <w:r w:rsidR="00D96472">
        <w:t xml:space="preserve">til </w:t>
      </w:r>
      <w:r w:rsidRPr="008D4C0E">
        <w:t xml:space="preserve">globalt </w:t>
      </w:r>
      <w:r w:rsidR="00D96472">
        <w:t xml:space="preserve">at </w:t>
      </w:r>
      <w:r w:rsidRPr="008D4C0E">
        <w:t>fremme en menneskecentreret tilgang til klimafinansiering og energiinfrastrukturprojekter;</w:t>
      </w:r>
    </w:p>
    <w:p w14:paraId="061DA5B2" w14:textId="77777777" w:rsidR="00720FDF" w:rsidRPr="008D4C0E" w:rsidRDefault="00720FDF" w:rsidP="000D7E87">
      <w:pPr>
        <w:pStyle w:val="NormalHanging12a"/>
      </w:pPr>
      <w:r w:rsidRPr="008D4C0E">
        <w:t>59.</w:t>
      </w:r>
      <w:r w:rsidRPr="008D4C0E">
        <w:tab/>
        <w:t>opfordrer EU til at spille en central rolle i forhandlingerne om afbødende foranstaltninger for udviklingslandene med henblik på at bekæmpe de skadelige virkninger af brugen af forurenende brændstoffer og samtidig fremme bæredygtig og ren energiudvikling;</w:t>
      </w:r>
    </w:p>
    <w:p w14:paraId="3A6A5004" w14:textId="77777777" w:rsidR="000D7E87" w:rsidRPr="008D4C0E" w:rsidRDefault="000D7E87" w:rsidP="000D7E87">
      <w:pPr>
        <w:pStyle w:val="NormalCenter12a"/>
        <w:widowControl/>
      </w:pPr>
      <w:r w:rsidRPr="008D4C0E">
        <w:t>°</w:t>
      </w:r>
    </w:p>
    <w:p w14:paraId="1B8C85B1" w14:textId="77777777" w:rsidR="000D7E87" w:rsidRPr="008D4C0E" w:rsidRDefault="000D7E87" w:rsidP="000D7E87">
      <w:pPr>
        <w:pStyle w:val="NormalCenter12a"/>
        <w:widowControl/>
      </w:pPr>
      <w:r w:rsidRPr="008D4C0E">
        <w:t>°     °</w:t>
      </w:r>
    </w:p>
    <w:p w14:paraId="78F1A1C7" w14:textId="77777777" w:rsidR="00720FDF" w:rsidRPr="008D4C0E" w:rsidRDefault="00720FDF" w:rsidP="00720FDF">
      <w:pPr>
        <w:pStyle w:val="NormalHanging12a"/>
      </w:pPr>
      <w:r w:rsidRPr="008D4C0E">
        <w:t>60.</w:t>
      </w:r>
      <w:r w:rsidRPr="008D4C0E">
        <w:tab/>
        <w:t>pålægger sin formand at sende denne beslutning til Rådet, Kommissionen og Tjenesten for EU's Optræden Udadtil og Den Europæiske Investeringsbank.</w:t>
      </w:r>
    </w:p>
    <w:sectPr w:rsidR="00720FDF" w:rsidRPr="008D4C0E" w:rsidSect="001834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347FE" w14:textId="77777777" w:rsidR="000D7E87" w:rsidRPr="00183485" w:rsidRDefault="000D7E87">
      <w:r w:rsidRPr="00183485">
        <w:separator/>
      </w:r>
    </w:p>
  </w:endnote>
  <w:endnote w:type="continuationSeparator" w:id="0">
    <w:p w14:paraId="32532968" w14:textId="77777777" w:rsidR="000D7E87" w:rsidRPr="00183485" w:rsidRDefault="000D7E87">
      <w:r w:rsidRPr="001834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1482F" w14:textId="77777777" w:rsidR="000D7E87" w:rsidRPr="00183485" w:rsidRDefault="000D7E8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5B4D9" w14:textId="77777777" w:rsidR="000D7E87" w:rsidRPr="00183485" w:rsidRDefault="000D7E8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A9E86" w14:textId="77777777" w:rsidR="000D7E87" w:rsidRPr="00183485" w:rsidRDefault="000D7E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69B07" w14:textId="77777777" w:rsidR="000D7E87" w:rsidRPr="00183485" w:rsidRDefault="000D7E87">
      <w:r w:rsidRPr="00183485">
        <w:separator/>
      </w:r>
    </w:p>
  </w:footnote>
  <w:footnote w:type="continuationSeparator" w:id="0">
    <w:p w14:paraId="4CE822B8" w14:textId="77777777" w:rsidR="000D7E87" w:rsidRPr="00183485" w:rsidRDefault="000D7E87">
      <w:r w:rsidRPr="00183485">
        <w:continuationSeparator/>
      </w:r>
    </w:p>
  </w:footnote>
  <w:footnote w:id="1">
    <w:p w14:paraId="6E846C17" w14:textId="4AA941A3" w:rsidR="000D7E87" w:rsidRPr="00F226FE" w:rsidRDefault="000D7E87" w:rsidP="00183485">
      <w:pPr>
        <w:pStyle w:val="FootnoteText"/>
        <w:ind w:left="567" w:hanging="567"/>
        <w:rPr>
          <w:sz w:val="24"/>
          <w:u w:color="0000FF"/>
          <w:lang w:val="da-DK"/>
        </w:rPr>
      </w:pPr>
      <w:r w:rsidRPr="00183485">
        <w:rPr>
          <w:rStyle w:val="FootnoteReference"/>
          <w:sz w:val="24"/>
          <w:lang w:val="da-DK"/>
        </w:rPr>
        <w:footnoteRef/>
      </w:r>
      <w:r w:rsidRPr="00183485">
        <w:rPr>
          <w:sz w:val="24"/>
          <w:lang w:val="da-DK"/>
        </w:rPr>
        <w:t xml:space="preserve"> </w:t>
      </w:r>
      <w:r w:rsidRPr="00183485">
        <w:rPr>
          <w:sz w:val="24"/>
          <w:lang w:val="da-DK"/>
        </w:rPr>
        <w:tab/>
      </w:r>
      <w:r w:rsidR="00D94C6C" w:rsidRPr="00F226FE">
        <w:rPr>
          <w:sz w:val="24"/>
          <w:u w:color="0000FF"/>
          <w:lang w:val="da-DK"/>
        </w:rPr>
        <w:t>EUT C 210 af 30.6.2017, s. 1</w:t>
      </w:r>
      <w:r w:rsidRPr="00F226FE">
        <w:rPr>
          <w:sz w:val="24"/>
          <w:lang w:val="da-DK"/>
        </w:rPr>
        <w:t>.</w:t>
      </w:r>
    </w:p>
  </w:footnote>
  <w:footnote w:id="2">
    <w:p w14:paraId="6933B0F4" w14:textId="5A47F895" w:rsidR="000D7E87" w:rsidRPr="00F226FE" w:rsidRDefault="000D7E87" w:rsidP="00183485">
      <w:pPr>
        <w:pStyle w:val="FootnoteText"/>
        <w:ind w:left="567" w:hanging="567"/>
        <w:rPr>
          <w:sz w:val="24"/>
          <w:u w:color="0000FF"/>
          <w:lang w:val="da-DK"/>
        </w:rPr>
      </w:pPr>
      <w:r w:rsidRPr="00183485">
        <w:rPr>
          <w:rStyle w:val="FootnoteReference"/>
          <w:sz w:val="24"/>
          <w:lang w:val="da-DK"/>
        </w:rPr>
        <w:footnoteRef/>
      </w:r>
      <w:r w:rsidRPr="00183485">
        <w:rPr>
          <w:sz w:val="24"/>
          <w:lang w:val="da-DK"/>
        </w:rPr>
        <w:t xml:space="preserve"> </w:t>
      </w:r>
      <w:r w:rsidRPr="00183485">
        <w:rPr>
          <w:sz w:val="24"/>
          <w:lang w:val="da-DK"/>
        </w:rPr>
        <w:tab/>
      </w:r>
      <w:r w:rsidR="00D94C6C" w:rsidRPr="00F226FE">
        <w:rPr>
          <w:sz w:val="24"/>
          <w:u w:color="0000FF"/>
          <w:lang w:val="da-DK"/>
        </w:rPr>
        <w:t>EUT L 209 af 14.6.2021, s. 1</w:t>
      </w:r>
      <w:r w:rsidRPr="00F226FE">
        <w:rPr>
          <w:sz w:val="24"/>
          <w:u w:color="0000FF"/>
          <w:lang w:val="da-DK"/>
        </w:rPr>
        <w:t>.</w:t>
      </w:r>
    </w:p>
  </w:footnote>
  <w:footnote w:id="3">
    <w:p w14:paraId="7F18718E" w14:textId="16185B53" w:rsidR="000D7E87" w:rsidRPr="00F226FE" w:rsidRDefault="000D7E87" w:rsidP="00183485">
      <w:pPr>
        <w:pStyle w:val="FootnoteText"/>
        <w:ind w:left="567" w:hanging="567"/>
        <w:rPr>
          <w:sz w:val="24"/>
          <w:lang w:val="en-GB"/>
          <w:rPrChange w:id="8" w:author="NIELSEN Anja" w:date="2024-01-17T15:15:00Z">
            <w:rPr>
              <w:sz w:val="24"/>
              <w:lang w:val="da-DK"/>
            </w:rPr>
          </w:rPrChange>
        </w:rPr>
      </w:pPr>
      <w:r w:rsidRPr="00183485">
        <w:rPr>
          <w:rStyle w:val="FootnoteReference"/>
          <w:sz w:val="24"/>
          <w:lang w:val="da-DK"/>
        </w:rPr>
        <w:footnoteRef/>
      </w:r>
      <w:r w:rsidRPr="00F226FE">
        <w:rPr>
          <w:sz w:val="24"/>
          <w:lang w:val="en-GB"/>
          <w:rPrChange w:id="9" w:author="NIELSEN Anja" w:date="2024-01-17T15:15:00Z">
            <w:rPr>
              <w:sz w:val="24"/>
              <w:lang w:val="da-DK"/>
            </w:rPr>
          </w:rPrChange>
        </w:rPr>
        <w:t xml:space="preserve"> </w:t>
      </w:r>
      <w:r w:rsidRPr="00F226FE">
        <w:rPr>
          <w:sz w:val="24"/>
          <w:lang w:val="en-GB"/>
          <w:rPrChange w:id="10" w:author="NIELSEN Anja" w:date="2024-01-17T15:15:00Z">
            <w:rPr>
              <w:sz w:val="24"/>
              <w:lang w:val="da-DK"/>
            </w:rPr>
          </w:rPrChange>
        </w:rPr>
        <w:tab/>
      </w:r>
      <w:r w:rsidR="00D94C6C" w:rsidRPr="00F226FE">
        <w:rPr>
          <w:lang w:val="en-GB"/>
          <w:rPrChange w:id="11" w:author="NIELSEN Anja" w:date="2024-01-17T15:15:00Z">
            <w:rPr>
              <w:rStyle w:val="Hyperlink"/>
              <w:sz w:val="24"/>
              <w:lang w:val="da-DK"/>
            </w:rPr>
          </w:rPrChange>
        </w:rPr>
        <w:t>EUT L 157 af 20.6.2023, s. 11</w:t>
      </w:r>
      <w:r w:rsidRPr="00F226FE">
        <w:rPr>
          <w:sz w:val="24"/>
          <w:lang w:val="en-GB"/>
          <w:rPrChange w:id="12" w:author="NIELSEN Anja" w:date="2024-01-17T15:15:00Z">
            <w:rPr>
              <w:sz w:val="24"/>
              <w:lang w:val="da-DK"/>
            </w:rPr>
          </w:rPrChange>
        </w:rPr>
        <w:t>.</w:t>
      </w:r>
    </w:p>
  </w:footnote>
  <w:footnote w:id="4">
    <w:p w14:paraId="67C94A85" w14:textId="77777777" w:rsidR="000D7E87" w:rsidRPr="00F226FE" w:rsidRDefault="000D7E87" w:rsidP="00183485">
      <w:pPr>
        <w:pStyle w:val="FootnoteText"/>
        <w:ind w:left="567" w:hanging="567"/>
        <w:rPr>
          <w:color w:val="0000FF"/>
          <w:sz w:val="24"/>
          <w:u w:val="single" w:color="0000FF"/>
          <w:lang w:val="en-GB"/>
        </w:rPr>
      </w:pPr>
      <w:r w:rsidRPr="00183485">
        <w:rPr>
          <w:rStyle w:val="FootnoteReference"/>
          <w:sz w:val="24"/>
          <w:lang w:val="da-DK"/>
        </w:rPr>
        <w:footnoteRef/>
      </w:r>
      <w:r w:rsidRPr="00F226FE">
        <w:rPr>
          <w:sz w:val="24"/>
          <w:lang w:val="en-GB"/>
          <w:rPrChange w:id="13" w:author="NIELSEN Anja" w:date="2024-01-17T15:15:00Z">
            <w:rPr>
              <w:sz w:val="24"/>
              <w:lang w:val="da-DK"/>
            </w:rPr>
          </w:rPrChange>
        </w:rPr>
        <w:t xml:space="preserve"> </w:t>
      </w:r>
      <w:r w:rsidRPr="00F226FE">
        <w:rPr>
          <w:sz w:val="24"/>
          <w:lang w:val="en-GB"/>
          <w:rPrChange w:id="14" w:author="NIELSEN Anja" w:date="2024-01-17T15:15:00Z">
            <w:rPr>
              <w:sz w:val="24"/>
              <w:lang w:val="da-DK"/>
            </w:rPr>
          </w:rPrChange>
        </w:rPr>
        <w:tab/>
      </w:r>
      <w:hyperlink r:id="rId1" w:history="1">
        <w:r w:rsidRPr="00F226FE">
          <w:rPr>
            <w:color w:val="0000FF"/>
            <w:sz w:val="24"/>
            <w:u w:val="single" w:color="0000FF"/>
            <w:lang w:val="en-GB"/>
          </w:rPr>
          <w:t>Miljøinstituttet i Stockholm, International Institute for Sustainable Development, Overseas Development Institute, E3G og FN's miljøprogram, "2021 Report – The Production Gap:</w:t>
        </w:r>
      </w:hyperlink>
      <w:hyperlink r:id="rId2" w:history="1">
        <w:r w:rsidRPr="00F226FE">
          <w:rPr>
            <w:color w:val="0000FF"/>
            <w:sz w:val="24"/>
            <w:u w:val="single" w:color="0000FF"/>
            <w:lang w:val="en-GB"/>
          </w:rPr>
          <w:t xml:space="preserve"> Governments' planned fossil fuel production remains dangerously out of sync with Paris Agreement limits", 2021.</w:t>
        </w:r>
      </w:hyperlink>
    </w:p>
  </w:footnote>
  <w:footnote w:id="5">
    <w:p w14:paraId="303CCCEC" w14:textId="77777777" w:rsidR="000D7E87" w:rsidRPr="00F226FE" w:rsidRDefault="000D7E87" w:rsidP="00183485">
      <w:pPr>
        <w:pStyle w:val="FootnoteText"/>
        <w:ind w:left="567" w:hanging="567"/>
        <w:rPr>
          <w:color w:val="0000FF"/>
          <w:sz w:val="24"/>
          <w:u w:val="single" w:color="0000FF"/>
          <w:lang w:val="en-GB"/>
          <w:rPrChange w:id="15" w:author="NIELSEN Anja" w:date="2024-01-17T15:15:00Z">
            <w:rPr>
              <w:color w:val="0000FF"/>
              <w:sz w:val="24"/>
              <w:u w:val="single" w:color="0000FF"/>
              <w:lang w:val="da-DK"/>
            </w:rPr>
          </w:rPrChange>
        </w:rPr>
      </w:pPr>
      <w:r w:rsidRPr="00183485">
        <w:rPr>
          <w:rStyle w:val="FootnoteReference"/>
          <w:sz w:val="24"/>
          <w:lang w:val="da-DK"/>
        </w:rPr>
        <w:footnoteRef/>
      </w:r>
      <w:r w:rsidRPr="00F226FE">
        <w:rPr>
          <w:sz w:val="24"/>
          <w:lang w:val="en-GB"/>
          <w:rPrChange w:id="16" w:author="NIELSEN Anja" w:date="2024-01-17T15:15:00Z">
            <w:rPr>
              <w:sz w:val="24"/>
              <w:lang w:val="da-DK"/>
            </w:rPr>
          </w:rPrChange>
        </w:rPr>
        <w:t xml:space="preserve"> </w:t>
      </w:r>
      <w:r w:rsidRPr="00F226FE">
        <w:rPr>
          <w:sz w:val="24"/>
          <w:lang w:val="en-GB"/>
          <w:rPrChange w:id="17" w:author="NIELSEN Anja" w:date="2024-01-17T15:15:00Z">
            <w:rPr>
              <w:sz w:val="24"/>
              <w:lang w:val="da-DK"/>
            </w:rPr>
          </w:rPrChange>
        </w:rPr>
        <w:tab/>
      </w:r>
      <w:r w:rsidR="00D96472">
        <w:fldChar w:fldCharType="begin"/>
      </w:r>
      <w:r w:rsidR="00D96472" w:rsidRPr="00F226FE">
        <w:rPr>
          <w:lang w:val="en-GB"/>
          <w:rPrChange w:id="18" w:author="NIELSEN Anja" w:date="2024-01-17T15:15:00Z">
            <w:rPr>
              <w:lang w:val="da-DK"/>
            </w:rPr>
          </w:rPrChange>
        </w:rPr>
        <w:instrText xml:space="preserve"> HYPERLINK "https://www.irena.org/publications/2022/mar/world-energy-transitions-outlook-2022" </w:instrText>
      </w:r>
      <w:r w:rsidR="00D96472">
        <w:fldChar w:fldCharType="separate"/>
      </w:r>
      <w:r w:rsidRPr="00F226FE">
        <w:rPr>
          <w:color w:val="0000FF"/>
          <w:sz w:val="24"/>
          <w:u w:val="single" w:color="0000FF"/>
          <w:lang w:val="en-GB"/>
          <w:rPrChange w:id="19" w:author="NIELSEN Anja" w:date="2024-01-17T15:15:00Z">
            <w:rPr>
              <w:color w:val="0000FF"/>
              <w:sz w:val="24"/>
              <w:u w:val="single" w:color="0000FF"/>
              <w:lang w:val="da-DK"/>
            </w:rPr>
          </w:rPrChange>
        </w:rPr>
        <w:t>Det Internationale Agentur for Vedvarende Energi, "World Energy Transitions Outlook 2022: 1.5 °C Pathway", Abu Dhabi, 2022.</w:t>
      </w:r>
      <w:r w:rsidR="00D96472">
        <w:rPr>
          <w:color w:val="0000FF"/>
          <w:sz w:val="24"/>
          <w:u w:val="single" w:color="0000FF"/>
          <w:lang w:val="da-DK"/>
        </w:rPr>
        <w:fldChar w:fldCharType="end"/>
      </w:r>
    </w:p>
  </w:footnote>
  <w:footnote w:id="6">
    <w:p w14:paraId="278E5633" w14:textId="77777777" w:rsidR="000D7E87" w:rsidRPr="00F226FE" w:rsidRDefault="000D7E87" w:rsidP="00183485">
      <w:pPr>
        <w:pStyle w:val="FootnoteText"/>
        <w:ind w:left="567" w:hanging="567"/>
        <w:rPr>
          <w:color w:val="0000FF"/>
          <w:sz w:val="24"/>
          <w:u w:val="single" w:color="0000FF"/>
          <w:lang w:val="en-GB"/>
          <w:rPrChange w:id="20" w:author="NIELSEN Anja" w:date="2024-01-17T15:15:00Z">
            <w:rPr>
              <w:color w:val="0000FF"/>
              <w:sz w:val="24"/>
              <w:u w:val="single" w:color="0000FF"/>
              <w:lang w:val="da-DK"/>
            </w:rPr>
          </w:rPrChange>
        </w:rPr>
      </w:pPr>
      <w:r w:rsidRPr="00183485">
        <w:rPr>
          <w:rStyle w:val="FootnoteReference"/>
          <w:sz w:val="24"/>
          <w:lang w:val="da-DK"/>
        </w:rPr>
        <w:footnoteRef/>
      </w:r>
      <w:r w:rsidRPr="00F226FE">
        <w:rPr>
          <w:sz w:val="24"/>
          <w:lang w:val="en-GB"/>
          <w:rPrChange w:id="21" w:author="NIELSEN Anja" w:date="2024-01-17T15:15:00Z">
            <w:rPr>
              <w:sz w:val="24"/>
              <w:lang w:val="da-DK"/>
            </w:rPr>
          </w:rPrChange>
        </w:rPr>
        <w:t xml:space="preserve"> </w:t>
      </w:r>
      <w:r w:rsidRPr="00F226FE">
        <w:rPr>
          <w:sz w:val="24"/>
          <w:lang w:val="en-GB"/>
          <w:rPrChange w:id="22" w:author="NIELSEN Anja" w:date="2024-01-17T15:15:00Z">
            <w:rPr>
              <w:sz w:val="24"/>
              <w:lang w:val="da-DK"/>
            </w:rPr>
          </w:rPrChange>
        </w:rPr>
        <w:tab/>
      </w:r>
      <w:r w:rsidR="00D96472">
        <w:fldChar w:fldCharType="begin"/>
      </w:r>
      <w:r w:rsidR="00D96472" w:rsidRPr="00F226FE">
        <w:rPr>
          <w:lang w:val="en-GB"/>
          <w:rPrChange w:id="23" w:author="NIELSEN Anja" w:date="2024-01-17T15:15:00Z">
            <w:rPr>
              <w:lang w:val="da-DK"/>
            </w:rPr>
          </w:rPrChange>
        </w:rPr>
        <w:instrText xml:space="preserve"> HYPERLINK "https://www.iea.org/reports/tracking-sdg7-the-energy-progress-report-2023" </w:instrText>
      </w:r>
      <w:r w:rsidR="00D96472">
        <w:fldChar w:fldCharType="separate"/>
      </w:r>
      <w:r w:rsidRPr="00F226FE">
        <w:rPr>
          <w:color w:val="0000FF"/>
          <w:sz w:val="24"/>
          <w:u w:val="single" w:color="0000FF"/>
          <w:lang w:val="en-GB"/>
          <w:rPrChange w:id="24" w:author="NIELSEN Anja" w:date="2024-01-17T15:15:00Z">
            <w:rPr>
              <w:color w:val="0000FF"/>
              <w:sz w:val="24"/>
              <w:u w:val="single" w:color="0000FF"/>
              <w:lang w:val="da-DK"/>
            </w:rPr>
          </w:rPrChange>
        </w:rPr>
        <w:t>Det Internationale Energiagentur, "Tracking SDG7: The Energy Progress Report, 2023", Paris, juni 2023.</w:t>
      </w:r>
      <w:r w:rsidR="00D96472">
        <w:rPr>
          <w:color w:val="0000FF"/>
          <w:sz w:val="24"/>
          <w:u w:val="single" w:color="0000FF"/>
          <w:lang w:val="da-DK"/>
        </w:rPr>
        <w:fldChar w:fldCharType="end"/>
      </w:r>
    </w:p>
  </w:footnote>
  <w:footnote w:id="7">
    <w:p w14:paraId="1A8D9B8D" w14:textId="77777777" w:rsidR="000D7E87" w:rsidRPr="008D4C0E" w:rsidRDefault="000D7E87" w:rsidP="00183485">
      <w:pPr>
        <w:pStyle w:val="FootnoteText"/>
        <w:ind w:left="567" w:hanging="567"/>
        <w:rPr>
          <w:color w:val="0000FF"/>
          <w:sz w:val="24"/>
          <w:u w:val="single" w:color="0000FF"/>
          <w:lang w:val="en-GB"/>
        </w:rPr>
      </w:pPr>
      <w:r w:rsidRPr="00183485">
        <w:rPr>
          <w:rStyle w:val="FootnoteReference"/>
          <w:sz w:val="24"/>
          <w:lang w:val="da-DK"/>
        </w:rPr>
        <w:footnoteRef/>
      </w:r>
      <w:r w:rsidRPr="008D4C0E">
        <w:rPr>
          <w:sz w:val="24"/>
          <w:lang w:val="en-GB"/>
        </w:rPr>
        <w:t xml:space="preserve"> </w:t>
      </w:r>
      <w:r w:rsidRPr="008D4C0E">
        <w:rPr>
          <w:sz w:val="24"/>
          <w:lang w:val="en-GB"/>
        </w:rPr>
        <w:tab/>
      </w:r>
      <w:hyperlink r:id="rId3" w:history="1">
        <w:r w:rsidRPr="008D4C0E">
          <w:rPr>
            <w:color w:val="0000FF"/>
            <w:sz w:val="24"/>
            <w:u w:val="single" w:color="0000FF"/>
            <w:lang w:val="en-GB"/>
          </w:rPr>
          <w:t>Den Afrikanske Union, "The African Union green recovery action plan", Addis Abeba, 2021.</w:t>
        </w:r>
      </w:hyperlink>
    </w:p>
  </w:footnote>
  <w:footnote w:id="8">
    <w:p w14:paraId="45952C77" w14:textId="77777777" w:rsidR="000D7E87" w:rsidRPr="008D4C0E" w:rsidRDefault="000D7E87" w:rsidP="00183485">
      <w:pPr>
        <w:pStyle w:val="FootnoteText"/>
        <w:ind w:left="567" w:hanging="567"/>
        <w:rPr>
          <w:sz w:val="24"/>
          <w:lang w:val="fi-FI"/>
        </w:rPr>
      </w:pPr>
      <w:r w:rsidRPr="00183485">
        <w:rPr>
          <w:rStyle w:val="FootnoteReference"/>
          <w:sz w:val="24"/>
          <w:lang w:val="da-DK"/>
        </w:rPr>
        <w:footnoteRef/>
      </w:r>
      <w:r w:rsidRPr="008D4C0E">
        <w:rPr>
          <w:sz w:val="24"/>
          <w:lang w:val="fi-FI"/>
        </w:rPr>
        <w:t xml:space="preserve"> </w:t>
      </w:r>
      <w:r w:rsidRPr="008D4C0E">
        <w:rPr>
          <w:sz w:val="24"/>
          <w:lang w:val="fi-FI"/>
        </w:rPr>
        <w:tab/>
        <w:t xml:space="preserve">EUT C, C/2023/398, 23.11.2023, ELI: </w:t>
      </w:r>
      <w:hyperlink r:id="rId4" w:history="1">
        <w:r w:rsidRPr="008D4C0E">
          <w:rPr>
            <w:rStyle w:val="Hyperlink"/>
            <w:sz w:val="24"/>
            <w:lang w:val="fi-FI"/>
          </w:rPr>
          <w:t>http://data.europa.eu/eli/C/2023/398/oj</w:t>
        </w:r>
      </w:hyperlink>
      <w:r w:rsidRPr="008D4C0E">
        <w:rPr>
          <w:sz w:val="24"/>
          <w:lang w:val="fi-FI"/>
        </w:rPr>
        <w:t>.</w:t>
      </w:r>
    </w:p>
  </w:footnote>
  <w:footnote w:id="9">
    <w:p w14:paraId="06D7AC92" w14:textId="3F7447E8" w:rsidR="000D7E87" w:rsidRPr="00F226FE" w:rsidRDefault="000D7E87" w:rsidP="00183485">
      <w:pPr>
        <w:pStyle w:val="FootnoteText"/>
        <w:ind w:left="567" w:hanging="567"/>
        <w:rPr>
          <w:sz w:val="24"/>
          <w:u w:color="0000FF"/>
          <w:lang w:val="da-DK"/>
        </w:rPr>
      </w:pPr>
      <w:r w:rsidRPr="00183485">
        <w:rPr>
          <w:rStyle w:val="FootnoteReference"/>
          <w:sz w:val="24"/>
          <w:lang w:val="da-DK"/>
        </w:rPr>
        <w:footnoteRef/>
      </w:r>
      <w:r w:rsidRPr="00183485">
        <w:rPr>
          <w:sz w:val="24"/>
          <w:lang w:val="da-DK"/>
        </w:rPr>
        <w:t xml:space="preserve"> </w:t>
      </w:r>
      <w:r w:rsidRPr="00183485">
        <w:rPr>
          <w:sz w:val="24"/>
          <w:lang w:val="da-DK"/>
        </w:rPr>
        <w:tab/>
      </w:r>
      <w:r w:rsidR="00D94C6C" w:rsidRPr="00F226FE">
        <w:rPr>
          <w:sz w:val="24"/>
          <w:u w:color="0000FF"/>
          <w:lang w:val="da-DK"/>
        </w:rPr>
        <w:t>EUT C 494 af 8.12.2021, s. 80</w:t>
      </w:r>
      <w:r w:rsidRPr="00F226FE">
        <w:rPr>
          <w:sz w:val="24"/>
          <w:u w:color="0000FF"/>
          <w:lang w:val="da-DK"/>
        </w:rPr>
        <w:t>.</w:t>
      </w:r>
    </w:p>
  </w:footnote>
  <w:footnote w:id="10">
    <w:p w14:paraId="1B0420A1" w14:textId="6AF7776E" w:rsidR="000D7E87" w:rsidRPr="00F226FE" w:rsidRDefault="000D7E87" w:rsidP="00183485">
      <w:pPr>
        <w:pStyle w:val="FootnoteText"/>
        <w:ind w:left="567" w:hanging="567"/>
        <w:rPr>
          <w:sz w:val="24"/>
          <w:u w:color="0000FF"/>
          <w:lang w:val="da-DK"/>
        </w:rPr>
      </w:pPr>
      <w:r w:rsidRPr="00F226FE">
        <w:rPr>
          <w:u w:color="0000FF"/>
        </w:rPr>
        <w:footnoteRef/>
      </w:r>
      <w:r w:rsidRPr="00F226FE">
        <w:rPr>
          <w:sz w:val="24"/>
          <w:u w:color="0000FF"/>
          <w:lang w:val="da-DK"/>
        </w:rPr>
        <w:t xml:space="preserve"> </w:t>
      </w:r>
      <w:r w:rsidRPr="00F226FE">
        <w:rPr>
          <w:sz w:val="24"/>
          <w:u w:color="0000FF"/>
          <w:lang w:val="da-DK"/>
        </w:rPr>
        <w:tab/>
      </w:r>
      <w:r w:rsidR="00D94C6C" w:rsidRPr="00F226FE">
        <w:rPr>
          <w:sz w:val="24"/>
          <w:u w:color="0000FF"/>
          <w:lang w:val="da-DK"/>
        </w:rPr>
        <w:t>EUT C 270 af 7.7.2021, s. 2</w:t>
      </w:r>
      <w:r w:rsidRPr="00F226FE">
        <w:rPr>
          <w:sz w:val="24"/>
          <w:u w:color="0000FF"/>
          <w:lang w:val="da-DK"/>
        </w:rPr>
        <w:t>.</w:t>
      </w:r>
    </w:p>
  </w:footnote>
  <w:footnote w:id="11">
    <w:p w14:paraId="08646DD3" w14:textId="32ADA33C" w:rsidR="000D7E87" w:rsidRPr="00F226FE" w:rsidRDefault="000D7E87" w:rsidP="00183485">
      <w:pPr>
        <w:pStyle w:val="FootnoteText"/>
        <w:ind w:left="567" w:hanging="567"/>
        <w:rPr>
          <w:sz w:val="24"/>
          <w:u w:color="0000FF"/>
          <w:lang w:val="da-DK"/>
        </w:rPr>
      </w:pPr>
      <w:r w:rsidRPr="00F226FE">
        <w:rPr>
          <w:u w:color="0000FF"/>
        </w:rPr>
        <w:footnoteRef/>
      </w:r>
      <w:r w:rsidRPr="00F226FE">
        <w:rPr>
          <w:sz w:val="24"/>
          <w:u w:color="0000FF"/>
          <w:lang w:val="da-DK"/>
        </w:rPr>
        <w:t xml:space="preserve"> </w:t>
      </w:r>
      <w:r w:rsidRPr="00F226FE">
        <w:rPr>
          <w:sz w:val="24"/>
          <w:u w:color="0000FF"/>
          <w:lang w:val="da-DK"/>
        </w:rPr>
        <w:tab/>
      </w:r>
      <w:r w:rsidR="00D94C6C" w:rsidRPr="00F226FE">
        <w:rPr>
          <w:sz w:val="24"/>
          <w:u w:color="0000FF"/>
          <w:lang w:val="da-DK"/>
        </w:rPr>
        <w:t>EUT C 224 af 27.6.2018, s. 167</w:t>
      </w:r>
      <w:r w:rsidRPr="00F226FE">
        <w:rPr>
          <w:sz w:val="24"/>
          <w:u w:color="0000FF"/>
          <w:lang w:val="da-DK"/>
        </w:rPr>
        <w:t>.</w:t>
      </w:r>
    </w:p>
  </w:footnote>
  <w:footnote w:id="12">
    <w:p w14:paraId="0FD5E703" w14:textId="4A5BFA68" w:rsidR="000D7E87" w:rsidRPr="00F226FE" w:rsidRDefault="000D7E87" w:rsidP="00183485">
      <w:pPr>
        <w:pStyle w:val="FootnoteText"/>
        <w:ind w:left="567" w:hanging="567"/>
        <w:rPr>
          <w:sz w:val="24"/>
          <w:u w:color="0000FF"/>
          <w:lang w:val="da-DK"/>
        </w:rPr>
      </w:pPr>
      <w:r w:rsidRPr="00183485">
        <w:rPr>
          <w:rStyle w:val="FootnoteReference"/>
          <w:sz w:val="24"/>
          <w:lang w:val="da-DK"/>
        </w:rPr>
        <w:footnoteRef/>
      </w:r>
      <w:r w:rsidRPr="00183485">
        <w:rPr>
          <w:sz w:val="24"/>
          <w:lang w:val="da-DK"/>
        </w:rPr>
        <w:t xml:space="preserve"> </w:t>
      </w:r>
      <w:r w:rsidRPr="00183485">
        <w:rPr>
          <w:sz w:val="24"/>
          <w:lang w:val="da-DK"/>
        </w:rPr>
        <w:tab/>
      </w:r>
      <w:bookmarkStart w:id="25" w:name="_GoBack"/>
      <w:r w:rsidR="00D94C6C" w:rsidRPr="00F226FE">
        <w:rPr>
          <w:sz w:val="24"/>
          <w:u w:color="0000FF"/>
          <w:lang w:val="da-DK"/>
          <w:rPrChange w:id="26" w:author="NIELSEN Anja" w:date="2024-01-17T15:14:00Z">
            <w:rPr>
              <w:rStyle w:val="Hyperlink"/>
              <w:sz w:val="24"/>
              <w:lang w:val="da-DK"/>
            </w:rPr>
          </w:rPrChange>
        </w:rPr>
        <w:t>EUT C 239 E af 20.8.2013, s. 83</w:t>
      </w:r>
      <w:r w:rsidRPr="00F226FE">
        <w:rPr>
          <w:sz w:val="24"/>
          <w:u w:color="0000FF"/>
          <w:lang w:val="da-DK"/>
        </w:rPr>
        <w:t>.</w:t>
      </w:r>
    </w:p>
    <w:bookmarkEnd w:id="25"/>
  </w:footnote>
  <w:footnote w:id="13">
    <w:p w14:paraId="1C0C09C7" w14:textId="77777777" w:rsidR="000D7E87" w:rsidRPr="00183485" w:rsidRDefault="000D7E87" w:rsidP="00183485">
      <w:pPr>
        <w:pStyle w:val="FootnoteText"/>
        <w:ind w:left="567" w:hanging="567"/>
        <w:rPr>
          <w:sz w:val="24"/>
          <w:lang w:val="da-DK"/>
        </w:rPr>
      </w:pPr>
      <w:r w:rsidRPr="00183485">
        <w:rPr>
          <w:rStyle w:val="FootnoteReference"/>
          <w:sz w:val="24"/>
          <w:lang w:val="da-DK"/>
        </w:rPr>
        <w:footnoteRef/>
      </w:r>
      <w:r w:rsidRPr="00183485">
        <w:rPr>
          <w:sz w:val="24"/>
          <w:lang w:val="da-DK"/>
        </w:rPr>
        <w:t xml:space="preserve"> </w:t>
      </w:r>
      <w:r w:rsidRPr="00183485">
        <w:rPr>
          <w:sz w:val="24"/>
          <w:lang w:val="da-DK"/>
        </w:rPr>
        <w:tab/>
        <w:t xml:space="preserve">FN's Afdeling for Økonomiske og Sociale Anliggender, "The Sustainable Development Goals Report </w:t>
      </w:r>
      <w:r w:rsidRPr="000D7E87">
        <w:rPr>
          <w:sz w:val="24"/>
          <w:lang w:val="da-DK"/>
        </w:rPr>
        <w:t>2023</w:t>
      </w:r>
      <w:r w:rsidRPr="00183485">
        <w:rPr>
          <w:sz w:val="24"/>
          <w:lang w:val="da-DK"/>
        </w:rPr>
        <w:t xml:space="preserve">: Special Edition – juli </w:t>
      </w:r>
      <w:r w:rsidRPr="000D7E87">
        <w:rPr>
          <w:sz w:val="24"/>
          <w:lang w:val="da-DK"/>
        </w:rPr>
        <w:t>2023</w:t>
      </w:r>
      <w:r w:rsidRPr="00183485">
        <w:rPr>
          <w:sz w:val="24"/>
          <w:lang w:val="da-DK"/>
        </w:rPr>
        <w:t xml:space="preserve">", New York, USA, </w:t>
      </w:r>
      <w:r w:rsidRPr="000D7E87">
        <w:rPr>
          <w:sz w:val="24"/>
          <w:lang w:val="da-DK"/>
        </w:rPr>
        <w:t>2023</w:t>
      </w:r>
      <w:r w:rsidRPr="00183485">
        <w:rPr>
          <w:sz w:val="24"/>
          <w:lang w:val="da-DK"/>
        </w:rPr>
        <w:t>.</w:t>
      </w:r>
    </w:p>
  </w:footnote>
  <w:footnote w:id="14">
    <w:p w14:paraId="14DFC6CD" w14:textId="77777777" w:rsidR="000D7E87" w:rsidRPr="00183485" w:rsidRDefault="000D7E87" w:rsidP="00183485">
      <w:pPr>
        <w:pStyle w:val="FootnoteText"/>
        <w:ind w:left="567" w:hanging="567"/>
        <w:rPr>
          <w:sz w:val="24"/>
          <w:lang w:val="da-DK"/>
        </w:rPr>
      </w:pPr>
      <w:r w:rsidRPr="00183485">
        <w:rPr>
          <w:rStyle w:val="FootnoteReference"/>
          <w:sz w:val="24"/>
          <w:lang w:val="da-DK"/>
        </w:rPr>
        <w:footnoteRef/>
      </w:r>
      <w:r w:rsidRPr="00183485">
        <w:rPr>
          <w:sz w:val="24"/>
          <w:lang w:val="da-DK"/>
        </w:rPr>
        <w:t xml:space="preserve"> </w:t>
      </w:r>
      <w:r w:rsidRPr="00183485">
        <w:rPr>
          <w:sz w:val="24"/>
          <w:lang w:val="da-DK"/>
        </w:rPr>
        <w:tab/>
        <w:t xml:space="preserve">Det Internationale Agentur for Vedvarende Energi, "Basic Energy Access Lags Amid Renewable Opportunities New Report Shows", </w:t>
      </w:r>
      <w:r w:rsidRPr="000D7E87">
        <w:rPr>
          <w:sz w:val="24"/>
          <w:lang w:val="da-DK"/>
        </w:rPr>
        <w:t>6</w:t>
      </w:r>
      <w:r w:rsidRPr="00183485">
        <w:rPr>
          <w:sz w:val="24"/>
          <w:lang w:val="da-DK"/>
        </w:rPr>
        <w:t xml:space="preserve">. juni </w:t>
      </w:r>
      <w:r w:rsidRPr="000D7E87">
        <w:rPr>
          <w:sz w:val="24"/>
          <w:lang w:val="da-DK"/>
        </w:rPr>
        <w:t>2023</w:t>
      </w:r>
      <w:r w:rsidRPr="00183485">
        <w:rPr>
          <w:sz w:val="24"/>
          <w:lang w:val="da-DK"/>
        </w:rPr>
        <w:t>.</w:t>
      </w:r>
    </w:p>
  </w:footnote>
  <w:footnote w:id="15">
    <w:p w14:paraId="67DA6017" w14:textId="77777777" w:rsidR="000D7E87" w:rsidRPr="00183485" w:rsidRDefault="000D7E87" w:rsidP="00183485">
      <w:pPr>
        <w:pStyle w:val="FootnoteText"/>
        <w:ind w:left="567" w:hanging="567"/>
        <w:rPr>
          <w:sz w:val="24"/>
          <w:lang w:val="da-DK"/>
        </w:rPr>
      </w:pPr>
      <w:r w:rsidRPr="00183485">
        <w:rPr>
          <w:rStyle w:val="FootnoteReference"/>
          <w:sz w:val="24"/>
          <w:lang w:val="da-DK"/>
        </w:rPr>
        <w:footnoteRef/>
      </w:r>
      <w:r w:rsidRPr="00183485">
        <w:rPr>
          <w:sz w:val="24"/>
          <w:lang w:val="da-DK"/>
        </w:rPr>
        <w:t xml:space="preserve"> </w:t>
      </w:r>
      <w:r w:rsidRPr="00183485">
        <w:rPr>
          <w:sz w:val="24"/>
          <w:lang w:val="da-DK"/>
        </w:rPr>
        <w:tab/>
        <w:t>FN's udviklingsprogram, "Energy and Gender Equality".</w:t>
      </w:r>
    </w:p>
  </w:footnote>
  <w:footnote w:id="16">
    <w:p w14:paraId="3FA54658" w14:textId="77777777" w:rsidR="000D7E87" w:rsidRPr="008D4C0E" w:rsidRDefault="000D7E87" w:rsidP="00183485">
      <w:pPr>
        <w:pStyle w:val="FootnoteText"/>
        <w:ind w:left="567" w:hanging="567"/>
        <w:rPr>
          <w:sz w:val="24"/>
          <w:lang w:val="en-GB"/>
        </w:rPr>
      </w:pPr>
      <w:r w:rsidRPr="00183485">
        <w:rPr>
          <w:rStyle w:val="FootnoteReference"/>
          <w:sz w:val="24"/>
          <w:lang w:val="da-DK"/>
        </w:rPr>
        <w:footnoteRef/>
      </w:r>
      <w:r w:rsidRPr="008D4C0E">
        <w:rPr>
          <w:sz w:val="24"/>
          <w:lang w:val="en-GB"/>
        </w:rPr>
        <w:t xml:space="preserve"> </w:t>
      </w:r>
      <w:r w:rsidRPr="008D4C0E">
        <w:rPr>
          <w:sz w:val="24"/>
          <w:lang w:val="en-GB"/>
        </w:rPr>
        <w:tab/>
        <w:t>Natural Resource Governance Institute, "The Resource Curse – The Political and Economic Challenges of Natural Resource Wealth", NRGI Reader, marts 2015.</w:t>
      </w:r>
    </w:p>
  </w:footnote>
  <w:footnote w:id="17">
    <w:p w14:paraId="42887EB4" w14:textId="77777777" w:rsidR="000D7E87" w:rsidRPr="00183485" w:rsidRDefault="000D7E87" w:rsidP="00183485">
      <w:pPr>
        <w:pStyle w:val="FootnoteText"/>
        <w:ind w:left="567" w:hanging="567"/>
        <w:rPr>
          <w:sz w:val="24"/>
          <w:lang w:val="da-DK"/>
        </w:rPr>
      </w:pPr>
      <w:r w:rsidRPr="00183485">
        <w:rPr>
          <w:rStyle w:val="FootnoteReference"/>
          <w:sz w:val="24"/>
          <w:lang w:val="da-DK"/>
        </w:rPr>
        <w:footnoteRef/>
      </w:r>
      <w:r w:rsidRPr="00183485">
        <w:rPr>
          <w:sz w:val="24"/>
          <w:lang w:val="da-DK"/>
        </w:rPr>
        <w:t xml:space="preserve"> </w:t>
      </w:r>
      <w:r w:rsidRPr="00183485">
        <w:rPr>
          <w:sz w:val="24"/>
          <w:lang w:val="da-DK"/>
        </w:rPr>
        <w:tab/>
        <w:t xml:space="preserve">Det Internationale Energiagentur, "Global Hydrogen Review </w:t>
      </w:r>
      <w:r w:rsidRPr="000D7E87">
        <w:rPr>
          <w:sz w:val="24"/>
          <w:lang w:val="da-DK"/>
        </w:rPr>
        <w:t>2023</w:t>
      </w:r>
      <w:r w:rsidRPr="00183485">
        <w:rPr>
          <w:sz w:val="24"/>
          <w:lang w:val="da-DK"/>
        </w:rPr>
        <w:t xml:space="preserve">", </w:t>
      </w:r>
      <w:r w:rsidRPr="000D7E87">
        <w:rPr>
          <w:sz w:val="24"/>
          <w:lang w:val="da-DK"/>
        </w:rPr>
        <w:t>2023</w:t>
      </w:r>
      <w:r w:rsidRPr="00183485">
        <w:rPr>
          <w:sz w:val="24"/>
          <w:lang w:val="da-DK"/>
        </w:rPr>
        <w:t xml:space="preserve">, og Det Internationale Energiagentur, "Hydrogen", </w:t>
      </w:r>
      <w:r w:rsidRPr="000D7E87">
        <w:rPr>
          <w:sz w:val="24"/>
          <w:lang w:val="da-DK"/>
        </w:rPr>
        <w:t>2023</w:t>
      </w:r>
      <w:r w:rsidRPr="0018348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3ABF7" w14:textId="77777777" w:rsidR="000D7E87" w:rsidRPr="00183485" w:rsidRDefault="000D7E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87491" w14:textId="77777777" w:rsidR="000D7E87" w:rsidRPr="00183485" w:rsidRDefault="000D7E8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11B95" w14:textId="77777777" w:rsidR="000D7E87" w:rsidRPr="00183485" w:rsidRDefault="000D7E8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ELSEN Anja">
    <w15:presenceInfo w15:providerId="None" w15:userId="NIELSEN An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DA"/>
    <w:docVar w:name="dvnumam" w:val="0"/>
    <w:docVar w:name="dvpe" w:val="753.463"/>
    <w:docVar w:name="dvrapporteur" w:val="Ordfører: "/>
    <w:docVar w:name="dvtitre" w:val="Europa-Parlamentets beslutning af xx. januar 2024 om EU-udviklingssamarbejde til støtte for målsætningen om global adgang til energi i 2030(2023/2073(INI))"/>
  </w:docVars>
  <w:rsids>
    <w:rsidRoot w:val="00CC5E32"/>
    <w:rsid w:val="00002272"/>
    <w:rsid w:val="00064002"/>
    <w:rsid w:val="000677B9"/>
    <w:rsid w:val="000831BA"/>
    <w:rsid w:val="000A42CC"/>
    <w:rsid w:val="000A6E22"/>
    <w:rsid w:val="000D7E87"/>
    <w:rsid w:val="000E7DD9"/>
    <w:rsid w:val="0010095E"/>
    <w:rsid w:val="00122074"/>
    <w:rsid w:val="00125B37"/>
    <w:rsid w:val="00183485"/>
    <w:rsid w:val="00187494"/>
    <w:rsid w:val="001F32AE"/>
    <w:rsid w:val="002025BF"/>
    <w:rsid w:val="002767FF"/>
    <w:rsid w:val="002B18FE"/>
    <w:rsid w:val="002B5493"/>
    <w:rsid w:val="00343214"/>
    <w:rsid w:val="00361C00"/>
    <w:rsid w:val="00395FA1"/>
    <w:rsid w:val="003E15D4"/>
    <w:rsid w:val="00405D8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79AC"/>
    <w:rsid w:val="006631B6"/>
    <w:rsid w:val="00680577"/>
    <w:rsid w:val="006F74FA"/>
    <w:rsid w:val="00720FD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C0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E32"/>
    <w:rsid w:val="00CF071A"/>
    <w:rsid w:val="00D058B8"/>
    <w:rsid w:val="00D56C11"/>
    <w:rsid w:val="00D834A0"/>
    <w:rsid w:val="00D872DF"/>
    <w:rsid w:val="00D91E21"/>
    <w:rsid w:val="00D91FB8"/>
    <w:rsid w:val="00D94C6C"/>
    <w:rsid w:val="00D96472"/>
    <w:rsid w:val="00DA7FCD"/>
    <w:rsid w:val="00E365E1"/>
    <w:rsid w:val="00E820A4"/>
    <w:rsid w:val="00EB006A"/>
    <w:rsid w:val="00EB4772"/>
    <w:rsid w:val="00ED169E"/>
    <w:rsid w:val="00ED4235"/>
    <w:rsid w:val="00F04346"/>
    <w:rsid w:val="00F075DC"/>
    <w:rsid w:val="00F149E9"/>
    <w:rsid w:val="00F226F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B1D4C"/>
  <w15:chartTrackingRefBased/>
  <w15:docId w15:val="{44DF0547-3544-432C-B9E8-658A1EBE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0FDF"/>
    <w:pPr>
      <w:spacing w:before="480" w:after="240"/>
    </w:pPr>
    <w:rPr>
      <w:snapToGrid w:val="0"/>
      <w:lang w:eastAsia="en-US"/>
    </w:rPr>
  </w:style>
  <w:style w:type="paragraph" w:customStyle="1" w:styleId="NormalHanging12a">
    <w:name w:val="NormalHanging12a"/>
    <w:basedOn w:val="Normal"/>
    <w:link w:val="NormalHanging12aChar"/>
    <w:rsid w:val="00720FDF"/>
    <w:pPr>
      <w:widowControl/>
      <w:spacing w:after="240"/>
      <w:ind w:left="567" w:hanging="567"/>
    </w:pPr>
    <w:rPr>
      <w:snapToGrid w:val="0"/>
      <w:lang w:eastAsia="en-US"/>
    </w:rPr>
  </w:style>
  <w:style w:type="paragraph" w:customStyle="1" w:styleId="NormalCenter12a">
    <w:name w:val="NormalCenter12a"/>
    <w:basedOn w:val="Normal"/>
    <w:rsid w:val="00720FDF"/>
    <w:pPr>
      <w:spacing w:after="240"/>
      <w:jc w:val="center"/>
    </w:pPr>
  </w:style>
  <w:style w:type="character" w:customStyle="1" w:styleId="BoldItalic">
    <w:name w:val="BoldItalic"/>
    <w:uiPriority w:val="1"/>
    <w:rsid w:val="00720FDF"/>
    <w:rPr>
      <w:b/>
      <w:i/>
      <w:u w:val="none"/>
    </w:rPr>
  </w:style>
  <w:style w:type="character" w:customStyle="1" w:styleId="Italic">
    <w:name w:val="Italic"/>
    <w:uiPriority w:val="1"/>
    <w:rsid w:val="00720FDF"/>
    <w:rPr>
      <w:i/>
    </w:rPr>
  </w:style>
  <w:style w:type="paragraph" w:customStyle="1" w:styleId="Normal12a24b">
    <w:name w:val="Normal12a24b"/>
    <w:basedOn w:val="Normal"/>
    <w:rsid w:val="00720FDF"/>
    <w:pPr>
      <w:spacing w:before="360" w:after="240"/>
    </w:pPr>
    <w:rPr>
      <w:snapToGrid w:val="0"/>
      <w:lang w:eastAsia="en-US"/>
    </w:rPr>
  </w:style>
  <w:style w:type="character" w:customStyle="1" w:styleId="NormalHanging12aChar">
    <w:name w:val="NormalHanging12a Char"/>
    <w:basedOn w:val="DefaultParagraphFont"/>
    <w:link w:val="NormalHanging12a"/>
    <w:rsid w:val="00720FDF"/>
    <w:rPr>
      <w:snapToGrid w:val="0"/>
      <w:sz w:val="24"/>
      <w:lang w:val="da-DK" w:eastAsia="en-US"/>
    </w:rPr>
  </w:style>
  <w:style w:type="character" w:styleId="Hyperlink">
    <w:name w:val="Hyperlink"/>
    <w:basedOn w:val="DefaultParagraphFont"/>
    <w:unhideWhenUsed/>
    <w:rsid w:val="00720FDF"/>
    <w:rPr>
      <w:color w:val="0563C1" w:themeColor="hyperlink"/>
      <w:u w:val="single"/>
    </w:rPr>
  </w:style>
  <w:style w:type="paragraph" w:styleId="BalloonText">
    <w:name w:val="Balloon Text"/>
    <w:basedOn w:val="Normal"/>
    <w:link w:val="BalloonTextChar"/>
    <w:rsid w:val="002025BF"/>
    <w:rPr>
      <w:rFonts w:ascii="Segoe UI" w:hAnsi="Segoe UI" w:cs="Segoe UI"/>
      <w:sz w:val="18"/>
      <w:szCs w:val="18"/>
    </w:rPr>
  </w:style>
  <w:style w:type="character" w:customStyle="1" w:styleId="BalloonTextChar">
    <w:name w:val="Balloon Text Char"/>
    <w:basedOn w:val="DefaultParagraphFont"/>
    <w:link w:val="BalloonText"/>
    <w:rsid w:val="002025BF"/>
    <w:rPr>
      <w:rFonts w:ascii="Segoe UI" w:hAnsi="Segoe UI" w:cs="Segoe UI"/>
      <w:sz w:val="18"/>
      <w:szCs w:val="18"/>
      <w:lang w:val="da-DK"/>
    </w:rPr>
  </w:style>
  <w:style w:type="character" w:styleId="CommentReference">
    <w:name w:val="annotation reference"/>
    <w:basedOn w:val="DefaultParagraphFont"/>
    <w:rsid w:val="00D91FB8"/>
    <w:rPr>
      <w:sz w:val="16"/>
      <w:szCs w:val="16"/>
    </w:rPr>
  </w:style>
  <w:style w:type="paragraph" w:styleId="CommentText">
    <w:name w:val="annotation text"/>
    <w:basedOn w:val="Normal"/>
    <w:link w:val="CommentTextChar"/>
    <w:rsid w:val="00D91FB8"/>
    <w:rPr>
      <w:sz w:val="20"/>
    </w:rPr>
  </w:style>
  <w:style w:type="character" w:customStyle="1" w:styleId="CommentTextChar">
    <w:name w:val="Comment Text Char"/>
    <w:basedOn w:val="DefaultParagraphFont"/>
    <w:link w:val="CommentText"/>
    <w:rsid w:val="00D91FB8"/>
    <w:rPr>
      <w:lang w:val="da-DK"/>
    </w:rPr>
  </w:style>
  <w:style w:type="paragraph" w:styleId="CommentSubject">
    <w:name w:val="annotation subject"/>
    <w:basedOn w:val="CommentText"/>
    <w:next w:val="CommentText"/>
    <w:link w:val="CommentSubjectChar"/>
    <w:rsid w:val="00D91FB8"/>
    <w:rPr>
      <w:b/>
      <w:bCs/>
    </w:rPr>
  </w:style>
  <w:style w:type="character" w:customStyle="1" w:styleId="CommentSubjectChar">
    <w:name w:val="Comment Subject Char"/>
    <w:basedOn w:val="CommentTextChar"/>
    <w:link w:val="CommentSubject"/>
    <w:rsid w:val="00D91FB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au.int/sites/default/files/documents/40790-doc-AU_Green_Recovery_Action_Plan_ENGLISH1.pdf"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4"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C4355-14B0-45C8-81B0-2C2D9DE13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7584</Words>
  <Characters>47319</Characters>
  <Application>Microsoft Office Word</Application>
  <DocSecurity>0</DocSecurity>
  <Lines>394</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2024-01-17T14:16:00Z</dcterms:created>
  <dcterms:modified xsi:type="dcterms:W3CDTF">2024-01-17T14:16:00Z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A9-0441/2023</vt:lpwstr>
  </property>
  <property fmtid="{D5CDD505-2E9C-101B-9397-08002B2CF9AE}" pid="4" name="&lt;Type&gt;">
    <vt:lpwstr>RR</vt:lpwstr>
  </property>
</Properties>
</file>