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1323F" w:rsidRPr="00150B2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1323F" w:rsidRPr="00150B20" w:rsidRDefault="0095441E">
            <w:pPr>
              <w:pStyle w:val="EPName"/>
            </w:pPr>
            <w:r w:rsidRPr="00150B20">
              <w:t>Európsky parlament</w:t>
            </w:r>
          </w:p>
          <w:p w:rsidR="0041323F" w:rsidRPr="00150B20" w:rsidRDefault="0095441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0B2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41323F" w:rsidRPr="00150B20" w:rsidRDefault="0095441E">
            <w:pPr>
              <w:pStyle w:val="EPLogo"/>
            </w:pPr>
            <w:r w:rsidRPr="00150B2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323F" w:rsidRPr="00150B20" w:rsidRDefault="0041323F">
      <w:pPr>
        <w:pStyle w:val="LineTop"/>
      </w:pPr>
    </w:p>
    <w:p w:rsidR="0041323F" w:rsidRPr="00150B20" w:rsidRDefault="0095441E">
      <w:pPr>
        <w:pStyle w:val="EPBodyTA1"/>
      </w:pPr>
      <w:r w:rsidRPr="00150B20">
        <w:t>PRIJATÉ TEXTY</w:t>
      </w:r>
    </w:p>
    <w:p w:rsidR="0041323F" w:rsidRPr="00150B20" w:rsidRDefault="0041323F">
      <w:pPr>
        <w:pStyle w:val="LineBottom"/>
      </w:pPr>
    </w:p>
    <w:p w:rsidR="0041323F" w:rsidRPr="00150B20" w:rsidRDefault="0095441E">
      <w:pPr>
        <w:pStyle w:val="ATHeading1"/>
      </w:pPr>
      <w:bookmarkStart w:id="0" w:name="TANumber"/>
      <w:r w:rsidRPr="00150B20">
        <w:t>P9_TA(2024)00</w:t>
      </w:r>
      <w:r w:rsidR="00AC13FA" w:rsidRPr="00150B20">
        <w:t>31</w:t>
      </w:r>
      <w:bookmarkEnd w:id="0"/>
    </w:p>
    <w:p w:rsidR="0041323F" w:rsidRPr="00150B20" w:rsidRDefault="0095441E">
      <w:pPr>
        <w:pStyle w:val="ATHeading2"/>
      </w:pPr>
      <w:bookmarkStart w:id="1" w:name="title"/>
      <w:r w:rsidRPr="00150B20">
        <w:t>Rozvojová spolupráca EÚ na podporu prístupu k energii v rozvojových krajinách</w:t>
      </w:r>
      <w:bookmarkEnd w:id="1"/>
    </w:p>
    <w:p w:rsidR="0041323F" w:rsidRPr="00150B20" w:rsidRDefault="0095441E">
      <w:pPr>
        <w:rPr>
          <w:i/>
          <w:vanish/>
        </w:rPr>
      </w:pPr>
      <w:r w:rsidRPr="00150B20">
        <w:rPr>
          <w:i/>
        </w:rPr>
        <w:fldChar w:fldCharType="begin"/>
      </w:r>
      <w:r w:rsidRPr="00150B20">
        <w:rPr>
          <w:i/>
        </w:rPr>
        <w:instrText xml:space="preserve"> TC"(</w:instrText>
      </w:r>
      <w:bookmarkStart w:id="2" w:name="DocNumber"/>
      <w:r w:rsidRPr="00150B20">
        <w:rPr>
          <w:i/>
        </w:rPr>
        <w:instrText>A9-0441/2023</w:instrText>
      </w:r>
      <w:bookmarkEnd w:id="2"/>
      <w:r w:rsidRPr="00150B20">
        <w:rPr>
          <w:i/>
        </w:rPr>
        <w:instrText xml:space="preserve"> - Spravodajkyňa: Caroline Roose)"\l3 \n&gt; \* MERGEFORMAT </w:instrText>
      </w:r>
      <w:r w:rsidRPr="00150B20">
        <w:rPr>
          <w:i/>
        </w:rPr>
        <w:fldChar w:fldCharType="end"/>
      </w:r>
    </w:p>
    <w:p w:rsidR="0041323F" w:rsidRPr="00150B20" w:rsidRDefault="0095441E">
      <w:pPr>
        <w:rPr>
          <w:vanish/>
        </w:rPr>
      </w:pPr>
      <w:bookmarkStart w:id="3" w:name="Commission"/>
      <w:r w:rsidRPr="00150B20">
        <w:rPr>
          <w:vanish/>
        </w:rPr>
        <w:t>Výbor pre rozvoj</w:t>
      </w:r>
      <w:bookmarkEnd w:id="3"/>
    </w:p>
    <w:p w:rsidR="0041323F" w:rsidRPr="00150B20" w:rsidRDefault="0095441E">
      <w:pPr>
        <w:rPr>
          <w:vanish/>
        </w:rPr>
      </w:pPr>
      <w:bookmarkStart w:id="4" w:name="PE"/>
      <w:r w:rsidRPr="00150B20">
        <w:rPr>
          <w:vanish/>
        </w:rPr>
        <w:t>PE753.463</w:t>
      </w:r>
      <w:bookmarkEnd w:id="4"/>
    </w:p>
    <w:p w:rsidR="0041323F" w:rsidRPr="00150B20" w:rsidRDefault="0095441E">
      <w:pPr>
        <w:pStyle w:val="ATHeading3"/>
      </w:pPr>
      <w:bookmarkStart w:id="5" w:name="Sujet"/>
      <w:r w:rsidRPr="00150B20">
        <w:t>Uznesenie Európskeho parlamentu zo 17. januára 2024 o rozvojovej spolupráci EÚ na podporu prístupu k energii v rozvojových krajinách</w:t>
      </w:r>
      <w:bookmarkEnd w:id="5"/>
      <w:r w:rsidRPr="00150B20">
        <w:t xml:space="preserve"> </w:t>
      </w:r>
      <w:bookmarkStart w:id="6" w:name="References"/>
      <w:r w:rsidRPr="00150B20">
        <w:t>(2023/2073(INI))</w:t>
      </w:r>
      <w:bookmarkEnd w:id="6"/>
    </w:p>
    <w:p w:rsidR="0041323F" w:rsidRPr="00150B20" w:rsidRDefault="0095441E">
      <w:pPr>
        <w:pStyle w:val="EPComma"/>
      </w:pPr>
      <w:bookmarkStart w:id="7" w:name="TextBodyBegin"/>
      <w:bookmarkEnd w:id="7"/>
      <w:r w:rsidRPr="00150B20">
        <w:rPr>
          <w:rStyle w:val="Italic"/>
          <w:iCs/>
        </w:rPr>
        <w:t>Európsky parlament</w:t>
      </w:r>
      <w:r w:rsidRPr="00150B20">
        <w:rPr>
          <w:rStyle w:val="Italic"/>
        </w:rPr>
        <w:t>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Agendu OSN 2030 pre udržateľný rozvoj a ciele udržateľného rozvoja, najmä na cieľ č. 1 týkajúci sa odstránenia chudoby, cieľ č. 7 týkajúci sa zabezpečenia prístupu k cenovo dostupnej, spoľahlivej, udržateľnej a modernej energii pre všetkých, cieľ č. 9 týkajúci sa priemyslu a infraštruktúry, cieľ č. 13 týkajúci sa opatrení v oblasti klímy a cieľ č. 5 týkajúci sa dosiahnutia rodovej rovnosti a posilňovanie postavenia všetkých žien a dievčat,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článok 208 Zmluvy o fungovaní Európskej únie, v ktorom sa ako hlavný cieľ rozvojovej politiky EÚ stanovuje obmedzovanie chudoby a v dlhodobom horizonte jej odstránenie a v ktorom sa vyžaduje, že „Únia zohľadní ciele rozvojovej spolupráce pri uskutočňovaní politík, ktoré môžu ovplyvniť rozvojové krajiny“,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článok 3 ods. 5 a článok 21 Zmluvy o Európskej únii, v ktorých sa uvádza záväzok Únie uplatňovať prístup k rozvojovej spolupráci založený na hodnotách s cieľom zabezpečiť konzistentnosť jej vonkajšej činnosti a zároveň dodržiavať zásady Charty OSN a podporovať udržateľný hospodársky, sociálny a environmentálny rozvoj rozvojových krajín,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spoločné vyhlásenie Rady a zástupcov vlád členských štátov zasadajúcich v Rade, Európskeho parlamentu a Komisie z 30. júna 2017 o novom Európskom konsenze o rozvoji – Náš svet, naša dôstojnosť, naša budúcnosť</w:t>
      </w:r>
      <w:r w:rsidRPr="00150B20">
        <w:rPr>
          <w:rStyle w:val="FootnoteReference"/>
        </w:rPr>
        <w:footnoteReference w:id="1"/>
      </w:r>
      <w:r w:rsidRPr="00150B20">
        <w:t>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 xml:space="preserve">so zreteľom na nariadenie Európskeho parlamentu a Rady (EÚ) 2021/947 z 9. júna 2021, ktorým sa zriaďuje Nástroj susedstva a rozvojovej a medzinárodnej </w:t>
      </w:r>
      <w:r w:rsidRPr="00150B20">
        <w:lastRenderedPageBreak/>
        <w:t xml:space="preserve">spolupráce – Globálna Európa, mení a zrušuje rozhodnutie č. 466/2014/EÚ a zrušuje nariadenie (EÚ) 2017/1601 a nariadenie Rady (ES, </w:t>
      </w:r>
      <w:proofErr w:type="spellStart"/>
      <w:r w:rsidRPr="00150B20">
        <w:t>Euratom</w:t>
      </w:r>
      <w:proofErr w:type="spellEnd"/>
      <w:r w:rsidRPr="00150B20">
        <w:t>) č. 480/2009</w:t>
      </w:r>
      <w:r w:rsidRPr="00150B20">
        <w:rPr>
          <w:rStyle w:val="FootnoteReference"/>
        </w:rPr>
        <w:footnoteReference w:id="2"/>
      </w:r>
      <w:r w:rsidRPr="00150B20">
        <w:t>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závery Rady zo 4. októbra 2022 o financovaní opatrení v oblasti zmeny klímy v súvislosti s 27. konferenciou zmluvných strán UNFCCC (COP27), ktorá sa uskutoční 6.</w:t>
      </w:r>
      <w:r w:rsidR="00F228A9">
        <w:t xml:space="preserve"> až 18.</w:t>
      </w:r>
      <w:r w:rsidRPr="00150B20">
        <w:t xml:space="preserve"> novembra 2022 v Šarm </w:t>
      </w:r>
      <w:proofErr w:type="spellStart"/>
      <w:r w:rsidRPr="00150B20">
        <w:t>aš-Šajchu</w:t>
      </w:r>
      <w:proofErr w:type="spellEnd"/>
      <w:r w:rsidRPr="00150B20">
        <w:t>, závery z 25. januára 2021 o diplomacii v oblasti klímy a energetiky – realizácia vonkajšieho rozmeru Európskej zelenej dohody a z 28. novembra 2016 o energetike a rozvoji,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oznámenie Komisie z 11. decembra 2019 s názvom Európsky ekologický dohovor (COM(2019)0640),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návrh Komisie zo 16. marca 2023 na nariadenie Európskeho parlamentu a Rady, ktorým sa stanovuje rámec na zaistenie bezpečných a udržateľných dodávok kritických surovín a ktorým sa menia nariadenia (EÚ) 168/2013, (EÚ) 2018/858, 2018/1724 a (EÚ) 2019/1020 (COM(2023)0160),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delegované nariadenie Komisie (EÚ) 2023/1184 z 10. februára 2023, ktorým sa dopĺňa smernica Európskeho parlamentu a Rady (EÚ) 2018/2001 vypracovaním metodiky Únie, ktorou sa stanovujú podrobné pravidlá výroby kvapalných a plynných palív v doprave z obnoviteľných zdrojov nebiologického pôvodu</w:t>
      </w:r>
      <w:r w:rsidRPr="00150B20">
        <w:rPr>
          <w:rStyle w:val="FootnoteReference"/>
        </w:rPr>
        <w:footnoteReference w:id="3"/>
      </w:r>
      <w:r w:rsidRPr="00150B20">
        <w:t>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oznámenie Komisie zo 16. marca 2023 o Európskej vodíkovej banke (COM(2023)0156),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oznámenie Komisie z 8. júla 2020 s názvom Vodíková stratégia pre klimaticky neutrálnu Európu (COM(2020)0301),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spoločné oznámenie Komisie a vysokého predstaviteľa Únie pre zahraničné veci a bezpečnostnú politiku z 18. mája 2022 s názvom Stratégia EÚ týkajúca sa angažovanosti v oblasti energetiky v meniacom sa svete (JOIN(2022)0023),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 xml:space="preserve">so zreteľom na spoločné oznámenie Komisie a vysokého predstaviteľa Únie pre zahraničné veci a bezpečnostnú politiku z 1. decembra 2021 s názvom </w:t>
      </w:r>
      <w:proofErr w:type="spellStart"/>
      <w:r w:rsidRPr="00150B20">
        <w:rPr>
          <w:i/>
          <w:iCs/>
        </w:rPr>
        <w:t>Global</w:t>
      </w:r>
      <w:proofErr w:type="spellEnd"/>
      <w:r w:rsidRPr="00150B20">
        <w:rPr>
          <w:i/>
          <w:iCs/>
        </w:rPr>
        <w:t xml:space="preserve"> </w:t>
      </w:r>
      <w:proofErr w:type="spellStart"/>
      <w:r w:rsidRPr="00150B20">
        <w:rPr>
          <w:i/>
          <w:iCs/>
        </w:rPr>
        <w:t>Gateway</w:t>
      </w:r>
      <w:proofErr w:type="spellEnd"/>
      <w:r w:rsidRPr="00150B20">
        <w:t xml:space="preserve"> (JOIN(2021)0030),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spoločné oznámenie Komisie a vysokého predstaviteľa Únie pre zahraničné veci a bezpečnostnú politiku z 9. marca 2020 s názvom Na ceste ku komplexnej stratégii pre Afriku (JOIN(2020)0004),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správu osobitného spravodajcu Rady OSN pre ľudské práva z 5. januára 2023 na tému záväzkov v oblasti ľudských práv v súvislosti s využívaním bezpečného, čistého, zdravého a udržateľného životného prostredia s názvom Ženy, dievčatá a právo na čisté, zdravé a udržateľné životné prostredie,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 xml:space="preserve">so zreteľom na návrh novej dohody o partnerstve medzi Európskou úniou a členmi Organizácie afrických, karibských a tichomorských štátov (Samojská dohoda), ktorá </w:t>
      </w:r>
      <w:r w:rsidRPr="00150B20">
        <w:lastRenderedPageBreak/>
        <w:t>nadobudne účinnosť po jej schválení Európskym parlamentom a ratifikácii stranami dohody,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 xml:space="preserve">so zreteľom na Rámcový dohovor Organizácie Spojených národov o zmene klímy (ďalej len „UNFCCC“) z roku 1992 a na </w:t>
      </w:r>
      <w:proofErr w:type="spellStart"/>
      <w:r w:rsidRPr="00150B20">
        <w:t>Kjótsky</w:t>
      </w:r>
      <w:proofErr w:type="spellEnd"/>
      <w:r w:rsidRPr="00150B20">
        <w:t xml:space="preserve"> protokol k nemu, na závery 21. konferencie zmluvných strán UNFCCC v Paríži z decembra 2015, na schválenie Parížskej dohody ako vôbec prvej všeobecnej, právne záväznej globálnej dohody o klíme, ako aj so zreteľom na piatu hodnotiacu správu Medzivládneho panelu o zmene klímy týkajúcu sa klimatickej zmeny,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osobitnú správu Medzivládneho panelu o zmene klímy z 24. septembra 2019 o oceáne a </w:t>
      </w:r>
      <w:proofErr w:type="spellStart"/>
      <w:r w:rsidRPr="00150B20">
        <w:t>kryosfére</w:t>
      </w:r>
      <w:proofErr w:type="spellEnd"/>
      <w:r w:rsidRPr="00150B20">
        <w:t xml:space="preserve"> v meniacej sa klíme,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Deklaráciu OSN o právach pôvodného obyvateľstva, ktorú Valné zhromaždenie prijalo 13. septembra 2007,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správu Programu OSN pre životné prostredie o medzerách v oblasti emisií a na jeho druhú súhrnnú správu o produkcii fosílnych palív (správa o medzerách v znižovaní produkcie fosílnych palív za rok 2021)</w:t>
      </w:r>
      <w:r w:rsidRPr="00150B20">
        <w:rPr>
          <w:rStyle w:val="FootnoteReference"/>
        </w:rPr>
        <w:footnoteReference w:id="4"/>
      </w:r>
      <w:r w:rsidRPr="00150B20">
        <w:t>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hlavné zásady OSN v oblasti podnikania a ľudských práv, ktoré Rada OSN pre ľudské práva schválila 16. júna 2011,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usmernenia OECD pre nadnárodné spoločnosti, ako aj na usmernenie OECD o náležitej starostlivosti pre zodpovedné obchodné správanie,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 xml:space="preserve">so zreteľom na prehľad politík z roku 2018 vypracovaný Oddelením OSN pre hospodárske a sociálne veci s názvom </w:t>
      </w:r>
      <w:proofErr w:type="spellStart"/>
      <w:r w:rsidRPr="00150B20">
        <w:rPr>
          <w:i/>
          <w:iCs/>
        </w:rPr>
        <w:t>Policy</w:t>
      </w:r>
      <w:proofErr w:type="spellEnd"/>
      <w:r w:rsidRPr="00150B20">
        <w:rPr>
          <w:i/>
          <w:iCs/>
        </w:rPr>
        <w:t xml:space="preserve"> </w:t>
      </w:r>
      <w:proofErr w:type="spellStart"/>
      <w:r w:rsidRPr="00150B20">
        <w:rPr>
          <w:i/>
          <w:iCs/>
        </w:rPr>
        <w:t>Brief</w:t>
      </w:r>
      <w:proofErr w:type="spellEnd"/>
      <w:r w:rsidRPr="00150B20">
        <w:rPr>
          <w:i/>
          <w:iCs/>
        </w:rPr>
        <w:t xml:space="preserve"> #12:</w:t>
      </w:r>
      <w:r w:rsidRPr="00150B20">
        <w:t xml:space="preserve"> </w:t>
      </w:r>
      <w:proofErr w:type="spellStart"/>
      <w:r w:rsidRPr="00150B20">
        <w:rPr>
          <w:i/>
          <w:iCs/>
        </w:rPr>
        <w:t>Global</w:t>
      </w:r>
      <w:proofErr w:type="spellEnd"/>
      <w:r w:rsidRPr="00150B20">
        <w:rPr>
          <w:i/>
          <w:iCs/>
        </w:rPr>
        <w:t xml:space="preserve"> </w:t>
      </w:r>
      <w:proofErr w:type="spellStart"/>
      <w:r w:rsidRPr="00150B20">
        <w:rPr>
          <w:i/>
          <w:iCs/>
        </w:rPr>
        <w:t>Progress</w:t>
      </w:r>
      <w:proofErr w:type="spellEnd"/>
      <w:r w:rsidRPr="00150B20">
        <w:rPr>
          <w:i/>
          <w:iCs/>
        </w:rPr>
        <w:t xml:space="preserve"> of SDG7 – Energy and </w:t>
      </w:r>
      <w:proofErr w:type="spellStart"/>
      <w:r w:rsidRPr="00150B20">
        <w:rPr>
          <w:i/>
          <w:iCs/>
        </w:rPr>
        <w:t>Gender</w:t>
      </w:r>
      <w:proofErr w:type="spellEnd"/>
      <w:r w:rsidRPr="00150B20">
        <w:t xml:space="preserve"> (Politický prehľad č. 12: globálny pokrok v rámci cieľa udržateľného rozvoja č. 7 – Energetika a rodová rovnosť),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 xml:space="preserve">so zreteľom na správu Medzinárodnej agentúry pre energiu z obnoviteľných zdrojov z roku 2022 s názvom </w:t>
      </w:r>
      <w:proofErr w:type="spellStart"/>
      <w:r w:rsidRPr="00150B20">
        <w:rPr>
          <w:i/>
          <w:iCs/>
        </w:rPr>
        <w:t>World</w:t>
      </w:r>
      <w:proofErr w:type="spellEnd"/>
      <w:r w:rsidRPr="00150B20">
        <w:rPr>
          <w:i/>
          <w:iCs/>
        </w:rPr>
        <w:t xml:space="preserve"> Energy </w:t>
      </w:r>
      <w:proofErr w:type="spellStart"/>
      <w:r w:rsidRPr="00150B20">
        <w:rPr>
          <w:i/>
          <w:iCs/>
        </w:rPr>
        <w:t>Transitions</w:t>
      </w:r>
      <w:proofErr w:type="spellEnd"/>
      <w:r w:rsidRPr="00150B20">
        <w:rPr>
          <w:i/>
          <w:iCs/>
        </w:rPr>
        <w:t xml:space="preserve"> Outlook 2022:</w:t>
      </w:r>
      <w:r w:rsidRPr="00150B20">
        <w:t xml:space="preserve"> </w:t>
      </w:r>
      <w:r w:rsidRPr="00150B20">
        <w:rPr>
          <w:i/>
          <w:iCs/>
        </w:rPr>
        <w:t>1.5</w:t>
      </w:r>
      <w:r w:rsidRPr="00150B20">
        <w:t> </w:t>
      </w:r>
      <w:r w:rsidRPr="00150B20">
        <w:rPr>
          <w:i/>
          <w:iCs/>
        </w:rPr>
        <w:t xml:space="preserve">°C </w:t>
      </w:r>
      <w:proofErr w:type="spellStart"/>
      <w:r w:rsidRPr="00150B20">
        <w:rPr>
          <w:i/>
          <w:iCs/>
        </w:rPr>
        <w:t>Pathway</w:t>
      </w:r>
      <w:proofErr w:type="spellEnd"/>
      <w:r w:rsidRPr="00150B20">
        <w:rPr>
          <w:rStyle w:val="FootnoteReference"/>
        </w:rPr>
        <w:footnoteReference w:id="5"/>
      </w:r>
      <w:r w:rsidRPr="00150B20">
        <w:t xml:space="preserve"> (Vyhliadky energetickej </w:t>
      </w:r>
      <w:r w:rsidR="00864253" w:rsidRPr="00150B20">
        <w:t>transformácie 2022: cesta k 1,5 </w:t>
      </w:r>
      <w:r w:rsidRPr="00150B20">
        <w:t>°C),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 xml:space="preserve">so zreteľom na spoločnú správu Svetovej banky, Medzinárodnej agentúry pre energiu, Medzinárodnej agentúry pre energiu z obnoviteľných zdrojov, OSN a Svetovej zdravotníckej organizácie za rok 2023 s názvom </w:t>
      </w:r>
      <w:proofErr w:type="spellStart"/>
      <w:r w:rsidRPr="00150B20">
        <w:rPr>
          <w:i/>
          <w:iCs/>
        </w:rPr>
        <w:t>Tracking</w:t>
      </w:r>
      <w:proofErr w:type="spellEnd"/>
      <w:r w:rsidRPr="00150B20">
        <w:rPr>
          <w:i/>
          <w:iCs/>
        </w:rPr>
        <w:t xml:space="preserve"> SDG 7:</w:t>
      </w:r>
      <w:r w:rsidRPr="00150B20">
        <w:t xml:space="preserve"> </w:t>
      </w:r>
      <w:proofErr w:type="spellStart"/>
      <w:r w:rsidRPr="00150B20">
        <w:rPr>
          <w:i/>
          <w:iCs/>
        </w:rPr>
        <w:t>The</w:t>
      </w:r>
      <w:proofErr w:type="spellEnd"/>
      <w:r w:rsidRPr="00150B20">
        <w:rPr>
          <w:i/>
          <w:iCs/>
        </w:rPr>
        <w:t xml:space="preserve"> Energy </w:t>
      </w:r>
      <w:proofErr w:type="spellStart"/>
      <w:r w:rsidRPr="00150B20">
        <w:rPr>
          <w:i/>
          <w:iCs/>
        </w:rPr>
        <w:t>Progress</w:t>
      </w:r>
      <w:proofErr w:type="spellEnd"/>
      <w:r w:rsidRPr="00150B20">
        <w:rPr>
          <w:i/>
          <w:iCs/>
        </w:rPr>
        <w:t xml:space="preserve"> </w:t>
      </w:r>
      <w:r w:rsidRPr="00150B20">
        <w:rPr>
          <w:i/>
          <w:iCs/>
        </w:rPr>
        <w:lastRenderedPageBreak/>
        <w:t>Report, 2023</w:t>
      </w:r>
      <w:r w:rsidRPr="00150B20">
        <w:rPr>
          <w:rStyle w:val="FootnoteReference"/>
        </w:rPr>
        <w:footnoteReference w:id="6"/>
      </w:r>
      <w:r w:rsidRPr="00150B20">
        <w:t xml:space="preserve"> (Sledovanie cieľa udržateľného rozvoja č. 7: správa o pokroku v oblasti energetiky, 2023),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akčný plán zelenej obnovy Africkej únie na roky 2021 – 2027, ktorý obsahuje komplexnú stratégiu podpory ekologických iniciatív, znižovania emisií skleníkových plynov, ochrany životného prostredia a zvyšovania odolnosti voči zmene klímy</w:t>
      </w:r>
      <w:r w:rsidRPr="00150B20">
        <w:rPr>
          <w:rStyle w:val="FootnoteReference"/>
        </w:rPr>
        <w:footnoteReference w:id="7"/>
      </w:r>
      <w:r w:rsidRPr="00150B20">
        <w:t>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vyhlásenie afrických lídrov z Nairobi o zmene klímy, ako aj na výzvu na prijatie opatrení zo 6. septembra 2023,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vyhlásenie afrických národov o klíme a rozvoji z roku 2023,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svoje uznesenia zo 14. marca 2023 o súdržnosti politík v záujme rozvoja</w:t>
      </w:r>
      <w:r w:rsidRPr="00150B20">
        <w:rPr>
          <w:rStyle w:val="FootnoteReference"/>
        </w:rPr>
        <w:footnoteReference w:id="8"/>
      </w:r>
      <w:r w:rsidRPr="00150B20">
        <w:t xml:space="preserve">, z 25. marca 2021 o novej stratégii EÚ/Afrika – partnerstvo pre udržateľný a </w:t>
      </w:r>
      <w:proofErr w:type="spellStart"/>
      <w:r w:rsidRPr="00150B20">
        <w:t>inkluzívny</w:t>
      </w:r>
      <w:proofErr w:type="spellEnd"/>
      <w:r w:rsidRPr="00150B20">
        <w:t xml:space="preserve"> rozvoj</w:t>
      </w:r>
      <w:r w:rsidRPr="00150B20">
        <w:rPr>
          <w:rStyle w:val="FootnoteReference"/>
        </w:rPr>
        <w:footnoteReference w:id="9"/>
      </w:r>
      <w:r w:rsidRPr="00150B20">
        <w:t>, z 15. januára 2020 o Európskej zelenej dohode</w:t>
      </w:r>
      <w:r w:rsidRPr="00150B20">
        <w:rPr>
          <w:rStyle w:val="FootnoteReference"/>
        </w:rPr>
        <w:footnoteReference w:id="10"/>
      </w:r>
      <w:r w:rsidRPr="00150B20">
        <w:t>, z 1. decembra 2016 o prístupe k energii v rozvojových krajinách</w:t>
      </w:r>
      <w:r w:rsidRPr="00150B20">
        <w:rPr>
          <w:rStyle w:val="FootnoteReference"/>
        </w:rPr>
        <w:footnoteReference w:id="11"/>
      </w:r>
      <w:r w:rsidRPr="00150B20">
        <w:t xml:space="preserve"> a z 2. februára 2012 o rozvojovej spolupráci EÚ v záujme podpory cieľa všeobecného prístupu k energii do roku 2030</w:t>
      </w:r>
      <w:r w:rsidRPr="00150B20">
        <w:rPr>
          <w:rStyle w:val="FootnoteReference"/>
        </w:rPr>
        <w:footnoteReference w:id="12"/>
      </w:r>
      <w:r w:rsidRPr="00150B20">
        <w:t>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akčný plán pre rodovú rovnosť a posilnenie postavenia žien v rámci vonkajších činností na roky 2021 – 2025 (GAP III),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 xml:space="preserve">so zreteľom na správu Hospodárskej komisie pre Latinskú Ameriku a Karibik z mája 2022 s názvom </w:t>
      </w:r>
      <w:r w:rsidRPr="00150B20">
        <w:rPr>
          <w:i/>
          <w:iCs/>
        </w:rPr>
        <w:t xml:space="preserve">Energy in </w:t>
      </w:r>
      <w:proofErr w:type="spellStart"/>
      <w:r w:rsidRPr="00150B20">
        <w:rPr>
          <w:i/>
          <w:iCs/>
        </w:rPr>
        <w:t>Latin</w:t>
      </w:r>
      <w:proofErr w:type="spellEnd"/>
      <w:r w:rsidRPr="00150B20">
        <w:rPr>
          <w:i/>
          <w:iCs/>
        </w:rPr>
        <w:t xml:space="preserve"> </w:t>
      </w:r>
      <w:proofErr w:type="spellStart"/>
      <w:r w:rsidRPr="00150B20">
        <w:rPr>
          <w:i/>
          <w:iCs/>
        </w:rPr>
        <w:t>America</w:t>
      </w:r>
      <w:proofErr w:type="spellEnd"/>
      <w:r w:rsidRPr="00150B20">
        <w:rPr>
          <w:i/>
          <w:iCs/>
        </w:rPr>
        <w:t xml:space="preserve"> and </w:t>
      </w:r>
      <w:proofErr w:type="spellStart"/>
      <w:r w:rsidRPr="00150B20">
        <w:rPr>
          <w:i/>
          <w:iCs/>
        </w:rPr>
        <w:t>the</w:t>
      </w:r>
      <w:proofErr w:type="spellEnd"/>
      <w:r w:rsidRPr="00150B20">
        <w:rPr>
          <w:i/>
          <w:iCs/>
        </w:rPr>
        <w:t xml:space="preserve"> </w:t>
      </w:r>
      <w:proofErr w:type="spellStart"/>
      <w:r w:rsidRPr="00150B20">
        <w:rPr>
          <w:i/>
          <w:iCs/>
        </w:rPr>
        <w:t>Caribbean</w:t>
      </w:r>
      <w:proofErr w:type="spellEnd"/>
      <w:r w:rsidRPr="00150B20">
        <w:rPr>
          <w:i/>
          <w:iCs/>
        </w:rPr>
        <w:t xml:space="preserve">: </w:t>
      </w:r>
      <w:proofErr w:type="spellStart"/>
      <w:r w:rsidRPr="00150B20">
        <w:rPr>
          <w:i/>
          <w:iCs/>
        </w:rPr>
        <w:t>access</w:t>
      </w:r>
      <w:proofErr w:type="spellEnd"/>
      <w:r w:rsidRPr="00150B20">
        <w:rPr>
          <w:i/>
          <w:iCs/>
        </w:rPr>
        <w:t xml:space="preserve">, </w:t>
      </w:r>
      <w:proofErr w:type="spellStart"/>
      <w:r w:rsidRPr="00150B20">
        <w:rPr>
          <w:i/>
          <w:iCs/>
        </w:rPr>
        <w:t>renewability</w:t>
      </w:r>
      <w:proofErr w:type="spellEnd"/>
      <w:r w:rsidRPr="00150B20">
        <w:rPr>
          <w:i/>
          <w:iCs/>
        </w:rPr>
        <w:t xml:space="preserve"> and </w:t>
      </w:r>
      <w:proofErr w:type="spellStart"/>
      <w:r w:rsidRPr="00150B20">
        <w:rPr>
          <w:i/>
          <w:iCs/>
        </w:rPr>
        <w:t>efficiency</w:t>
      </w:r>
      <w:proofErr w:type="spellEnd"/>
      <w:r w:rsidRPr="00150B20">
        <w:t xml:space="preserve"> (Energetika v Latinskej Amerike a Karibiku: prístup, obnoviteľnosť a efektívnosť),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 xml:space="preserve">so zreteľom na správu Svetovej komisie pre priehrady zo 16. novembra 2000 s názvom </w:t>
      </w:r>
      <w:r w:rsidRPr="00150B20">
        <w:rPr>
          <w:i/>
          <w:iCs/>
        </w:rPr>
        <w:t xml:space="preserve">A new </w:t>
      </w:r>
      <w:proofErr w:type="spellStart"/>
      <w:r w:rsidRPr="00150B20">
        <w:rPr>
          <w:i/>
          <w:iCs/>
        </w:rPr>
        <w:t>framework</w:t>
      </w:r>
      <w:proofErr w:type="spellEnd"/>
      <w:r w:rsidRPr="00150B20">
        <w:rPr>
          <w:i/>
          <w:iCs/>
        </w:rPr>
        <w:t xml:space="preserve"> </w:t>
      </w:r>
      <w:proofErr w:type="spellStart"/>
      <w:r w:rsidRPr="00150B20">
        <w:rPr>
          <w:i/>
          <w:iCs/>
        </w:rPr>
        <w:t>for</w:t>
      </w:r>
      <w:proofErr w:type="spellEnd"/>
      <w:r w:rsidRPr="00150B20">
        <w:rPr>
          <w:i/>
          <w:iCs/>
        </w:rPr>
        <w:t xml:space="preserve"> </w:t>
      </w:r>
      <w:proofErr w:type="spellStart"/>
      <w:r w:rsidRPr="00150B20">
        <w:rPr>
          <w:i/>
          <w:iCs/>
        </w:rPr>
        <w:t>decision-making</w:t>
      </w:r>
      <w:proofErr w:type="spellEnd"/>
      <w:r w:rsidRPr="00150B20">
        <w:t xml:space="preserve"> (Nový rámec rozhodovania),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 zreteľom na článok 54 rokovacieho poriadku,</w:t>
      </w:r>
    </w:p>
    <w:p w:rsidR="0041323F" w:rsidRPr="00150B20" w:rsidRDefault="0095441E">
      <w:pPr>
        <w:pStyle w:val="NormalHanging12a"/>
      </w:pPr>
      <w:r w:rsidRPr="00150B20">
        <w:t>–</w:t>
      </w:r>
      <w:r w:rsidRPr="00150B20">
        <w:tab/>
        <w:t>so zreteľom na správu Výboru pre rozvoj (A9-0441/2023),</w:t>
      </w:r>
    </w:p>
    <w:p w:rsidR="0041323F" w:rsidRPr="00150B20" w:rsidRDefault="0095441E">
      <w:pPr>
        <w:pStyle w:val="NormalHanging12a"/>
      </w:pPr>
      <w:r w:rsidRPr="00150B20">
        <w:t>A.</w:t>
      </w:r>
      <w:r w:rsidRPr="00150B20">
        <w:tab/>
        <w:t>keďže energia je základom všetkých cieľov udržateľného rozvoja, napriek tomu však zo správy o cieľoch udržateľného rozvoja za rok 2023</w:t>
      </w:r>
      <w:r w:rsidRPr="00150B20">
        <w:rPr>
          <w:vertAlign w:val="superscript"/>
        </w:rPr>
        <w:footnoteReference w:id="13"/>
      </w:r>
      <w:r w:rsidRPr="00150B20">
        <w:t xml:space="preserve"> vyplýva, že svet ešte nie je na správnej ceste k dosiahnutiu univerzálneho prístupu k energiám; keďže energetika je </w:t>
      </w:r>
      <w:r w:rsidRPr="00150B20">
        <w:lastRenderedPageBreak/>
        <w:t xml:space="preserve">faktor, ktorý umožňuje rozvoj, najmä poľnohospodárstva, podnikania, komunikácie, vzdelávania, zdravotnej starostlivosti a dopravy, ako aj fungovania štátu;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B.</w:t>
      </w:r>
      <w:r w:rsidRPr="00150B20">
        <w:tab/>
        <w:t>keďže v cieli udržateľného rozvoja č. 7 sa stanovuje dosiahnutie udržateľného prístupu k cenovo dostupnej a čistej energii do roku 2030, konkrétne vyzývaním k intenzívnejšej medzinárodnej spolupráci pri uľahčovaní prístupu k výskumu, infraštruktúre a technológiám v oblasti čistých a obnoviteľných energií a pri podpore investícií určených na tento účel; keďže je nevyhnutné zintenzívniť diplomatické úsilie v záujme podpory väčších politických ambícií pri efektívnom riešení energetickej chudoby a jej eliminácie;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C.</w:t>
      </w:r>
      <w:r w:rsidRPr="00150B20">
        <w:tab/>
        <w:t xml:space="preserve">keďže podľa OSN nemalo približne 733 miliónov ľudí na celom svete, z ktorých 80 % žije v </w:t>
      </w:r>
      <w:proofErr w:type="spellStart"/>
      <w:r w:rsidRPr="00150B20">
        <w:t>subsaharskej</w:t>
      </w:r>
      <w:proofErr w:type="spellEnd"/>
      <w:r w:rsidRPr="00150B20">
        <w:t xml:space="preserve"> Afrike, ani v polovici roka 2023 prístup k cenovo dostupným, spoľahlivým, čistým a kvalitným energiám</w:t>
      </w:r>
      <w:r w:rsidRPr="00150B20">
        <w:rPr>
          <w:vertAlign w:val="superscript"/>
        </w:rPr>
        <w:footnoteReference w:id="14"/>
      </w:r>
      <w:r w:rsidRPr="00150B20">
        <w:t>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D.</w:t>
      </w:r>
      <w:r w:rsidRPr="00150B20">
        <w:tab/>
        <w:t xml:space="preserve">keďže prístup k energiám sa v jednotlivých rozvojových krajinách výrazne líši; keďže 52 % obyvateľstva </w:t>
      </w:r>
      <w:proofErr w:type="spellStart"/>
      <w:r w:rsidRPr="00150B20">
        <w:t>subsaharskej</w:t>
      </w:r>
      <w:proofErr w:type="spellEnd"/>
      <w:r w:rsidRPr="00150B20">
        <w:t xml:space="preserve"> Afriky žije bez elektriny a ide o jediný región na svete, v ktorom podiel ľudí bez elektrickej energie rastie; keďže za týmto údajom sa skrývajú priepastné rozdiely, keď iba 30,4 % vidieckeho obyvateľstva v porovnaní s 80,7 % mestského obyvateľstva žijúceho v tejto oblasti má pravidelný prístup k energiám; keďže vzdelávanie sa považuje za jeden z najdôležitejších predpokladov znižovania chudoby; keďže prístup k elektrickej energii zároveň podporuje kvalitné vzdelávanie, ale elektrinu má v </w:t>
      </w:r>
      <w:proofErr w:type="spellStart"/>
      <w:r w:rsidRPr="00150B20">
        <w:t>subsaharskej</w:t>
      </w:r>
      <w:proofErr w:type="spellEnd"/>
      <w:r w:rsidRPr="00150B20">
        <w:t xml:space="preserve"> Afrike iba 47 % škôl;</w:t>
      </w:r>
    </w:p>
    <w:p w:rsidR="0041323F" w:rsidRPr="00150B20" w:rsidRDefault="0095441E">
      <w:pPr>
        <w:pStyle w:val="NormalHanging12a"/>
      </w:pPr>
      <w:r w:rsidRPr="00150B20">
        <w:t>E.</w:t>
      </w:r>
      <w:r w:rsidRPr="00150B20">
        <w:tab/>
        <w:t xml:space="preserve">keďže nedostatočný prístup k elektrine v mestských alebo prímestských oblastiach má vplyv aj na ľudí žijúcich vo veľkých nezákonných osadách či na život nútene vysídlených osôb a utečencov; keďže aj napriek prístupu k elektrickej energii je kvalita služieb často nízka; </w:t>
      </w:r>
    </w:p>
    <w:p w:rsidR="0041323F" w:rsidRPr="00150B20" w:rsidRDefault="0095441E">
      <w:pPr>
        <w:pStyle w:val="NormalHanging12a"/>
      </w:pPr>
      <w:r w:rsidRPr="00150B20">
        <w:t>F.</w:t>
      </w:r>
      <w:r w:rsidRPr="00150B20">
        <w:tab/>
        <w:t xml:space="preserve">keďže prístup k cenovo dostupným, spoľahlivým, čistým a kvalitným energiám je ešte komplikovanejší v krajinách zasiahnutých konfliktmi a prírodnými katastrofami; keďže aj v oblastiach, ktoré majú lepší prístup k energiám, ako sú Ázia a </w:t>
      </w:r>
      <w:proofErr w:type="spellStart"/>
      <w:r w:rsidRPr="00150B20">
        <w:t>Tichomorie</w:t>
      </w:r>
      <w:proofErr w:type="spellEnd"/>
      <w:r w:rsidRPr="00150B20">
        <w:t xml:space="preserve"> alebo Latinská Amerika a Karibik, existujú veľké nerovnosti medzi jednotlivými krajinami a ich obyvateľstvom;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G.</w:t>
      </w:r>
      <w:r w:rsidRPr="00150B20">
        <w:tab/>
        <w:t>keďže energetická kríza vyvolaná inváziou Ruska na Ukrajinu si naďalej vyberá veľkú daň, pričom vysoké ceny energie najviac postihujú tie najzraniteľnejšie osoby, najmä v rozvojových ekonomikách;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H.</w:t>
      </w:r>
      <w:r w:rsidRPr="00150B20">
        <w:tab/>
        <w:t>keďže prístup k energiám je pre humanitárne a rozvojové organizácie kľúčový, inak nemôžu poskytovať účinnú humanitárnu pomoc, najmä zdravotnú a pohotovostnú starostlivosť;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I.</w:t>
      </w:r>
      <w:r w:rsidRPr="00150B20">
        <w:tab/>
        <w:t>keďže zo súčasných prognóz vyplýva, že ak sa neprijmú adekvátne opatrenia, nebude mať v roku 2030 približne 660 miliónov ľudí na celom svete prístup k elektrine a približne jedna miliarda ľudí nebude mať prístup k tzv. čistému vareniu;</w:t>
      </w:r>
    </w:p>
    <w:p w:rsidR="0041323F" w:rsidRPr="00150B20" w:rsidRDefault="0095441E">
      <w:pPr>
        <w:pStyle w:val="NormalHanging12a"/>
      </w:pPr>
      <w:r w:rsidRPr="00150B20">
        <w:lastRenderedPageBreak/>
        <w:t>J.</w:t>
      </w:r>
      <w:r w:rsidRPr="00150B20">
        <w:tab/>
        <w:t>keďže lepší prístup k cenovo dostupným a čistým energiám naštartuje udržateľný hospodársky rast, priláka podniky a podnikateľov a zlepší ľudské zdravie, blahobyt i bezpečnosť;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K.</w:t>
      </w:r>
      <w:r w:rsidRPr="00150B20">
        <w:tab/>
        <w:t>keďže energetická chudoba, ktorá je vymedzená ako nedostatok udržateľných, čistých a bezpečných zdrojov energie, je okrem iného rodovým problémom, kde ženy a dievčatá strávia v priemere 18 hodín týždenne zberom kuriva na varenie</w:t>
      </w:r>
      <w:r w:rsidRPr="00150B20">
        <w:rPr>
          <w:vertAlign w:val="superscript"/>
        </w:rPr>
        <w:footnoteReference w:id="15"/>
      </w:r>
      <w:r w:rsidRPr="00150B20">
        <w:t>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L.</w:t>
      </w:r>
      <w:r w:rsidRPr="00150B20">
        <w:tab/>
        <w:t xml:space="preserve">keďže žien je v odvetví energetiky na celom svete, a zvlášť v riadiacich funkciách, veľmi málo; keďže zapojenie žien ako aktívnych zložiek do prijímania riešení v oblasti energie z obnoviteľných zdrojov v súlade s akčným plánom EÚ GAP III zvýši udržateľnosť a zlepší výsledky v oblasti rodovej rovnosti; </w:t>
      </w:r>
    </w:p>
    <w:p w:rsidR="0041323F" w:rsidRPr="00150B20" w:rsidRDefault="0095441E">
      <w:pPr>
        <w:pStyle w:val="NormalHanging12a"/>
      </w:pPr>
      <w:r w:rsidRPr="00150B20">
        <w:t>M.</w:t>
      </w:r>
      <w:r w:rsidRPr="00150B20">
        <w:tab/>
        <w:t xml:space="preserve">keďže tradičné palivá na varenie (pevná biomasa, </w:t>
      </w:r>
      <w:proofErr w:type="spellStart"/>
      <w:r w:rsidRPr="00150B20">
        <w:t>kerozín</w:t>
      </w:r>
      <w:proofErr w:type="spellEnd"/>
      <w:r w:rsidRPr="00150B20">
        <w:t xml:space="preserve"> a uhlie) sú hlavné faktory, ktoré prispievajú k emisiám uhlíka, výrubu lesov a k zmene klímy a ohrozujú zdravie ľudí; keďže od týchto palív závisia životy 2,4 miliardy ľudí na svete, čo má za následok približne 3,7 milióna predčasných úmrtí ročne, z toho prevažne žien a detí; keďže v roku 2019 zomrelo len v samotnej Afrike 700 000 ľudí na následky znečistenia ovzdušia v domácnostiach;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N.</w:t>
      </w:r>
      <w:r w:rsidRPr="00150B20">
        <w:tab/>
        <w:t>keďže finančná podpora palív na čisté varenie zo strany EÚ je zanedbateľná; keďže napriek existujúcim stratégiám čistého varenia je ich vykonávanie slabé a s malým rozpočtom, takže je ťažké dosiahnuť hoci len mierne zisky a schválenie a udržateľné využívanie kvalitnejších sporákov je stále skôr zriedkavé; keďže menej ako 10 % ľudí bez možnosti prístupu k čistému vareniu žije v krajinách, ktoré majú zavedené účinné politiky a dostatok finančných prostriedkov na dosiahnutie univerzálneho prístupu do roku 2030;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O.</w:t>
      </w:r>
      <w:r w:rsidRPr="00150B20">
        <w:tab/>
        <w:t>keďže pandémia ochorenia COVID-19 a zvýšenie cien energií spomalili pokrok v rozširovaní prístupu k čistému vareniu; keďže v rozvojových krajinách, ktoré sú pri varení vo veľkej miere závislé od biomasy, by EÚ mala podporovať alternatívy k používaniu dreva a presadzovať riešenia, ako sú variče na slnečnú energiu;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P.</w:t>
      </w:r>
      <w:r w:rsidRPr="00150B20">
        <w:tab/>
        <w:t>keďže nedostatočný prístup k čistému vareniu predlžuje čas, ktorý ženy a dievčatá trávia varením; keďže sa tým ešte viac podporuje nerovnomerná deľba práce v domácnosti medzi mužmi a ženami; keďže sa odhaduje, že prístup k čistému vareniu by ženám a dievčatám ušetril v priemere 1,5 hodiny denne, ktoré by mohli venovať voľnočasovým aktivitám a/alebo vzdelávaniu;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Q.</w:t>
      </w:r>
      <w:r w:rsidRPr="00150B20">
        <w:tab/>
        <w:t xml:space="preserve">keďže rozvojové krajiny majú prebytok obnoviteľných zdrojov energie, ale často im chýba podporný politický a regulačný rámec, ako aj nevyhnutné priemyselné a technologické zázemie pre udržateľné získavanie a využívanie energie; keďže okrem toho čelia aj iným výzvam, ako sú zmena klímy, nadmerná zadlženosť a rýchly demografický rast, ktoré zvyšujú dopyt po energii a jej spotrebu; keďže krajiny ako Namíbia a Angola sú zapojené do ambicióznych projektov v oblasti energie z obnoviteľných zdrojov; keďže niektoré rozvojové krajiny, ako napríklad Senegal, Rwanda a Keňa, už dosiahli významný pokrok v oblasti prístupu k energiám; keďže v záujme dosiahnutia prelomových výsledkov v oblasti prístupu k energiám, za </w:t>
      </w:r>
      <w:r w:rsidRPr="00150B20">
        <w:lastRenderedPageBreak/>
        <w:t>primeranej politickej podpory zo strany EÚ a pri dostatku politickej vôle, treba vziať do úvahy rozdielnosť situácií v každej jednej krajine;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R.</w:t>
      </w:r>
      <w:r w:rsidRPr="00150B20">
        <w:tab/>
        <w:t>keďže EÚ má dlhú tradíciu spolupráce s Afrikou v energetickej oblasti; keďže EÚ spolu so svojimi členskými štátmi poskytla v rokoch 2014 až 2020 veľkú časť finančných prostriedkov v rámci oficiálnej rozvojovej pomoci na projekty cieľa udržateľného rozvoja č. 7 v Afrike vo výške 13,8 miliardy EUR; keďže to stále nestačí a treba vyvinúť ďalšie úsilie; keďže podľa odhadov bolo 53 % finančných prostriedkov vyplatených vo forme úverov, no tento dodatočný dlh znižuje schopnosť týchto krajín investovať do cieľov udržateľného rozvoja vrátane cieľa udržateľného rozvoja č. 7; keďže v roku 2023 sa 21 krajín s nízkymi príjmami v Afrike nachádzalo v dlhovej tiesni alebo im toto riziko hrozilo;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S.</w:t>
      </w:r>
      <w:r w:rsidRPr="00150B20">
        <w:tab/>
        <w:t>keďže finančné toky v energetike sú naďalej koncentrované v malej skupine krajín, a na tie najmenej rozvinuté krajiny sa často zabúda; keďže z hľadiska geografického zamerania pomoci sú len traja z desiatich najväčších príjemcov z najmenej rozvinutých krajín, čo znamená, že zdroje na rozšírenie prístupu k energiám a na boj proti energetickej chudobe neboli pridelené podľa priorít;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T.</w:t>
      </w:r>
      <w:r w:rsidRPr="00150B20">
        <w:tab/>
        <w:t xml:space="preserve">keďže energetická transformácia je v rozvojových regiónoch, najmä v najmenej rozvinutých krajinách, výrazne a trvalo </w:t>
      </w:r>
      <w:proofErr w:type="spellStart"/>
      <w:r w:rsidRPr="00150B20">
        <w:t>podfinancovaná</w:t>
      </w:r>
      <w:proofErr w:type="spellEnd"/>
      <w:r w:rsidRPr="00150B20">
        <w:t>; keďže Inštitút pre správu prírodných zdrojov definuje tzv. prekliatie zdrojov ako neschopnosť mnohých krajín bohatých na zdroje plne využiť príjmy zo svojich prírodných zdrojov a ich vlád efektívne reagovať na potreby v oblasti verejného blaha</w:t>
      </w:r>
      <w:r w:rsidRPr="00150B20">
        <w:rPr>
          <w:vertAlign w:val="superscript"/>
        </w:rPr>
        <w:footnoteReference w:id="16"/>
      </w:r>
      <w:r w:rsidRPr="00150B20">
        <w:t>; keďže prílišná závislosť od vývozu fosílnych palív so sebou prináša riziko nízkej diverzifikácie hospodárstva;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U.</w:t>
      </w:r>
      <w:r w:rsidRPr="00150B20">
        <w:tab/>
        <w:t xml:space="preserve">keďže EÚ by mala zvýšiť množstvo finančných prostriedkov určených na energie z obnoviteľných zdrojov v rozvojových krajinách, zvlášť v novom geopolitickom kontexte, ktorý vznikol po invázii Ruska na Ukrajinu, a zároveň riešiť korupciu a nečinnosť inštitúcií, čo len zhoršujú problémy s </w:t>
      </w:r>
      <w:proofErr w:type="spellStart"/>
      <w:r w:rsidRPr="00150B20">
        <w:t>podfinancovaním</w:t>
      </w:r>
      <w:proofErr w:type="spellEnd"/>
      <w:r w:rsidRPr="00150B20">
        <w:t>, najmä v tých najmenej rozvinutých krajinách;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V.</w:t>
      </w:r>
      <w:r w:rsidRPr="00150B20">
        <w:tab/>
        <w:t>keďže väčšina projektov financovaných z prostriedkov EÚ sa zameriava na podporu výroby elektrickej energie, no distribučný segment je najslabší, hoci je nevyhnutný na dosiahnutie cieľa udržateľného rozvoja č. 7; keďže mnohé rozvojové krajiny naďalej využívajú uhlie ako primárny zdroj na výrobu elektrickej energie;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W.</w:t>
      </w:r>
      <w:r w:rsidRPr="00150B20">
        <w:tab/>
        <w:t>keďže krajiny najviac zasiahnuté negatívnymi následkami zmeny klímy nesú najmenšiu zodpovednosť za emisie; keďže v Afrike žije takmer 18 % svetovej populácie, ktorá však tvorí menej ako 6 % celosvetovej spotreby energie; keďže Afrika zodpovedá len za 3 % celosvetových emisií CO</w:t>
      </w:r>
      <w:r w:rsidRPr="00150B20">
        <w:rPr>
          <w:vertAlign w:val="subscript"/>
        </w:rPr>
        <w:t>2</w:t>
      </w:r>
      <w:r w:rsidRPr="00150B20">
        <w:t xml:space="preserve"> z odvetvia energetiky; keďže krajiny G20 tvoria 80 % celosvetových emisií;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X.</w:t>
      </w:r>
      <w:r w:rsidRPr="00150B20">
        <w:tab/>
        <w:t xml:space="preserve">keďže partnerstvo Afriky a EÚ v oblasti energetiky bolo obnovené vo februári 2022 tak, aby zohľadňovalo Agendu 2063 Africkej únie a priority EÚ v oblasti zmeny klímy, energetickej bezpečnosti, plánu </w:t>
      </w:r>
      <w:proofErr w:type="spellStart"/>
      <w:r w:rsidRPr="00150B20">
        <w:t>REPowerEU</w:t>
      </w:r>
      <w:proofErr w:type="spellEnd"/>
      <w:r w:rsidRPr="00150B20">
        <w:t xml:space="preserve"> a stratégie </w:t>
      </w:r>
      <w:proofErr w:type="spellStart"/>
      <w:r w:rsidRPr="00150B20">
        <w:t>Global</w:t>
      </w:r>
      <w:proofErr w:type="spellEnd"/>
      <w:r w:rsidRPr="00150B20">
        <w:t xml:space="preserve"> </w:t>
      </w:r>
      <w:proofErr w:type="spellStart"/>
      <w:r w:rsidRPr="00150B20">
        <w:t>Gateway</w:t>
      </w:r>
      <w:proofErr w:type="spellEnd"/>
      <w:r w:rsidRPr="00150B20">
        <w:t xml:space="preserve">, ktorých cieľom je podpora výroby a distribúcie energie z obnoviteľných zdrojov vrátane jej </w:t>
      </w:r>
      <w:r w:rsidRPr="00150B20">
        <w:lastRenderedPageBreak/>
        <w:t>vývozu do Európy; keďže bol oznámený investičný balík vo výške približne 150 miliárd EUR na podporu spoločných ambícií oboch kontinentov, tak ako sa stanovuje v Agende 2030 a Agende 2063 Africkej únie, s cieľom zabezpečiť, okrem iného, nákladovo efektívnu, modernú, účinnú, spoľahlivú, férovú, spravodlivú a nestrannú energetickú transformáciu;</w:t>
      </w:r>
    </w:p>
    <w:p w:rsidR="0041323F" w:rsidRPr="00150B20" w:rsidRDefault="0095441E">
      <w:pPr>
        <w:pStyle w:val="NormalHanging12a"/>
      </w:pPr>
      <w:r w:rsidRPr="00150B20">
        <w:t>Y.</w:t>
      </w:r>
      <w:r w:rsidRPr="00150B20">
        <w:tab/>
        <w:t>keďže partnerstvo EÚ s Južnou Afrikou v oblasti spravodlivej energetickej transformácie je príkladom ochoty Únie vziať na seba pozíciu globálneho lídra v oblasti spravodlivej energetickej transformácie, a tým prispieť k rozšíreniu vonkajšieho rozmeru stratégie EÚ v oblasti energetiky a klímy a podporiť ambície Európskej zelenej dohody vo svete;</w:t>
      </w:r>
    </w:p>
    <w:p w:rsidR="0041323F" w:rsidRPr="00150B20" w:rsidRDefault="0095441E">
      <w:pPr>
        <w:pStyle w:val="NormalHanging12a"/>
      </w:pPr>
      <w:r w:rsidRPr="00150B20">
        <w:t>Z.</w:t>
      </w:r>
      <w:r w:rsidRPr="00150B20">
        <w:tab/>
        <w:t>keďže energetická autonómia malých ostrovných rozvojových štátov, ktorá je výsledkom ich veľkého potenciálu v oblasti energie z obnoviteľných zdrojov, by mala zostať jasným cieľom;</w:t>
      </w:r>
    </w:p>
    <w:p w:rsidR="0041323F" w:rsidRPr="00150B20" w:rsidRDefault="0095441E">
      <w:pPr>
        <w:pStyle w:val="NormalHanging12a"/>
      </w:pPr>
      <w:r w:rsidRPr="00150B20">
        <w:t>AA.</w:t>
      </w:r>
      <w:r w:rsidRPr="00150B20">
        <w:tab/>
        <w:t>keďže označenie „</w:t>
      </w:r>
      <w:proofErr w:type="spellStart"/>
      <w:r w:rsidRPr="00150B20">
        <w:t>nízkouhlíkový</w:t>
      </w:r>
      <w:proofErr w:type="spellEnd"/>
      <w:r w:rsidRPr="00150B20">
        <w:t xml:space="preserve"> vodík“ môže zahŕňať aj vodík vyrobený pomocou jadrovej energie a zemného plynu, čo znamená, že nemusí byť nevyhnutne bez emisií; keďže zelený vodík z obnoviteľných zdrojov je jediný vodík, ktorý môže z dlhodobého hľadiska skutočne prispieť k dosiahnutiu klimatickej neutrality;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AB.</w:t>
      </w:r>
      <w:r w:rsidRPr="00150B20">
        <w:tab/>
        <w:t xml:space="preserve">keďže v pláne </w:t>
      </w:r>
      <w:proofErr w:type="spellStart"/>
      <w:r w:rsidRPr="00150B20">
        <w:t>REPowerEU</w:t>
      </w:r>
      <w:proofErr w:type="spellEnd"/>
      <w:r w:rsidRPr="00150B20">
        <w:t xml:space="preserve"> sa stanovuje cieľ dosiahnuť v roku 2030 ročný dovoz 10 miliónov ton zeleného vodíka; keďže na tento účel Komisia, okrem iných iniciatív, podpísala v novembri 2022 memorandá o porozumení týkajúce sa strategických partnerstiev v oblasti obnoviteľného vodíka s Namíbiou a Egyptom;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AC.</w:t>
      </w:r>
      <w:r w:rsidRPr="00150B20">
        <w:tab/>
        <w:t>keďže podľa globálneho prehľadu o vodíku za rok 2023 vypracovaného Medzinárodnou agentúrou pre energiu</w:t>
      </w:r>
      <w:r w:rsidRPr="00150B20">
        <w:rPr>
          <w:vertAlign w:val="superscript"/>
        </w:rPr>
        <w:footnoteReference w:id="17"/>
      </w:r>
      <w:r w:rsidRPr="00150B20">
        <w:t xml:space="preserve"> sa 99 % vodíka na svete vyrába z fosílnych palív;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AD.</w:t>
      </w:r>
      <w:r w:rsidRPr="00150B20">
        <w:tab/>
        <w:t xml:space="preserve">keďže zelený vodík je schopný urýchliť cestu k dekarbonizácii priemyselnej výroby v partnerských krajinách za predpokladu, že nespomalí miestnu energetickú transformáciu a je súčasťou širšej stratégie znižovania celkovej spotreby energie v rozvinutých krajinách tak, aby nedošlo k prekročeniu planetárnych medzí; keďže sa však musí náležite zohľadniť aj fakt, že infraštruktúra nevyhnutná pre zelený vodík je kapitálovo a technologicky náročná, že preprava vodíka na dlhé vzdialenosti a jeho skladovanie sú energeticky náročné a nákladné a že výroba zeleného vodíka vo veľkom si vyžaduje nemalé objemy pôdy a vody;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AE.</w:t>
      </w:r>
      <w:r w:rsidRPr="00150B20">
        <w:tab/>
        <w:t xml:space="preserve">keďže ciele v oblasti klímy na roky 2030 a 2050 sa nedosiahnu bez dekarbonizácie kľúčových odvetví náročných na znižovanie emisií; keďže dovoz zeleného vodíka z krajín mimo EÚ je dôležitou súčasťou nových strategických partnerstiev EÚ; keďže podľa globálneho prehľadu o vodíku Medzinárodnej agentúry pre energiu z roku 2023 sú nákladové výzvy hrozbou pre dlhodobú ziskovosť zavádzania výroby vodíka; keďže zavádzanie výroby vodíka by mohlo znamenať riziko rozšíreného využívania fosílnych palív a ťažobných postupov vrátane možného rozsiahleho využívania pôdy, vody a energie v rozvojových producentských krajinách;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lastRenderedPageBreak/>
        <w:t>AF.</w:t>
      </w:r>
      <w:r w:rsidRPr="00150B20">
        <w:tab/>
        <w:t>keďže kritické suroviny zohrávajú kľúčovú úlohu pri zabezpečovaní cenovej prístupnosti a dostupnosti technológií čistej energie pre všetkých a keďže EÚ je v procese prijatia súdržného rámca na zabezpečenie ich nepretržitých, bezpečných a zodpovedných dodávok pri súčasnom dodržaní ľudských práv a pokračujúcej podpore miestneho rozvoja;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AG.</w:t>
      </w:r>
      <w:r w:rsidRPr="00150B20">
        <w:tab/>
        <w:t xml:space="preserve">keďže decentralizovaná </w:t>
      </w:r>
      <w:proofErr w:type="spellStart"/>
      <w:r w:rsidRPr="00150B20">
        <w:t>minisieťová</w:t>
      </w:r>
      <w:proofErr w:type="spellEnd"/>
      <w:r w:rsidRPr="00150B20">
        <w:t xml:space="preserve"> a </w:t>
      </w:r>
      <w:proofErr w:type="spellStart"/>
      <w:r w:rsidRPr="00150B20">
        <w:t>mimosieťová</w:t>
      </w:r>
      <w:proofErr w:type="spellEnd"/>
      <w:r w:rsidRPr="00150B20">
        <w:t xml:space="preserve"> energia z obnoviteľných zdrojov ponúka dobré riešenia pre vzdialené komunity, zvlášť pokiaľ ide o tvorbu pracovných miest, vzdelávanie a zdravie, no musí byť sprevádzaná verejnou podporou vypracovania životaschopného a zodpovedného obchodného modelu;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AH.</w:t>
      </w:r>
      <w:r w:rsidRPr="00150B20">
        <w:tab/>
        <w:t>keďže rozširovanie obnoviteľných zdrojov zo slnečnej a veternej energie, výroba vodíka z obnoviteľných zdrojov či výstavba vodných priehrad tiež nie sú jednoduché, pretože si vyžadujú rozsiahle plochy pôdy, čo môže ovplyvňovať existujúce spôsoby využívania pôdy i miestne potreby, najmä pokiaľ ide o prístup k vode, a môže viesť k vysídľovaniu miestnych a domorodých komunít, ako aj k poškodzovaniu ekosystémov a prirodzených biotopov; keďže treba identifikovať oblasti na súši a na mori, ktoré by sa dali využiť na výrobu energie z obnoviteľných zdrojov, a zohľadniť pri tom biodiverzitu, podmienky miestneho hospodárstva, ako aj súhlasné stanovisko domorodého obyvateľstva;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AI.</w:t>
      </w:r>
      <w:r w:rsidRPr="00150B20">
        <w:tab/>
        <w:t>keďže sa predpokladá, že prechod na obnoviteľné zdroje energie vytvorí viac pracovných miest v odvetví obnoviteľných energií; keďže nové technológie v oblasti obnoviteľných zdrojov energie sú schopné ponúknuť hospodárske príležitosti, ktoré vzápätí dokážu ľuďom pomôcť získať právo na živobytie a dôstojnú prácu; keďže Afrika má v oblasti systémov energie z obnoviteľných zdrojov sľubnú budúcnosť, pretože má 60 % najlepších solárnych zdrojov na svete, ale len 1 % využívanej solárnej kapacity; keďže Latinská Amerika je jednou z popredných svetových oblastí z hľadiska využívania a výroby energie z obnoviteľných zdrojov;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AJ.</w:t>
      </w:r>
      <w:r w:rsidRPr="00150B20">
        <w:tab/>
        <w:t>keďže podľa Medzinárodnej agentúry pre energiu sa má celosvetová kapacita vodnej energie v rokoch 2021 až 2030 zvýšiť o 17 %; keďže väčšina nevyužitého potenciálu vodnej energie sa skrýva v rozvojových ekonomikách Afriky, Ázie a Latinskej Ameriky; keďže sú však veľké projekty vodnej energie spojené s negatívnymi sociálnymi a environmentálnymi vplyvmi – od vysídľovania zraniteľných skupín obyvateľstva až po ničenie ojedinelej biodiverzity; keďže vodná energia so sebou prináša nové výzvy v kontexte zmeny klímy, ktoré dramaticky zvyšujú frekvenciu povodní a súch na riekach, kde sa projekty vodnej energie realizujú, čo o to viac ohrozuje jednak bezpečnosť projektov, ako aj ich schopnosť vyrábať elektrickú energiu;</w:t>
      </w:r>
    </w:p>
    <w:p w:rsidR="0041323F" w:rsidRPr="00150B20" w:rsidRDefault="0095441E">
      <w:pPr>
        <w:pStyle w:val="NormalHanging12a"/>
      </w:pPr>
      <w:r w:rsidRPr="00150B20">
        <w:t>AK.</w:t>
      </w:r>
      <w:r w:rsidRPr="00150B20">
        <w:tab/>
        <w:t xml:space="preserve">keďže EÚ a partnerské krajiny majú spoločnú, no diferencovanú zodpovednosť za dosiahnutie udržateľnej energetickej transformácie; keďže podpora projektov v oblasti energie z obnoviteľných zdrojov zo strany EÚ musí v prvom rade zodpovedať potrebám miestneho obyvateľstva až potom podpore vývozu; </w:t>
      </w:r>
    </w:p>
    <w:p w:rsidR="0041323F" w:rsidRPr="00150B20" w:rsidRDefault="0095441E">
      <w:pPr>
        <w:pStyle w:val="NormalHanging12a"/>
      </w:pPr>
      <w:r w:rsidRPr="00150B20">
        <w:t>AL.</w:t>
      </w:r>
      <w:r w:rsidRPr="00150B20">
        <w:tab/>
        <w:t xml:space="preserve">keďže deklarovaná túžba niektorých rozvojových krajín využívať svoje zdroje uhľovodíkov by sa mala analyzovať, aj z hľadiska snahy EÚ dodržať globálny záväzok postupného zbavovania sa fosílnych palív z konferencie COP28; keďže využívanie prírodných zdrojov na výrobu energie má potenciál prinášať hospodárske príležitosti, no uprednostňovaním vývozu energie z obnoviteľných zdrojov by rozvojové krajiny mohli ohroziť svoju energetickú transformáciu a zvýšiť podiel spotreby fosílnych palív v ich vlastnom energetickom mixe;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lastRenderedPageBreak/>
        <w:t>AM.</w:t>
      </w:r>
      <w:r w:rsidRPr="00150B20">
        <w:tab/>
        <w:t>keďže podľa Svetového inštitútu pre zdroje musí 25 % svetovej populácie každoročne čeliť obavám z extrémne vysokých vodných hladín; keďže voda má zásadný význam pre pestovanie plodín a chov hospodárskych zvierat, výrobu elektrickej energie, ľudské zdravie, podporu spravodlivých spoločností a plnenie svetových cieľov v oblasti klímy;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AN.</w:t>
      </w:r>
      <w:r w:rsidRPr="00150B20">
        <w:tab/>
        <w:t>keďže agropotravinárske systémy spotrebujú približne 30 % svetovej energie a tretina emisií skleníkových plynov v tomto odvetví pochádza z využívania energií; keďže medzi energetickou transformáciou a transformáciou agropotravinárskych systémov existuje vzájomná súvislosť;</w:t>
      </w:r>
    </w:p>
    <w:p w:rsidR="0041323F" w:rsidRPr="00150B20" w:rsidRDefault="0095441E">
      <w:pPr>
        <w:pStyle w:val="Normal12a24b"/>
      </w:pPr>
      <w:r w:rsidRPr="00150B20">
        <w:rPr>
          <w:rStyle w:val="BoldItalic"/>
        </w:rPr>
        <w:t xml:space="preserve">Podpora univerzálneho prístupu k čistej energii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1.</w:t>
      </w:r>
      <w:r w:rsidRPr="00150B20">
        <w:tab/>
        <w:t>pripomína, že prístup k všadeprítomnej, cenovo dostupnej a udržateľnej energii je základným ľudským právom a predpokladom dosiahnutia cieľov udržateľného rozvoja a zároveň cieľa na nikoho nezabudnúť; v tejto súvislosti uznáva úlohu verejného a súkromného financovania; zdôrazňuje, že uhlíkovo neutrálna budúcnosť a rozvoj obnoviteľných zdrojov energie musia ísť ruka v ruke s diverzifikáciou hospodárstva, zelenou industrializáciou, dekarbonizáciou, so znižovaním chudoby a s prístupom k rozvoju založeným na ľudských právach;</w:t>
      </w:r>
    </w:p>
    <w:p w:rsidR="0041323F" w:rsidRPr="00150B20" w:rsidRDefault="0095441E">
      <w:pPr>
        <w:pStyle w:val="NormalHanging12a"/>
      </w:pPr>
      <w:r w:rsidRPr="00150B20">
        <w:t>2.</w:t>
      </w:r>
      <w:r w:rsidRPr="00150B20">
        <w:tab/>
        <w:t xml:space="preserve">zdôrazňuje, že zabezpečenie stabilných dodávok energií nie je len záležitosťou ekonomiky a logistiky, ale aj otázkou geopolitiky; pripomína, že útočná vojna Ruska proti Ukrajine má vážny dosah na svetové trhy s energiou, zvlášť v rozvojových krajinách, a že na zabezpečenie stabilných dodávok energie a dostupných cien treba naďalej prijímať koordinované opatrenia; </w:t>
      </w:r>
    </w:p>
    <w:p w:rsidR="0041323F" w:rsidRPr="00150B20" w:rsidRDefault="0095441E">
      <w:pPr>
        <w:pStyle w:val="NormalHanging12a"/>
      </w:pPr>
      <w:r w:rsidRPr="00150B20">
        <w:t>3.</w:t>
      </w:r>
      <w:r w:rsidRPr="00150B20">
        <w:tab/>
        <w:t xml:space="preserve">vyzýva EÚ, aby uľahčovala prístup k energii z obnoviteľných zdrojov v rozvojových krajinách poskytovaním politickej, regulačnej a administratívnej podpory vrátane budovania kapacít a transferu technológií; podporuje partnerstvá, ktoré prestávajú používať fosílne zdroje a zameriavajú sa na využívanie čistej energie; zdôrazňuje potrebu zabezpečiť, aby ekologické investície prispievali k sociálno-ekonomickému rozvoju a k väčšiemu zapojeniu rozvojových krajín do nového geopolitického prostredia s nulovou bilanciou emisií;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4.</w:t>
      </w:r>
      <w:r w:rsidRPr="00150B20">
        <w:tab/>
        <w:t>upozorňuje na potrebu vypracovať riešenia, ktoré pomôžu zabezpečiť využívanie energie z obnoviteľných zdrojov v rozvojových krajinách (vrátane morskej a riečnej energie) a pritom chrániť biodiverzitu; zdôrazňuje veľký potenciál budovania zariadení na mori určených na výrobu energie z obnoviteľných zdrojov v rozvojových krajinách; podčiarkuje potrebu holistického riadenia námorných oblastí so zapojením všetkých zainteresovaných strán a pri rešpektovaní súhlasného stanoviska miestnych komunít;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5.</w:t>
      </w:r>
      <w:r w:rsidRPr="00150B20">
        <w:tab/>
        <w:t>dôrazne nabáda rozvojové krajiny, aby sa zaviazali k energetickej spravodlivosti formou regulačných rámcov, ktoré by mali zabezpečovať odobrenie na miestnej úrovni, zapojenie komunít, ochranu pozemkových práv a dodržiavanie medzinárodne uznávaných noriem v oblasti ľudských práv s cieľom zaručiť všetkým ľuďom prístup k cenovo dostupným energiám; podčiarkuje potrebu prepojenia energetických partnerstiev s prijímaním regulačných rámcov a poskytovaním technickej pomoci pri ich uvádzaní do platnosti;</w:t>
      </w:r>
    </w:p>
    <w:p w:rsidR="0041323F" w:rsidRPr="00150B20" w:rsidRDefault="0095441E">
      <w:pPr>
        <w:pStyle w:val="NormalHanging12a"/>
      </w:pPr>
      <w:r w:rsidRPr="00150B20">
        <w:t>6.</w:t>
      </w:r>
      <w:r w:rsidRPr="00150B20">
        <w:tab/>
        <w:t xml:space="preserve">poukazuje na to, že energetická bezpečnosť si vyžaduje rodovo špecifický prístup; zdôrazňuje, že energetická chudoba neúmerne postihuje prevažne ženy a dievčatá; </w:t>
      </w:r>
      <w:r w:rsidRPr="00150B20">
        <w:lastRenderedPageBreak/>
        <w:t xml:space="preserve">zdôrazňuje ich každodenné starosti so zberom palivového dreva a drevného uhlia ďaleko od ich domovov; vyzýva na zapojenie žien ako aktívnych zložiek do procesu energetickej transformácie, a to aj v chránených morských oblastiach;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7.</w:t>
      </w:r>
      <w:r w:rsidRPr="00150B20">
        <w:tab/>
        <w:t>vyzýva EÚ, aby zintenzívnila svoju technickú podporu pri uplatňovaní hľadiska rodovej rovnosti v energetickej transformácii, a to aj uprednostňovaním rodovo citlivých energetických projektov, do ktorých sú zapojené energetické organizácie a podniky pod vedením žien, a zároveň zaručila lokálnu zodpovednosť, kde by sa osobitná pozornosť venovala najmenej rozvinutým krajinám a krajinám so strednými príjmami, ktoré trpia výraznými nerovnosťami v krajine, pokiaľ ide o prístup k energiám a k tzv. čistému vareniu; zdôrazňuje význam zhromažďovania údajov o prístupe k energiám rozdelených podľa pohlaví s cieľom usmerniť vonkajšiu činnosť EÚ v oblasti energetiky; poukazuje na to, že energetickou chudobou trpia aj menšiny a marginalizované skupiny obyvateľstva;</w:t>
      </w:r>
    </w:p>
    <w:p w:rsidR="0041323F" w:rsidRPr="00150B20" w:rsidRDefault="0095441E">
      <w:pPr>
        <w:pStyle w:val="NormalHanging12a"/>
      </w:pPr>
      <w:r w:rsidRPr="00150B20">
        <w:t>8.</w:t>
      </w:r>
      <w:r w:rsidRPr="00150B20">
        <w:tab/>
        <w:t xml:space="preserve">vyjadruje znepokojenie nad zdravotnými a environmentálnymi dôsledkami emisií z palivového dreva v domácnostiach, ako sú ochorenia dýchacích ciest, kardiovaskulárne ochorenia a rakovina, degradácia lesov, emisie skleníkových plynov a strata biodiverzity; upozorňuje na riziko spojené s narastajúcim využívaním „nečistých“ palív na varenie vyplývajúcim z potreby uspokojovania čoraz väčšieho počtu obyvateľstva, najmä v </w:t>
      </w:r>
      <w:proofErr w:type="spellStart"/>
      <w:r w:rsidRPr="00150B20">
        <w:t>subsaharskej</w:t>
      </w:r>
      <w:proofErr w:type="spellEnd"/>
      <w:r w:rsidRPr="00150B20">
        <w:t xml:space="preserve"> Afrike;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9.</w:t>
      </w:r>
      <w:r w:rsidRPr="00150B20">
        <w:tab/>
        <w:t>zdôrazňuje, že ľudia žijúci v extrémnej chudobe nemajú prístup k palivovému drevu, a preto kúria a varia použitím iných materiálov, ktoré nájdu doma alebo vo svojom okolí, ako sú pneumatiky či iné látky škodlivé pre zdravie; v tejto súvislosti zdôrazňuje, že znečistené ovzdušie v domácnostiach musia znášať najmä ženy a dievčatá;</w:t>
      </w:r>
    </w:p>
    <w:p w:rsidR="0041323F" w:rsidRPr="00150B20" w:rsidRDefault="0095441E">
      <w:pPr>
        <w:pStyle w:val="NormalHanging12a"/>
      </w:pPr>
      <w:r w:rsidRPr="00150B20">
        <w:t>10.</w:t>
      </w:r>
      <w:r w:rsidRPr="00150B20">
        <w:tab/>
        <w:t xml:space="preserve">poukazuje na to, že tempo, akým je dnes v mnohých rozvojových krajinách rozširovaný prístup k čistým palivám na varenie, nie je dostatočne rýchle na to, aby sa splnili príslušné záväzky v rámci cieľa udržateľného rozvoja č. 7 do roku 2030; uznáva všetky rôzne výzvy spojené s prechodom na čisté varenie a používanie sporákov, ktoré sú v súlade s normami WHO; žiada, aby sa zvýšila informovanosť o zdravotných rizikách spojených so znečistením ovzdušia v domácnostiach tradičnými postupmi varenia, ako aj o výhodách alternatívnych riešení; naliehavo vyzýva EÚ, aby finančne podporovala, presadzovala a povzbudzovala prijímanie vnútroštátnych opatrení v partnerských krajinách;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11.</w:t>
      </w:r>
      <w:r w:rsidRPr="00150B20">
        <w:tab/>
        <w:t xml:space="preserve">taktiež vyzýva EÚ, aby začlenila prístup k čistému vareniu ako prioritu do svojich energetických partnerstiev s rozvojovými krajinami a viacročných orientačných programov určených týmto krajinám, ako aj do plánovania spolupráce na miestnej, regionálnej a celoštátnej úrovni; zdôrazňuje význam konzultácií so zástupcami občianskej spoločnosti priamo na mieste, najmä s organizáciami vedenými ženami, v snahe dosiahnuť rodovú rovnosť a podporiť spravodlivejšiu deľbu práce v domácnosti a rodinných povinností medzi mužmi a ženami v súlade s koncepciou spoločnosti poskytujúcej starostlivosť; poukazuje na príležitosti, ktoré ponúkajú iniciatívy </w:t>
      </w:r>
      <w:proofErr w:type="spellStart"/>
      <w:r w:rsidRPr="00150B20">
        <w:rPr>
          <w:i/>
          <w:iCs/>
        </w:rPr>
        <w:t>Global</w:t>
      </w:r>
      <w:proofErr w:type="spellEnd"/>
      <w:r w:rsidRPr="00150B20">
        <w:rPr>
          <w:i/>
          <w:iCs/>
        </w:rPr>
        <w:t xml:space="preserve"> </w:t>
      </w:r>
      <w:proofErr w:type="spellStart"/>
      <w:r w:rsidRPr="00150B20">
        <w:rPr>
          <w:i/>
          <w:iCs/>
        </w:rPr>
        <w:t>Gateway</w:t>
      </w:r>
      <w:proofErr w:type="spellEnd"/>
      <w:r w:rsidRPr="00150B20">
        <w:t>, ako sú nástroj moderného varenia pre Afriku a nástroj na zlepšenie podnikateľského prostredia v prospech čistého varenia;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12.</w:t>
      </w:r>
      <w:r w:rsidRPr="00150B20">
        <w:tab/>
        <w:t>okrem toho vyzýva EÚ, aby venovala osobitnú pozornosť infraštruktúre a inžinierskym sieťam vrátane výstavby kanalizačných systémov a prístupu k nim, ako aj prístupu domácností alebo komunít k studniam či systémom čistenia vody;</w:t>
      </w:r>
    </w:p>
    <w:p w:rsidR="0041323F" w:rsidRPr="00150B20" w:rsidRDefault="0095441E">
      <w:pPr>
        <w:pStyle w:val="NormalHanging12a"/>
      </w:pPr>
      <w:r w:rsidRPr="00150B20">
        <w:lastRenderedPageBreak/>
        <w:t>13.</w:t>
      </w:r>
      <w:r w:rsidRPr="00150B20">
        <w:tab/>
        <w:t xml:space="preserve">vyjadruje poľutovanie nad devastačným vplyvom chýbajúceho prístupu k elektrine na základné potreby obyvateľstva; vyzýva EÚ a jej členské štáty, aby v rámci spolupráce a partnerstiev s rozvojovými krajinami určili elektrifikáciu za prioritu; zdôrazňuje najmä potrebu investovať do výrobných kapacít, zvlášť v </w:t>
      </w:r>
      <w:proofErr w:type="spellStart"/>
      <w:r w:rsidRPr="00150B20">
        <w:t>subsaharskej</w:t>
      </w:r>
      <w:proofErr w:type="spellEnd"/>
      <w:r w:rsidRPr="00150B20">
        <w:t xml:space="preserve"> Afrike, s cieľom splniť cieľ zaručenia univerzálneho prístupu k energiám;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14.</w:t>
      </w:r>
      <w:r w:rsidRPr="00150B20">
        <w:tab/>
        <w:t>upozorňuje na možnosti prístupu k alternatívnym zdrojom energie, ako sú nevyužité zdroje geotermálnej energie; poukazuje na to, že podpora spojená s cenovo dostupnými nákladmi na energiu má zásadný význam pre rozšírenie prístupu k elektrickej energii, najmä v Afrike, kde si 30 % obyvateľstva nemôže dovoliť ani len základný balík služieb odberu elektriny;</w:t>
      </w:r>
    </w:p>
    <w:p w:rsidR="0041323F" w:rsidRPr="00150B20" w:rsidRDefault="0095441E">
      <w:pPr>
        <w:pStyle w:val="NormalHanging12a"/>
      </w:pPr>
      <w:r w:rsidRPr="00150B20">
        <w:t>15.</w:t>
      </w:r>
      <w:r w:rsidRPr="00150B20">
        <w:tab/>
        <w:t xml:space="preserve">vyjadruje znepokojenie nad rastúcimi energetickými potrebami utečencov a vnútorne vysídlených osôb žijúcich v táboroch; vyjadruje poľutovanie nad tým, že v izolovaných oblastiach a humanitárnych podmienkach bráni energetická neistota plnému fungovaniu miestnych zdravotných stredísk a škôl;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16.</w:t>
      </w:r>
      <w:r w:rsidRPr="00150B20">
        <w:tab/>
        <w:t xml:space="preserve">zdôrazňuje potrebu zvýšiť pri revízii viacročného finančného rámca rozpočtový riadok týkajúci sa humanitárnej pomoci tak, aby bolo možné uspokojiť humanitárne potreby, a to aj navýšením finančnej pomoci na zabezpečenie dodávok energií do táborov vrátane pomoci na projekty zelených sietí, </w:t>
      </w:r>
      <w:proofErr w:type="spellStart"/>
      <w:r w:rsidRPr="00150B20">
        <w:t>minisietí</w:t>
      </w:r>
      <w:proofErr w:type="spellEnd"/>
      <w:r w:rsidRPr="00150B20">
        <w:t xml:space="preserve"> a energie z obnoviteľných zdrojov, tak aby mohli humanitárne organizácie v teréne poskytovať základnú humanitárnu pomoc, najmä zdravotnú a urgentnú starostlivosť;</w:t>
      </w:r>
    </w:p>
    <w:p w:rsidR="0041323F" w:rsidRPr="00150B20" w:rsidRDefault="0095441E">
      <w:pPr>
        <w:pStyle w:val="Normal12a24b"/>
      </w:pPr>
      <w:r w:rsidRPr="00150B20">
        <w:rPr>
          <w:rStyle w:val="BoldItalic"/>
        </w:rPr>
        <w:t>Podpora energetickej transformácie v súlade so zásadou súdržnosti politík v záujme rozvoja</w:t>
      </w:r>
    </w:p>
    <w:p w:rsidR="0041323F" w:rsidRPr="00150B20" w:rsidRDefault="0095441E">
      <w:pPr>
        <w:pStyle w:val="NormalHanging12a"/>
      </w:pPr>
      <w:r w:rsidRPr="00150B20">
        <w:t>17.</w:t>
      </w:r>
      <w:r w:rsidRPr="00150B20">
        <w:tab/>
        <w:t>naliehavo vyzýva EÚ a jej členské štáty, aby zabezpečili súdržnosť politík v záujme udržateľného rozvoja v rámci vonkajšej energetickej agendy EÚ, ktoré by mali zodpovedať miestnym podmienkam a potrebám;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18.</w:t>
      </w:r>
      <w:r w:rsidRPr="00150B20">
        <w:tab/>
        <w:t>opakuje svoj záväzok týkajúci sa energetickej spravodlivosti; vyzýva EÚ, aby podporovala rozvojové krajiny pri vykonávaní režimov energie z obnoviteľných zdrojov založených na právach, ktoré efektívne prispievajú k ich udržateľnému rozvoju; domnieva sa, že zásada slobodného, predchádzajúceho a informovaného súhlasu dotknutých komunít je predpokladom úspešnej zelenej a spravodlivej energetickej transformácie; zdôrazňuje význam presadzovania energetickej efektívnosti a miestnych zručností a podpory technologických inovácií, transferu technológií a technickej spolupráce pri takýchto projektoch energetickej transformácie;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19.</w:t>
      </w:r>
      <w:r w:rsidRPr="00150B20">
        <w:tab/>
        <w:t>zdôrazňuje potrebu, aby, ak o to požiadajú, EÚ podporovala rozvojové krajiny pri vytváraní alebo posilňovaní regulačných rámcov, ktoré zaručia distribúciu energie a univerzálne služby na celom ich území, ako aj pri zvyšovaní potenciálu dobrej správy vecí verejných a transparentnosti všetkých projektov energetickej transformácie; vyzýva EÚ, aby zvýšila technickú pomoc pri reforme elektrických systémov; okrem toho vyzýva Komisiu, aby vypracovala správu o pokroku dosiahnutom pri zlepšovaní prístupu k energiám, ako aj o regulácii odvetvia energetiky formou osobitných projektov a investícií EÚ v partnerských rozvojových krajinách;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20.</w:t>
      </w:r>
      <w:r w:rsidRPr="00150B20">
        <w:tab/>
        <w:t xml:space="preserve">zdôrazňuje riziká možných konfliktov pri využívaní pôdy a vody, najmä núteného presídľovania a vyvlastňovania na účely stavby veľkých zariadení na výrobu energie z </w:t>
      </w:r>
      <w:r w:rsidRPr="00150B20">
        <w:lastRenderedPageBreak/>
        <w:t>obnoviteľných zdrojov; naliehavo vyzýva EÚ, aby cez svoje partnerstvá podporovala vlády rozvojových krajín v tom, aby: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t>a)</w:t>
      </w:r>
      <w:r w:rsidRPr="00150B20">
        <w:tab/>
        <w:t>pred vypracovaním projektov v oblasti energie z obnoviteľných zdrojov vykonali nezávislé a nestranné mapovanie tradičného využívania pôdy a vody, a to aj na účely tzv. časového pasenia, kultúrneho dedičstva domorodého obyvateľstva či systémov s vysokou hodnotou v oblasti biodiverzity, v záujme podpory udržateľného územného plánovania a posudzovania environmentálnych a sociálnych vplyvov;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t>b)</w:t>
      </w:r>
      <w:r w:rsidRPr="00150B20">
        <w:tab/>
        <w:t>žiadali o slobodný, predchádzajúci a informovaný súhlas miestnych komunít a zároveň zaručili ich právo povedať „nie“ a ich právo na spravodlivosť, nápravu a odškodnenie alebo odmenu;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t>c)</w:t>
      </w:r>
      <w:r w:rsidRPr="00150B20">
        <w:tab/>
        <w:t>vymedzili environmentálne a sociálne kritériá, ako aj zodpovedné obchodné postupy v súlade s medzinárodnými regulačnými rámcami a zabezpečili ich dodržiavanie využitím mechanizmov dozoru a podávania sťažností;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t>d)</w:t>
      </w:r>
      <w:r w:rsidRPr="00150B20">
        <w:tab/>
        <w:t>zaručili ochranu klimatických aktivistov;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t>e)</w:t>
      </w:r>
      <w:r w:rsidRPr="00150B20">
        <w:tab/>
        <w:t xml:space="preserve">uľahčovali výmenu poznatkov a najlepších postupov medzi rozvojovými krajinami a regiónmi, ktoré úspešne zvládli konflikty pri využívaní pôdy, ku ktorým došlo v súvislosti s projektmi v oblasti energetiky;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21.</w:t>
      </w:r>
      <w:r w:rsidRPr="00150B20">
        <w:tab/>
        <w:t>konštatuje, že v prípade niektorých rozsiahlych projektov v oblasti zelenej energie (ako je veterná a slnečná energia), napríklad tých, ktoré sú realizované v suchých oblastiach, sú nevyhnutné adekvátne konzultácie s používateľmi pôdy v držbe podľa obyčajového práva (ako sú pastieri); pripomína, že tradičné komunitné práva majú skôr slabé právne postavenie a často nie sú implementované, čo zvyšuje možné riziko zaberania pôdy; v tejto súvislosti vyzýva EÚ a jej partnerské krajiny, aby uznali a chránili práva pôvodného obyvateľstva na vlastníctvo a kontrolu svojej pôdy a prírodných zdrojov, ako sa stanovuje v Deklarácii OSN o právach pôvodného obyvateľstva a v Dohovore Medzinárodnej organizácie práce č. 169, a aby dodržiavali zásadu slobodného, predchádzajúceho a informovaného súhlasu;</w:t>
      </w:r>
    </w:p>
    <w:p w:rsidR="0041323F" w:rsidRPr="00150B20" w:rsidRDefault="0095441E">
      <w:pPr>
        <w:pStyle w:val="NormalHanging12a"/>
      </w:pPr>
      <w:r w:rsidRPr="00150B20">
        <w:t>22.</w:t>
      </w:r>
      <w:r w:rsidRPr="00150B20">
        <w:tab/>
        <w:t>odporúča, aby členské štáty EÚ, ktoré tak ešte neurobili, ratifikovali Dohovor Medzinárodnej organizácie práce č. 169 o domorodom a kmeňovom obyvateľstve;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23.</w:t>
      </w:r>
      <w:r w:rsidRPr="00150B20">
        <w:tab/>
        <w:t xml:space="preserve">je si vedomý vplyvu, ktorý môžu mať postupy konverzie energie s veľkou spotrebou vody, ako sú vodné elektrárne a výroba vodíka, na poľnohospodárske komunity; upozorňuje na nepriaznivý vplyv budovania vodných priehrad na rieky a biodiverzitu, najmä v ústiach riek, tak ako sa okrem iného uvádza v správe Svetovej komisie pre priehrady zo 16. novembra 2000; zdôrazňuje však potenciál tvorby </w:t>
      </w:r>
      <w:proofErr w:type="spellStart"/>
      <w:r w:rsidRPr="00150B20">
        <w:t>osmotickej</w:t>
      </w:r>
      <w:proofErr w:type="spellEnd"/>
      <w:r w:rsidRPr="00150B20">
        <w:t xml:space="preserve"> energie, najmä v ústiach a deltách riek, ako jedného z riešení výroby energie z obnoviteľných zdrojov;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24.</w:t>
      </w:r>
      <w:r w:rsidRPr="00150B20">
        <w:tab/>
        <w:t xml:space="preserve">pripomína, že veľké projekty vodnej energie v rozvojových krajinách často čelia mnohým výzvam vrátane odrádzajúcich počiatočných nákladov, výrazného prekračovania odhadovaných nákladov a nedodržiavania termínov, ťažkostí s prilákaním finančných investícií, sociálnej a environmentálnej stopy, malej odolnosti voči zmene klímy a niektorých slabých výsledkov, napríklad pokiaľ ide o sľúbené </w:t>
      </w:r>
      <w:r w:rsidRPr="00150B20">
        <w:lastRenderedPageBreak/>
        <w:t>dodávky energie; zdôrazňuje význam podpory udržateľných projektov v oblasti vodnej energie vykonaním komplexných posúdení environmentálneho a sociálneho vplyvu a zaistením zmysluplného zapojenia komunít; zastáva názor, že ak je to možné, mali by sa uprednostniť iné projekty malého rozsahu či rozličné typy projektov v oblasti energie z obnoviteľných zdrojov;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25.</w:t>
      </w:r>
      <w:r w:rsidRPr="00150B20">
        <w:tab/>
        <w:t xml:space="preserve">zdôrazňuje, že podľa odporúčaní v správe Svetovej komisie pre priehrady zo 16. novembra 2000 by sa každé plánovanie priehrad malo hodnotiť na základe piatich kritérií: spravodlivosť, efektívnosť, </w:t>
      </w:r>
      <w:proofErr w:type="spellStart"/>
      <w:r w:rsidRPr="00150B20">
        <w:t>participačné</w:t>
      </w:r>
      <w:proofErr w:type="spellEnd"/>
      <w:r w:rsidRPr="00150B20">
        <w:t xml:space="preserve"> rozhodovanie, udržateľnosť a zodpovednosť; v širšom zmysle upozorňuje, že rozhodovací proces týkajúci sa priehrad by mal v plnej miere zohľadňovať definíciu ľudských práv, tak ako je zakotvená vo Všeobecnej deklarácii ľudských práv z roku 1948 a v neskôr prijatých súvisiacich dohodách, s cieľom vyriešiť zložité otázky vodných zdrojov, priehrad a rozvoja; zdôrazňuje, že EÚ by mala v rámci svojich partnerstiev spolupracovať s rozvojovými krajinami v záujme zabezpečenia toho, že komunity zasiahnuté projektmi priehrad budú primerane kompenzované a dostanú adekvátne príležitosti na obnovu svojej životaschopnosti; </w:t>
      </w:r>
    </w:p>
    <w:p w:rsidR="0041323F" w:rsidRPr="00150B20" w:rsidRDefault="0095441E">
      <w:pPr>
        <w:pStyle w:val="NormalHanging12a"/>
      </w:pPr>
      <w:r w:rsidRPr="00150B20">
        <w:t>26.</w:t>
      </w:r>
      <w:r w:rsidRPr="00150B20">
        <w:tab/>
        <w:t>vyjadruje znepokojenie nad nízkou odolnosťou zariadení pri extrémnych poveternostných javoch, ako boli nedávne povodne v Líbyi, ktoré zničili celé štvrte a poškodili kritickú infraštruktúru; trvá na hlavných úlohách v rámci cieľa udržateľného rozvoja č. 9, ktorým je vybudovanie odolnej infraštruktúry, podpora udržateľnej industrializácie a uľahčovanie inovácií;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27.</w:t>
      </w:r>
      <w:r w:rsidRPr="00150B20">
        <w:tab/>
        <w:t xml:space="preserve">so znepokojením konštatuje, že v Afrike sa realizuje čoraz viac projektov v oblasti fosílnych palív, čo môže zabrániť tomu, aby v ten správny čas prešla na energiu z obnoviteľných zdrojov; ďalej konštatuje, že hoci v Afrike žije 18 % svetovej populácie, tvorí iba 6 % celosvetovej spotreby energie; pripomína, že veľká časť súčasnej produkcie ropy, plynu a uhlia v Afrike je určená na vývoz, zatiaľ čo kontinent aj naďalej trpí energetickou chudobou; trvá na tom, že treba uprednostňovať investície do udržateľnej infraštruktúry obnoviteľnej energie v Afrike, najmä vo vidieckych a marginalizovaných komunitách, zriadením decentralizovaných energetických systémov a </w:t>
      </w:r>
      <w:proofErr w:type="spellStart"/>
      <w:r w:rsidRPr="00150B20">
        <w:t>mikrosietí</w:t>
      </w:r>
      <w:proofErr w:type="spellEnd"/>
      <w:r w:rsidRPr="00150B20">
        <w:t>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28.</w:t>
      </w:r>
      <w:r w:rsidRPr="00150B20">
        <w:tab/>
        <w:t>vyzýva EÚ, aby v súlade s odporúčaniami Medzinárodnej agentúry pre energiu podporovala rozvoj takých energetických systémov, ktoré nesúvisia s rozširovaním existujúcich alebo nových projektov v oblasti fosílnych palív, ani z nich nevychádzajú; zdôrazňuje význam partnerstiev, ktoré prinášajú výhody z energie z obnoviteľných zdrojov tak pre vyvážajúce krajiny, ako aj pre ich obyvateľstvo;</w:t>
      </w:r>
    </w:p>
    <w:p w:rsidR="0041323F" w:rsidRPr="00150B20" w:rsidRDefault="0095441E">
      <w:pPr>
        <w:pStyle w:val="NormalHanging12a"/>
      </w:pPr>
      <w:r w:rsidRPr="00150B20">
        <w:t>29.</w:t>
      </w:r>
      <w:r w:rsidRPr="00150B20">
        <w:tab/>
        <w:t>odsudzuje dvojaké normy, podľa ktorých sa súkromné a verejné finančné inštitúcie v rozvinutých krajinách čoraz viac zaväzujú dosiahnuť uhlíkovú neutralitu do roku 2050 a zároveň financujú rozvoj a rozširovanie fosílnych palív; zdôrazňuje, že výzvy adresované krajinám s nízkymi a strednými príjmami, aby znížili svoju závislosť od uhlia nebudú účinné, pokiaľ sa rozvinuté krajiny budú aj naďalej jednoznačne spoliehať na iné fosílne palivá;</w:t>
      </w:r>
    </w:p>
    <w:p w:rsidR="0041323F" w:rsidRPr="00150B20" w:rsidRDefault="0095441E">
      <w:pPr>
        <w:pStyle w:val="NormalHanging12a"/>
      </w:pPr>
      <w:r w:rsidRPr="00150B20">
        <w:t>30.</w:t>
      </w:r>
      <w:r w:rsidRPr="00150B20">
        <w:tab/>
        <w:t xml:space="preserve">pripomína, že alternatívy založené na obnoviteľných zdrojoch energie môžu čoraz viac poskytovať lacnejší, dostupnejší, </w:t>
      </w:r>
      <w:proofErr w:type="spellStart"/>
      <w:r w:rsidRPr="00150B20">
        <w:t>inkluzívnejší</w:t>
      </w:r>
      <w:proofErr w:type="spellEnd"/>
      <w:r w:rsidRPr="00150B20">
        <w:t xml:space="preserve"> a spoľahlivejší zdroj energie; zdôrazňuje význam energie z obnoviteľných zdrojov pri zlepšovaní adaptácie a efektívnosti agropotravinárskych systémov; vyzýva EÚ a jej členské štáty, aby vo svojich dohodách </w:t>
      </w:r>
      <w:r w:rsidRPr="00150B20">
        <w:lastRenderedPageBreak/>
        <w:t xml:space="preserve">o partnerstve s krajinami mimo EÚ stanovili využívanie obnoviteľných zdrojov energie v agropotravinárskych systémoch ako prioritu; </w:t>
      </w:r>
    </w:p>
    <w:p w:rsidR="0041323F" w:rsidRPr="00150B20" w:rsidRDefault="0095441E">
      <w:pPr>
        <w:pStyle w:val="NormalHanging12a"/>
      </w:pPr>
      <w:r w:rsidRPr="00150B20">
        <w:t>31.</w:t>
      </w:r>
      <w:r w:rsidRPr="00150B20">
        <w:tab/>
        <w:t xml:space="preserve">odporúča zrealizovať spoločné plánovanie energetickej transformácie v rámci partnerstva medzi EÚ a Africkou úniou zapojením Spoločného parlamentného zhromaždenia Afriky, Karibiku a </w:t>
      </w:r>
      <w:proofErr w:type="spellStart"/>
      <w:r w:rsidRPr="00150B20">
        <w:t>Tichomoria</w:t>
      </w:r>
      <w:proofErr w:type="spellEnd"/>
      <w:r w:rsidRPr="00150B20">
        <w:t xml:space="preserve"> – EÚ a zástupcov afrických občianskych spoločností pri plnom rešpektovaní zvrchovanosti afrických národov; odporúča vypracovať usmernenia týkajúce sa spravodlivej deľby investícií, príjmov, technológií a zručností;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32.</w:t>
      </w:r>
      <w:r w:rsidRPr="00150B20">
        <w:tab/>
        <w:t>vyzýva EÚ a jej členské štáty, aby do svojich energetických partnerstiev s krajinami mimo EÚ zahrnuli aj kurzy vzdelávania a odbornej prípravy pre miestne obyvateľstvo v snahe podporiť energetickú transformáciu v praxi a ponúknuť miestnym komunitám pracovné príležitosti; zároveň vyzýva EÚ, aby zintenzívnila vedeckú spoluprácu s rozvojovými krajinami na dostupnosti výskumu a technológií v oblasti energie z obnoviteľných zdrojov; domnieva sa, že matrica výroby energie z obnoviteľných zdrojov by sa mala zmeniť tak, aby sa upúšťalo od konceptu čistého vyťažovania;</w:t>
      </w:r>
    </w:p>
    <w:p w:rsidR="0041323F" w:rsidRPr="00150B20" w:rsidRDefault="0095441E">
      <w:pPr>
        <w:pStyle w:val="NormalHanging12a"/>
      </w:pPr>
      <w:r w:rsidRPr="00150B20">
        <w:t>33.</w:t>
      </w:r>
      <w:r w:rsidRPr="00150B20">
        <w:tab/>
        <w:t>pripomína, že Glasgowské vyhlásenie o medzinárodnej verejnej podpore prechodu na čistú energiu z roku 2021 zaväzuje signatárov skončiť s prideľovaním novej priamej verejnej podpory pre odvetvie energetiky z fosílnych palív; vyzýva EÚ a jej členské štáty, aby išli príkladom a prestali financovať projekty v oblasti fosílnych palív;</w:t>
      </w:r>
    </w:p>
    <w:p w:rsidR="0041323F" w:rsidRPr="00150B20" w:rsidRDefault="0095441E">
      <w:pPr>
        <w:pStyle w:val="Normal12a24b"/>
      </w:pPr>
      <w:r w:rsidRPr="00150B20">
        <w:rPr>
          <w:rStyle w:val="BoldItalic"/>
        </w:rPr>
        <w:t>Zelený vodík</w:t>
      </w:r>
    </w:p>
    <w:p w:rsidR="0041323F" w:rsidRPr="00150B20" w:rsidRDefault="0095441E">
      <w:pPr>
        <w:pStyle w:val="NormalHanging12a"/>
      </w:pPr>
      <w:r w:rsidRPr="00150B20">
        <w:t>34.</w:t>
      </w:r>
      <w:r w:rsidRPr="00150B20">
        <w:tab/>
        <w:t xml:space="preserve">zdôrazňuje kľúčovú úlohu zeleného vodíka ako nástroja na dekarbonizáciu energetického systému, dosiahnutie nulovej bilancie emisií na celom svete do roku 2050 a na splnenie cieľov Parížskej dohody, no opätovne pripomína význam posudzovania životného cyklu, ktoré zohľadňuje používané spôsoby výroby a dopravy; </w:t>
      </w:r>
    </w:p>
    <w:p w:rsidR="0041323F" w:rsidRPr="00150B20" w:rsidRDefault="0095441E">
      <w:pPr>
        <w:pStyle w:val="NormalHanging12a"/>
      </w:pPr>
      <w:r w:rsidRPr="00150B20">
        <w:t>35.</w:t>
      </w:r>
      <w:r w:rsidRPr="00150B20">
        <w:tab/>
        <w:t xml:space="preserve">varuje pred možným rizikom nového „prekliatia zeleným vodíkom“, ktorým by sa vytvorila závislosť rozvojových krajín od vývozu a postupne vytlačili investície do rozvoja miestnych energetických trhov; konštatuje, že odvetvie zeleného vodíka môže za istých okolností, ako sú dobrá správa vecí verejných, vykonávanie a monitorovanie riadneho právneho rámca, prevencia korupcie, fungovanie právneho štátu a transparentnosť finančných tokov, zohrávať kľúčovú úlohu pri raste rozvojových krajín bohatých na zdroje; </w:t>
      </w:r>
    </w:p>
    <w:p w:rsidR="0041323F" w:rsidRPr="00150B20" w:rsidRDefault="0095441E">
      <w:pPr>
        <w:pStyle w:val="NormalHanging12a"/>
      </w:pPr>
      <w:r w:rsidRPr="00150B20">
        <w:t>36.</w:t>
      </w:r>
      <w:r w:rsidRPr="00150B20">
        <w:tab/>
        <w:t xml:space="preserve">zdôrazňuje potrebu riešiť globálnu infraštruktúru súvisiacu s výrobou, skladovaním, prepravou, distribúciou a spotrebou zeleného vodíka, ako aj s nákladmi na dopravu na dlhé vzdialenosti a jeho vplyvom na klímu, s obmedzenými investíciami a finančnými kapacitami a s rizikami spojenými so slabými inštitúciami a korupciou v niektorých rozvojových krajinách; </w:t>
      </w:r>
    </w:p>
    <w:p w:rsidR="0041323F" w:rsidRPr="00150B20" w:rsidRDefault="0095441E">
      <w:pPr>
        <w:pStyle w:val="NormalHanging12a"/>
      </w:pPr>
      <w:r w:rsidRPr="00150B20">
        <w:t>37.</w:t>
      </w:r>
      <w:r w:rsidRPr="00150B20">
        <w:tab/>
        <w:t xml:space="preserve">vyzýva EÚ, aby najmä cez iniciatívu </w:t>
      </w:r>
      <w:proofErr w:type="spellStart"/>
      <w:r w:rsidRPr="00150B20">
        <w:rPr>
          <w:i/>
          <w:iCs/>
        </w:rPr>
        <w:t>Global</w:t>
      </w:r>
      <w:proofErr w:type="spellEnd"/>
      <w:r w:rsidRPr="00150B20">
        <w:rPr>
          <w:i/>
          <w:iCs/>
        </w:rPr>
        <w:t xml:space="preserve"> </w:t>
      </w:r>
      <w:proofErr w:type="spellStart"/>
      <w:r w:rsidRPr="00150B20">
        <w:rPr>
          <w:i/>
          <w:iCs/>
        </w:rPr>
        <w:t>Gateway</w:t>
      </w:r>
      <w:proofErr w:type="spellEnd"/>
      <w:r w:rsidRPr="00150B20">
        <w:t xml:space="preserve"> podporovala obojstranne výhodné partnerstvá, z ktorých môžu ťažiť tak dovážajúce, ako aj vyvážajúce krajiny a ich obyvateľstvo; na tento účel vyzýva EÚ, aby podporovala rozvoj hodnotového reťazca so zeleným vodíkom, ak bude ponúkať rovnaké sociálne a hospodárske výhody pre vyvážajúce krajiny, najmä pokiaľ ide o odbornú prípravu a rekvalifikáciu miestneho obyvateľstva, tvorbu pracovných miest, dekarbonizáciu priemyselných činností náročných na znižovanie emisií a prístup k čistejšej mobilite a energii;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lastRenderedPageBreak/>
        <w:t>38.</w:t>
      </w:r>
      <w:r w:rsidRPr="00150B20">
        <w:tab/>
        <w:t>vyzýva EÚ, aby podporovala hospodársku diverzifikáciu a domáci prístup k elektrickej energii a vode pri plnom rešpektovaní ekosystémov a s úmyslom znížiť nadmernú závislosť od vývozu fosílnych palív; zdôrazňuje, že posilnená spolupráca medzi podnikmi a MSP v EÚ a partnerských krajinách, ktorá kombinuje odbornosť rôznych podobne zmýšľajúcich partnerov, môže viesť k zdravému podnikaniu v odvetví zeleného vodíka;</w:t>
      </w:r>
    </w:p>
    <w:p w:rsidR="0041323F" w:rsidRPr="00150B20" w:rsidRDefault="0095441E">
      <w:pPr>
        <w:pStyle w:val="NormalHanging12a"/>
      </w:pPr>
      <w:r w:rsidRPr="00150B20">
        <w:t>39.</w:t>
      </w:r>
      <w:r w:rsidRPr="00150B20">
        <w:tab/>
        <w:t xml:space="preserve">uznáva, že rozširovanie využívania zeleného vodíka môže mať negatívny sociálny a environmentálny vplyv aj na globálny Juh, najmä preto, že závisí od ťažby a využívania surovín a vzácnych zemín, čo si vyžaduje značný objem sladkej vody a spôsobuje znečisťovanie vôd; zdôrazňuje význam vytvorenia globálneho systému riadenia zdrojov, ktorý bude uprednostňovať udržateľnosť, efektívnosť a </w:t>
      </w:r>
      <w:proofErr w:type="spellStart"/>
      <w:r w:rsidRPr="00150B20">
        <w:t>obehovosť</w:t>
      </w:r>
      <w:proofErr w:type="spellEnd"/>
      <w:r w:rsidRPr="00150B20">
        <w:t xml:space="preserve">, s cieľom znížiť celosvetový dopyt po primárnych surovinách, a zároveň zohľadňovať výzvy súvisiace s jeho zavedením;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40.</w:t>
      </w:r>
      <w:r w:rsidRPr="00150B20">
        <w:tab/>
        <w:t>zdôrazňuje potrebu systematického prístupu k posudzovaniu miestnych príležitostí a vplyvu výroby zeleného vodíka pre Európu v rozvojových krajinách; zdôrazňuje, že EÚ by mala zabezpečiť udržateľnosť vyťažených, spracovaných a recyklovaných kritických surovín, ktoré majú zásadný význam pre vodík a iné emisne neutrálne technológie;</w:t>
      </w:r>
    </w:p>
    <w:p w:rsidR="0041323F" w:rsidRPr="00150B20" w:rsidRDefault="0095441E">
      <w:pPr>
        <w:pStyle w:val="NormalHanging12a"/>
      </w:pPr>
      <w:r w:rsidRPr="00150B20">
        <w:t>41.</w:t>
      </w:r>
      <w:r w:rsidRPr="00150B20">
        <w:tab/>
        <w:t>so znepokojením berie na vedomie rozporuplné využívanie vody spojené s ťažbou, ako aj s budovaním rozsiahlych zariadení na výrobu energie z obnoviteľných zdrojov, ako sú zariadenia na zelený vodík; opätovne potvrdzuje, že prístup k vode je základným ľudským právom; zdôrazňuje, že treba posilniť vodohospodársku infraštruktúru v oblastiach, v ktorých sú ťažobné podniky a závody na výrobu energie z obnoviteľných zdrojov známe tým, že investujú do zariadení na úpravu vody a systémov recyklácie vody;</w:t>
      </w:r>
    </w:p>
    <w:p w:rsidR="0041323F" w:rsidRPr="00150B20" w:rsidRDefault="0095441E">
      <w:pPr>
        <w:pStyle w:val="NormalHanging12a"/>
      </w:pPr>
      <w:r w:rsidRPr="00150B20">
        <w:t>42.</w:t>
      </w:r>
      <w:r w:rsidRPr="00150B20">
        <w:tab/>
        <w:t>zdôrazňuje potrebu regulácie vody ako zdroja na výrobu zeleného vodíka udržateľným spôsobom, najmä v suchých regiónoch, napríklad aj implementáciou nariadení, ktorými sa stanovia udržateľné techniky získavania vody, jej efektívne využívanie a minimalizuje vypúšťanie odpadových vôd tak, aby nebol ohrozený prístup miestneho obyvateľstva k vode a nedošlo k zvyšovaniu nákladov na vodu;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43.</w:t>
      </w:r>
      <w:r w:rsidRPr="00150B20">
        <w:tab/>
        <w:t xml:space="preserve">berie na vedomie rastúci počet </w:t>
      </w:r>
      <w:proofErr w:type="spellStart"/>
      <w:r w:rsidRPr="00150B20">
        <w:t>odsoľovacích</w:t>
      </w:r>
      <w:proofErr w:type="spellEnd"/>
      <w:r w:rsidRPr="00150B20">
        <w:t xml:space="preserve"> zariadení v záujme riešenia nedostatku vody; uznáva, že </w:t>
      </w:r>
      <w:proofErr w:type="spellStart"/>
      <w:r w:rsidRPr="00150B20">
        <w:t>odsoľovacie</w:t>
      </w:r>
      <w:proofErr w:type="spellEnd"/>
      <w:r w:rsidRPr="00150B20">
        <w:t xml:space="preserve"> zariadenia môžu byť prínosom pre miestne komunity a domáce hospodárstvo, ale poukazuje na to, že odsoľovanie morskej vody môže mať vážne následky pre životné prostredie, najmä morskú biodiverzitu; vyzýva na podporu udržateľného prístupu k odsoľovaniu vody a takých riešení, ktoré nemajú žiadny vplyv na pobrežné oblasti, ako napríklad </w:t>
      </w:r>
      <w:proofErr w:type="spellStart"/>
      <w:r w:rsidRPr="00150B20">
        <w:t>desalinácia</w:t>
      </w:r>
      <w:proofErr w:type="spellEnd"/>
      <w:r w:rsidRPr="00150B20">
        <w:t xml:space="preserve"> v </w:t>
      </w:r>
      <w:proofErr w:type="spellStart"/>
      <w:r w:rsidRPr="00150B20">
        <w:t>hlbokomorských</w:t>
      </w:r>
      <w:proofErr w:type="spellEnd"/>
      <w:r w:rsidRPr="00150B20">
        <w:t xml:space="preserve"> oblastiach; zdôrazňuje, že znižovanie spotreby vody a recyklácia alebo opätovné využívanie upravenej odpadovej vody je často menej nákladné ako odsoľovanie;</w:t>
      </w:r>
    </w:p>
    <w:p w:rsidR="0041323F" w:rsidRPr="00150B20" w:rsidRDefault="0095441E">
      <w:pPr>
        <w:pStyle w:val="NormalHanging12a"/>
      </w:pPr>
      <w:r w:rsidRPr="00150B20">
        <w:t>44.</w:t>
      </w:r>
      <w:r w:rsidRPr="00150B20">
        <w:tab/>
        <w:t>upozorňuje na možné riziká odberov a znečisťovania vody spojené s priamymi zahraničnými investíciami do veľkých projektov nadobúdania pôdy na výrobu energie z obnoviteľných zdrojov; vyzýva EÚ a jej členské štáty, aby pre podniky zaviedli povinné normy náležitej starostlivosti a podávania správ;</w:t>
      </w:r>
    </w:p>
    <w:p w:rsidR="0041323F" w:rsidRPr="00150B20" w:rsidRDefault="0095441E">
      <w:pPr>
        <w:pStyle w:val="NormalHanging12a"/>
      </w:pPr>
      <w:r w:rsidRPr="00150B20">
        <w:t>45.</w:t>
      </w:r>
      <w:r w:rsidRPr="00150B20">
        <w:tab/>
        <w:t xml:space="preserve">trvá na tom, že stratégie týkajúce sa zeleného vodíka musia spĺňať prísne sociálne normy a normy udržateľnosti; vyzýva EÚ, aby vo svojich dohodách o partnerstve stanovila vhodné monitorovacie rámce, ktoré umožnia posúdiť ich širší vplyv na plnenie </w:t>
      </w:r>
      <w:r w:rsidRPr="00150B20">
        <w:lastRenderedPageBreak/>
        <w:t>cieľov udržateľného rozvoja, konkrétne identifikáciou environmentálnych a sociálnych ukazovateľov či ukazovateľov týkajúcich sa riadenia, ako aj stanovením merateľných cieľov; žiada, aby sa realizovali povinné štúdie vplyvu na životné prostredie, vrátane odsoľovania, a aby problémové oblasti z hľadiska biodiverzity boli vylúčené z lokalít vhodných pre zariadenia na zelený vodík; domnieva sa, že výroba zeleného vodíka by mala demonštrovať závislosť od materiálov získaných v súlade s environmentálnymi normami a normami v oblasti ľudských práv, ktoré sa vzťahujú na ťažobné činnosti (napríklad z krajín, ktoré sú signatármi Iniciatívy pre transparentnosť v ťažobnom priemysle);</w:t>
      </w:r>
    </w:p>
    <w:p w:rsidR="0041323F" w:rsidRPr="00150B20" w:rsidRDefault="0095441E">
      <w:pPr>
        <w:pStyle w:val="NormalHanging12a"/>
      </w:pPr>
      <w:r w:rsidRPr="00150B20">
        <w:t>46.</w:t>
      </w:r>
      <w:r w:rsidRPr="00150B20">
        <w:tab/>
        <w:t xml:space="preserve">naliehavo vyzýva Komisiu, aby vytvorila </w:t>
      </w:r>
      <w:proofErr w:type="spellStart"/>
      <w:r w:rsidRPr="00150B20">
        <w:t>inkluzívny</w:t>
      </w:r>
      <w:proofErr w:type="spellEnd"/>
      <w:r w:rsidRPr="00150B20">
        <w:t xml:space="preserve"> rámec riadenia dohôd o partnerstve, ktorý bude zahŕňať organizácie občianskej spoločnosti, s cieľom zabezpečiť dodržiavanie zásady „nespôsobovať škodu“ miestnym komunitám a dodržiavanie globálnych noriem v oblasti ľudských práv;</w:t>
      </w:r>
    </w:p>
    <w:p w:rsidR="0041323F" w:rsidRPr="00150B20" w:rsidRDefault="0095441E">
      <w:pPr>
        <w:pStyle w:val="Normal12a24b"/>
      </w:pPr>
      <w:r w:rsidRPr="00150B20">
        <w:rPr>
          <w:rStyle w:val="BoldItalic"/>
        </w:rPr>
        <w:t xml:space="preserve">Viac finančnej pomoci v záujme spravodlivej energetickej transformácie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47.</w:t>
      </w:r>
      <w:r w:rsidRPr="00150B20">
        <w:tab/>
        <w:t>zdôrazňuje, že finančná podpora na energiu z obnoviteľných zdrojov zo strany EÚ by mala byť v súlade so zásadami rovnosti, udržateľnosti a klimatickej spravodlivosti a mohla by, okrem iného, zahŕňať dlhovú pomoc, odpustenie časti či celého dlhu, reštrukturalizáciu dlhu a fond strát a škôd;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48.</w:t>
      </w:r>
      <w:r w:rsidRPr="00150B20">
        <w:tab/>
        <w:t>zdôrazňuje, že na investície do obnoviteľného vodíka vyrábaného v krajinách mimo EÚ by sa mali vzťahovať medzinárodne uznávané zásady náležitej starostlivosti, napríklad, ale nie len, hlavné zásady OSN v oblasti podnikania a ľudských práv, usmernenia OECD pre nadnárodné podniky a usmernenie OECD o náležitej starostlivosti pre zodpovedné obchodné správanie;</w:t>
      </w:r>
    </w:p>
    <w:p w:rsidR="0041323F" w:rsidRPr="00150B20" w:rsidRDefault="0095441E">
      <w:pPr>
        <w:pStyle w:val="NormalHanging12a"/>
      </w:pPr>
      <w:r w:rsidRPr="00150B20">
        <w:t>49.</w:t>
      </w:r>
      <w:r w:rsidRPr="00150B20">
        <w:tab/>
        <w:t xml:space="preserve">vyzýva EÚ a jej členské štáty, aby zvýšili objem oficiálnej rozvojovej pomoci odvetviu energetiky, najmä v okruhu 6 budúceho viacročného finančného rámca a predovšetkým energetickému odvetviu v Afrike, pričom uprednostnia granty pred úvermi, a aby zároveň preorientovali finančné prostriedky do krajín s nižšou mierou prístupu k elektrickej energii s cieľom podporiť ich prechod na čistú a obnoviteľnú energiu v súlade s Agendou 2030 pre udržateľný rozvoj;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50.</w:t>
      </w:r>
      <w:r w:rsidRPr="00150B20">
        <w:tab/>
        <w:t>podporuje vznik verejno-súkromných partnerstiev, ako aj programov na uľahčenie transferu vedomostí a zelených technológií; zdôrazňuje, že odvetvia elektriny majú v mnohých afrických krajinách špecifické črty (ako sú prudký nárast dopytu, malé siete, nestabilné vnútroštátne inžinierske siete a obmedzená platobná schopnosť zákazníkov), ktoré treba zohľadniť;</w:t>
      </w:r>
    </w:p>
    <w:p w:rsidR="0041323F" w:rsidRPr="00150B20" w:rsidRDefault="0095441E">
      <w:pPr>
        <w:pStyle w:val="NormalHanging12a"/>
      </w:pPr>
      <w:r w:rsidRPr="00150B20">
        <w:t>51.</w:t>
      </w:r>
      <w:r w:rsidRPr="00150B20">
        <w:tab/>
        <w:t xml:space="preserve">zdôrazňuje, že prístup rozvojových krajín k finančnej podpore spravodlivej energetickej transformácie musí byť jednoduchší a rýchlejší; upozorňuje na to, že EÚ môže ponúknuť inovatívne riešenia na urýchlenie zelenej transformácie a zvýšenie podielu obnoviteľných zdrojov energie vo svete; na tento účel vyzýva EÚ a jej členské štáty, aby zvážili výmenu dlhu za klimatické záväzky, aby tak dlžnícke rozvojové krajiny mohli použiť peniaze z dlhu na financovanie projektov v oblasti adaptácie na zmenu klímy a zmierňovania jej následkov;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lastRenderedPageBreak/>
        <w:t>52.</w:t>
      </w:r>
      <w:r w:rsidRPr="00150B20">
        <w:tab/>
        <w:t>v širšom zmysle žiada, aby sa v rámci iniciatívy na pozastavenie dlhovej služby G20 sprevádzkoval mechanizmus výmeny dlhodobého dlhu za klimatické záväzky a aby sa prerozdelili zvláštne práva čerpania MMF;</w:t>
      </w:r>
    </w:p>
    <w:p w:rsidR="0041323F" w:rsidRPr="00150B20" w:rsidRDefault="0095441E">
      <w:pPr>
        <w:pStyle w:val="NormalHanging12a"/>
      </w:pPr>
      <w:r w:rsidRPr="00150B20">
        <w:t>53.</w:t>
      </w:r>
      <w:r w:rsidRPr="00150B20">
        <w:tab/>
        <w:t xml:space="preserve">vyzýva EÚ a jej členské štáty, aby zvýšili finančné prostriedky určené na pomoc rozvojovým krajinám s adaptáciou na zmenu klímy, aby sa ich energetické systémy stali odolnejšími voči klimatickým rizikám; zdôrazňuje význam zelenej energie v projektoch </w:t>
      </w:r>
      <w:proofErr w:type="spellStart"/>
      <w:r w:rsidRPr="00150B20">
        <w:t>agrolesníctva</w:t>
      </w:r>
      <w:proofErr w:type="spellEnd"/>
      <w:r w:rsidRPr="00150B20">
        <w:t xml:space="preserve"> a adaptácie na zmenu klímy, ako napríklad projekt Veľký zelený múr; </w:t>
      </w:r>
    </w:p>
    <w:p w:rsidR="0041323F" w:rsidRPr="00150B20" w:rsidRDefault="0095441E">
      <w:pPr>
        <w:pStyle w:val="NormalHanging12a"/>
        <w:rPr>
          <w:szCs w:val="24"/>
        </w:rPr>
      </w:pPr>
      <w:r w:rsidRPr="00150B20">
        <w:t>54.</w:t>
      </w:r>
      <w:r w:rsidRPr="00150B20">
        <w:tab/>
        <w:t xml:space="preserve">naliehavo vyzýva Komisiu, aby zvýšila počet programov v rámci iniciatívy </w:t>
      </w:r>
      <w:proofErr w:type="spellStart"/>
      <w:r w:rsidRPr="00150B20">
        <w:rPr>
          <w:i/>
          <w:iCs/>
        </w:rPr>
        <w:t>Global</w:t>
      </w:r>
      <w:proofErr w:type="spellEnd"/>
      <w:r w:rsidRPr="00150B20">
        <w:rPr>
          <w:i/>
          <w:iCs/>
        </w:rPr>
        <w:t xml:space="preserve"> </w:t>
      </w:r>
      <w:proofErr w:type="spellStart"/>
      <w:r w:rsidRPr="00150B20">
        <w:rPr>
          <w:i/>
          <w:iCs/>
        </w:rPr>
        <w:t>Gateway</w:t>
      </w:r>
      <w:proofErr w:type="spellEnd"/>
      <w:r w:rsidRPr="00150B20">
        <w:t>, ktoré uprednostňujú základný prístup k elektrine a k čistému vareniu, najmä v krajinách, ktoré to najviac potrebujú; zdôrazňuje význam súkromného sektora pri zvyšovaní objemu finančných prostriedkov na poskytnutie základného prístupu k energiám a k čistému vareniu, ako aj pri zaručovaní verejného prístupu a posilňovaní vnútroštátnych verejných dodávateľov energií; na tento účel vyzýva Komisiu, aby využila Európsky fond pre udržateľný rozvoj plus ako nástroj na podporu investícií zo súkromného sektora v rozvojových krajinách s cieľom posilniť energetickú infraštruktúru a poskytnúť lepší prístup k energiám a čistému vareniu v domácnostiach;</w:t>
      </w:r>
    </w:p>
    <w:p w:rsidR="0041323F" w:rsidRPr="00150B20" w:rsidRDefault="0095441E">
      <w:pPr>
        <w:pStyle w:val="NormalHanging12a"/>
      </w:pPr>
      <w:r w:rsidRPr="00150B20">
        <w:t>55.</w:t>
      </w:r>
      <w:r w:rsidRPr="00150B20">
        <w:tab/>
        <w:t>naliehavo vyzýva EÚ, aby podporovala rozvojové krajiny pri postupnom rušení dotácií na fosílne palivá a aby sa zamerala na účinné, moderné a cenovo dostupné technológie varenia; naliehavo vyzýva na mobilizáciu investícií a vytvorenie priaznivého prostredia na podporu rastu silného sektoru čistého varenia;</w:t>
      </w:r>
    </w:p>
    <w:p w:rsidR="0041323F" w:rsidRPr="00150B20" w:rsidRDefault="0095441E">
      <w:pPr>
        <w:spacing w:after="240"/>
        <w:ind w:left="567" w:hanging="567"/>
        <w:rPr>
          <w:szCs w:val="24"/>
        </w:rPr>
      </w:pPr>
      <w:r w:rsidRPr="00150B20">
        <w:t>56.</w:t>
      </w:r>
      <w:r w:rsidRPr="00150B20">
        <w:tab/>
        <w:t>vyzýva EÚ a európske rozvojové finančné inštitúcie, aby: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t>a)</w:t>
      </w:r>
      <w:r w:rsidRPr="00150B20">
        <w:tab/>
        <w:t xml:space="preserve">priamo investovali do distribúcie, najmä elektrifikácie vidieka, a uprednostnili decentralizované, malé a </w:t>
      </w:r>
      <w:proofErr w:type="spellStart"/>
      <w:r w:rsidRPr="00150B20">
        <w:t>mimosieťové</w:t>
      </w:r>
      <w:proofErr w:type="spellEnd"/>
      <w:r w:rsidRPr="00150B20">
        <w:t xml:space="preserve"> systémy obnoviteľnej energie, pokiaľ sú takéto riešenia vhodnejšie ako rozšírenie siete, s cieľom umožniť vidieckemu obyvateľstvu prístup k elektrine;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t>b)</w:t>
      </w:r>
      <w:r w:rsidRPr="00150B20">
        <w:tab/>
        <w:t>koordinovali investície medzi rôznymi inštitúciami s cieľom maximalizovať ich vplyv a zabrániť zdvojovaniu úsilia;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t>c)</w:t>
      </w:r>
      <w:r w:rsidRPr="00150B20">
        <w:tab/>
        <w:t>zabezpečili, aby sa vykonávali nezávislé a vyvážené posúdenia vplyvu na ľudské práva a aby sa riadne vykonávali a monitorovali všetky požadované administratívne, sociálne a environmentálne záruky a prostriedky nápravy vrátane usmernení v oblasti ľudských práv a držby pôdy;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t>d)</w:t>
      </w:r>
      <w:r w:rsidRPr="00150B20">
        <w:tab/>
        <w:t>zabezpečili, aby boli miestne komunity zapojené do celej fázy plánovania a realizácie projektu a o všetkom boli riadne informované;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t>e)</w:t>
      </w:r>
      <w:r w:rsidRPr="00150B20">
        <w:tab/>
        <w:t xml:space="preserve">vykonávali a prísne uplatňovali prístup založený na právach, zaviedli účinné mechanizmy podávania sťažností a nápravy v súlade s medzinárodnými normami týkajúcimi sa zodpovedných obchodných postupov, a aby pri projektoch vyžadovali vypracovanie štúdií vplyvu, najmä pokiaľ ide o zmenu klímy, nerovnosti a vysídľovanie miestneho obyvateľstva, a to aj v prípade projektov v rámci iniciatívy </w:t>
      </w:r>
      <w:proofErr w:type="spellStart"/>
      <w:r w:rsidRPr="00150B20">
        <w:rPr>
          <w:i/>
          <w:iCs/>
        </w:rPr>
        <w:t>Global</w:t>
      </w:r>
      <w:proofErr w:type="spellEnd"/>
      <w:r w:rsidRPr="00150B20">
        <w:rPr>
          <w:i/>
          <w:iCs/>
        </w:rPr>
        <w:t xml:space="preserve"> </w:t>
      </w:r>
      <w:proofErr w:type="spellStart"/>
      <w:r w:rsidRPr="00150B20">
        <w:rPr>
          <w:i/>
          <w:iCs/>
        </w:rPr>
        <w:t>Gateway</w:t>
      </w:r>
      <w:proofErr w:type="spellEnd"/>
      <w:r w:rsidRPr="00150B20">
        <w:t>;</w:t>
      </w:r>
    </w:p>
    <w:p w:rsidR="0041323F" w:rsidRPr="00150B20" w:rsidRDefault="0095441E">
      <w:pPr>
        <w:pStyle w:val="NormalHanging12a"/>
        <w:ind w:left="1134"/>
      </w:pPr>
      <w:r w:rsidRPr="00150B20">
        <w:t>f)</w:t>
      </w:r>
      <w:r w:rsidRPr="00150B20">
        <w:tab/>
        <w:t>zabezpečili, aby všetky projekty priehrad so schváleným financovaním boli v súlade s usmerneniami Svetovej komisie pre priehrady;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lastRenderedPageBreak/>
        <w:t>g)</w:t>
      </w:r>
      <w:r w:rsidRPr="00150B20">
        <w:tab/>
        <w:t>podporovali miestne a regionálne projekty prepojenia elektrických sietí;</w:t>
      </w:r>
    </w:p>
    <w:p w:rsidR="0041323F" w:rsidRPr="00150B20" w:rsidRDefault="0095441E">
      <w:pPr>
        <w:pStyle w:val="NormalHanging12a"/>
        <w:ind w:left="1134"/>
        <w:rPr>
          <w:szCs w:val="24"/>
        </w:rPr>
      </w:pPr>
      <w:r w:rsidRPr="00150B20">
        <w:t>h)</w:t>
      </w:r>
      <w:r w:rsidRPr="00150B20">
        <w:tab/>
        <w:t>zabezpečovali technickú podporu a iniciatívy na budovanie kapacít tak, aby mohli rozvojové krajiny efektívne realizovať projekty v oblasti čistej energie;</w:t>
      </w:r>
    </w:p>
    <w:p w:rsidR="0041323F" w:rsidRPr="00150B20" w:rsidRDefault="0095441E">
      <w:pPr>
        <w:pStyle w:val="NormalHanging12a"/>
      </w:pPr>
      <w:r w:rsidRPr="00150B20">
        <w:t>57.</w:t>
      </w:r>
      <w:r w:rsidRPr="00150B20">
        <w:tab/>
        <w:t>nabáda Komisiu, aby poskytla rozčlenené údaje o výške investícií do prístupu k energiám, aby bolo možné sledovať, koľko prostriedkov je vyčlenených na cieľ udržateľného rozvoja č. 7, ako aj údaje o kľúčovom ukazovateli výkonnosti „Inštalovaná kapacita výroby energie z obnoviteľných zdrojov (MW) s podporou Únie“ identifikovaného v rámci Nástroja susedstva a rozvojovej a medzinárodnej spolupráce – Globálna Európa;</w:t>
      </w:r>
    </w:p>
    <w:p w:rsidR="0041323F" w:rsidRPr="00150B20" w:rsidRDefault="0095441E">
      <w:pPr>
        <w:pStyle w:val="NormalHanging12a"/>
      </w:pPr>
      <w:r w:rsidRPr="00150B20">
        <w:t>58.</w:t>
      </w:r>
      <w:r w:rsidRPr="00150B20">
        <w:tab/>
        <w:t xml:space="preserve">víta </w:t>
      </w:r>
      <w:r w:rsidR="00041439" w:rsidRPr="00150B20">
        <w:t>závery konferencie</w:t>
      </w:r>
      <w:r w:rsidRPr="00150B20">
        <w:t xml:space="preserve"> COP28 </w:t>
      </w:r>
      <w:r w:rsidR="00A0204B" w:rsidRPr="00150B20">
        <w:t>z</w:t>
      </w:r>
      <w:r w:rsidR="00041439" w:rsidRPr="00150B20">
        <w:t xml:space="preserve"> roku </w:t>
      </w:r>
      <w:r w:rsidRPr="00150B20">
        <w:t xml:space="preserve">2023, </w:t>
      </w:r>
      <w:r w:rsidR="00041439" w:rsidRPr="00150B20">
        <w:t>v ktorých sa po prvýkrát v histórii požaduje prechod od fosílnych palív a jasný záväzok dosiahnuť cieľ 1,5 stupňa, prijať opatrenia na dosiahnutie strojnásobenia kapacity energie z obnoviteľných zdrojov v celosvetovom meradle a zdvojnásobenia zlepšenia energetickej efektívnosti</w:t>
      </w:r>
      <w:r w:rsidRPr="00150B20">
        <w:t xml:space="preserve"> do roku 2030 a celosvetovo podporovať prístup k financovaniu opatrení v oblasti zmeny klímy a k projektom energetickej infraštruktúry zameraný na ľudí;</w:t>
      </w:r>
    </w:p>
    <w:p w:rsidR="0041323F" w:rsidRPr="00150B20" w:rsidRDefault="0095441E">
      <w:pPr>
        <w:pStyle w:val="NormalHanging12a"/>
      </w:pPr>
      <w:r w:rsidRPr="00150B20">
        <w:t>59.</w:t>
      </w:r>
      <w:r w:rsidRPr="00150B20">
        <w:tab/>
        <w:t>vyzýva EÚ, aby zohrávala kľúčovú úlohu v rokovaniach o opatreniach na zmiernenie zmeny klímy v rozvojových krajinách s cieľom bojovať proti škodlivým účinkom používania znečisťujúcich palív a naopak podporiť rozvoj udržateľnej a čistej energie;</w:t>
      </w:r>
    </w:p>
    <w:p w:rsidR="0041323F" w:rsidRPr="00150B20" w:rsidRDefault="0095441E">
      <w:pPr>
        <w:pStyle w:val="NormalCenter12a"/>
        <w:widowControl/>
      </w:pPr>
      <w:r w:rsidRPr="00150B20">
        <w:t>°</w:t>
      </w:r>
    </w:p>
    <w:p w:rsidR="0041323F" w:rsidRPr="00150B20" w:rsidRDefault="0095441E">
      <w:pPr>
        <w:pStyle w:val="NormalCenter12a"/>
        <w:widowControl/>
      </w:pPr>
      <w:r w:rsidRPr="00150B20">
        <w:t>°     °</w:t>
      </w:r>
    </w:p>
    <w:p w:rsidR="0041323F" w:rsidRPr="00150B20" w:rsidRDefault="0095441E">
      <w:pPr>
        <w:pStyle w:val="NormalHanging12a"/>
      </w:pPr>
      <w:r w:rsidRPr="00150B20">
        <w:t>60.</w:t>
      </w:r>
      <w:r w:rsidRPr="00150B20">
        <w:tab/>
        <w:t>poveruje svoju predsedníčku, aby toto uznesenie postúpila Rade, Komisii, Európskej službe pre vonkajšiu činnosť a Európskej investičnej banke.</w:t>
      </w:r>
    </w:p>
    <w:p w:rsidR="0041323F" w:rsidRPr="00150B20" w:rsidRDefault="0041323F"/>
    <w:p w:rsidR="0041323F" w:rsidRPr="00150B20" w:rsidRDefault="0041323F">
      <w:bookmarkStart w:id="9" w:name="TextBodyEnd"/>
      <w:bookmarkEnd w:id="9"/>
    </w:p>
    <w:sectPr w:rsidR="0041323F" w:rsidRPr="00150B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23F" w:rsidRDefault="0095441E">
      <w:r>
        <w:separator/>
      </w:r>
    </w:p>
  </w:endnote>
  <w:endnote w:type="continuationSeparator" w:id="0">
    <w:p w:rsidR="0041323F" w:rsidRDefault="0095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23F" w:rsidRDefault="004132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23F" w:rsidRDefault="0041323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23F" w:rsidRDefault="004132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23F" w:rsidRDefault="0095441E">
      <w:r>
        <w:separator/>
      </w:r>
    </w:p>
  </w:footnote>
  <w:footnote w:type="continuationSeparator" w:id="0">
    <w:p w:rsidR="0041323F" w:rsidRDefault="0095441E">
      <w:r>
        <w:continuationSeparator/>
      </w:r>
    </w:p>
  </w:footnote>
  <w:footnote w:id="1">
    <w:p w:rsidR="0041323F" w:rsidRPr="00864253" w:rsidRDefault="0095441E">
      <w:pPr>
        <w:pStyle w:val="FootnoteText"/>
        <w:ind w:left="567" w:hanging="567"/>
        <w:rPr>
          <w:color w:val="000000" w:themeColor="text1"/>
          <w:sz w:val="24"/>
          <w:szCs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864253">
        <w:rPr>
          <w:color w:val="000000" w:themeColor="text1"/>
          <w:sz w:val="24"/>
          <w:szCs w:val="24"/>
          <w:u w:color="0000FF"/>
          <w:lang w:val="sk-SK"/>
        </w:rPr>
        <w:t>Ú. v. EÚ C 210, 30.6.2017, s. 1</w:t>
      </w:r>
      <w:r w:rsidRPr="00864253">
        <w:rPr>
          <w:color w:val="000000" w:themeColor="text1"/>
          <w:sz w:val="24"/>
          <w:szCs w:val="24"/>
          <w:lang w:val="sk-SK"/>
        </w:rPr>
        <w:t>.</w:t>
      </w:r>
    </w:p>
  </w:footnote>
  <w:footnote w:id="2">
    <w:p w:rsidR="0041323F" w:rsidRPr="00864253" w:rsidRDefault="0095441E">
      <w:pPr>
        <w:pStyle w:val="FootnoteText"/>
        <w:ind w:left="567" w:hanging="567"/>
        <w:rPr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864253">
        <w:rPr>
          <w:sz w:val="24"/>
          <w:u w:color="0000FF"/>
          <w:lang w:val="sk-SK"/>
        </w:rPr>
        <w:t>Ú. v. EÚ L 209, 14.6.2021, s. 1</w:t>
      </w:r>
      <w:r w:rsidRPr="00864253">
        <w:rPr>
          <w:sz w:val="24"/>
          <w:lang w:val="sk-SK"/>
        </w:rPr>
        <w:t>.</w:t>
      </w:r>
    </w:p>
  </w:footnote>
  <w:footnote w:id="3">
    <w:p w:rsidR="0041323F" w:rsidRDefault="009544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AC13FA">
        <w:rPr>
          <w:lang w:val="sk-SK"/>
        </w:rPr>
        <w:t>Ú. v. EÚ L 157, 20.6.2023, s. 11</w:t>
      </w:r>
      <w:r>
        <w:rPr>
          <w:sz w:val="24"/>
          <w:lang w:val="sk-SK"/>
        </w:rPr>
        <w:t>.</w:t>
      </w:r>
    </w:p>
  </w:footnote>
  <w:footnote w:id="4">
    <w:p w:rsidR="0041323F" w:rsidRDefault="0095441E"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" w:history="1">
        <w:r>
          <w:rPr>
            <w:color w:val="0000FF"/>
            <w:sz w:val="24"/>
            <w:u w:val="single" w:color="0000FF"/>
            <w:lang w:val="sk-SK"/>
          </w:rPr>
          <w:t xml:space="preserve">Štokholmský environmentálny inštitút, Medzinárodný inštitút pre udržateľný rozvoj, Inštitút pre zámorský rozvoj, E3G a Program OSN pre životné prostredie, </w:t>
        </w:r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2021 Report –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The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Production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Gap:</w:t>
        </w:r>
      </w:hyperlink>
      <w:hyperlink r:id="rId2" w:history="1">
        <w:r>
          <w:rPr>
            <w:i/>
            <w:iCs/>
            <w:color w:val="0000FF"/>
            <w:sz w:val="24"/>
            <w:u w:val="single" w:color="0000FF"/>
            <w:lang w:val="sk-SK"/>
          </w:rPr>
          <w:t>Governments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’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planned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fossil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fuel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production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remains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dangerously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out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of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sync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with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Paris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Agreement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limits</w:t>
        </w:r>
        <w:proofErr w:type="spellEnd"/>
      </w:hyperlink>
      <w:r>
        <w:rPr>
          <w:sz w:val="24"/>
          <w:lang w:val="sk-SK"/>
        </w:rPr>
        <w:t xml:space="preserve"> (Správa za rok 2021 – Medzery v znižovaní produkcie fosílnych palív: vládami plánovaná výroba fosílnych palív naďalej v príkrom rozpore s limitmi Parížskej dohody), 2021.</w:t>
      </w:r>
    </w:p>
  </w:footnote>
  <w:footnote w:id="5">
    <w:p w:rsidR="0041323F" w:rsidRDefault="0095441E"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3" w:history="1">
        <w:r>
          <w:rPr>
            <w:color w:val="0000FF"/>
            <w:sz w:val="24"/>
            <w:u w:val="single" w:color="0000FF"/>
            <w:lang w:val="sk-SK"/>
          </w:rPr>
          <w:t xml:space="preserve">Medzinárodná agentúra pre energiu z obnoviteľných zdrojov,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World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Energy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Transitions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Outlook 2022:</w:t>
        </w:r>
      </w:hyperlink>
      <w:hyperlink r:id="rId4" w:history="1">
        <w:r>
          <w:rPr>
            <w:color w:val="0000FF"/>
            <w:sz w:val="24"/>
            <w:u w:val="single" w:color="0000FF"/>
            <w:lang w:val="sk-SK"/>
          </w:rPr>
          <w:t xml:space="preserve"> </w:t>
        </w:r>
        <w:r>
          <w:rPr>
            <w:i/>
            <w:iCs/>
            <w:color w:val="0000FF"/>
            <w:sz w:val="24"/>
            <w:u w:val="single" w:color="0000FF"/>
            <w:lang w:val="sk-SK"/>
          </w:rPr>
          <w:t>1.5</w:t>
        </w:r>
      </w:hyperlink>
      <w:hyperlink r:id="rId5" w:history="1"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°C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Pathway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, International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Renewable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Energy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Agency</w:t>
        </w:r>
        <w:proofErr w:type="spellEnd"/>
      </w:hyperlink>
      <w:r>
        <w:rPr>
          <w:sz w:val="24"/>
          <w:lang w:val="sk-SK"/>
        </w:rPr>
        <w:t xml:space="preserve"> (Vyhliadky energetickej transformácie 2022: cesta k 1,5°C), Abú Zabí, 2022.</w:t>
      </w:r>
    </w:p>
  </w:footnote>
  <w:footnote w:id="6">
    <w:p w:rsidR="0041323F" w:rsidRDefault="0095441E"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6" w:history="1">
        <w:r>
          <w:rPr>
            <w:color w:val="0000FF"/>
            <w:sz w:val="24"/>
            <w:u w:val="single" w:color="0000FF"/>
            <w:lang w:val="sk-SK"/>
          </w:rPr>
          <w:t xml:space="preserve">Medzinárodná agentúra pre energiu,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Tracking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SDG7:</w:t>
        </w:r>
      </w:hyperlink>
      <w:hyperlink r:id="rId7" w:history="1"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The Energy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Progress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Report, 2023</w:t>
        </w:r>
      </w:hyperlink>
      <w:r>
        <w:rPr>
          <w:sz w:val="24"/>
          <w:lang w:val="sk-SK"/>
        </w:rPr>
        <w:t xml:space="preserve"> (Sledovanie cieľa udržateľného rozvoja č. 7: Správa o pokroku v oblasti energetiky, 2023), Paríž, jún 2023.</w:t>
      </w:r>
    </w:p>
  </w:footnote>
  <w:footnote w:id="7">
    <w:p w:rsidR="0041323F" w:rsidRDefault="0095441E"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8" w:history="1"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African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Union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,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The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African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Union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green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recovery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action</w:t>
        </w:r>
        <w:proofErr w:type="spellEnd"/>
        <w:r>
          <w:rPr>
            <w:i/>
            <w:iCs/>
            <w:color w:val="0000FF"/>
            <w:sz w:val="24"/>
            <w:u w:val="single" w:color="0000FF"/>
            <w:lang w:val="sk-SK"/>
          </w:rPr>
          <w:t xml:space="preserve"> </w:t>
        </w:r>
        <w:proofErr w:type="spellStart"/>
        <w:r>
          <w:rPr>
            <w:i/>
            <w:iCs/>
            <w:color w:val="0000FF"/>
            <w:sz w:val="24"/>
            <w:u w:val="single" w:color="0000FF"/>
            <w:lang w:val="sk-SK"/>
          </w:rPr>
          <w:t>plan</w:t>
        </w:r>
        <w:proofErr w:type="spellEnd"/>
      </w:hyperlink>
      <w:r>
        <w:rPr>
          <w:sz w:val="24"/>
          <w:lang w:val="sk-SK"/>
        </w:rPr>
        <w:t xml:space="preserve"> (Akčný plán zelenej obnovy Africkej únie), Africká únia, Addis Abeba, 2021.</w:t>
      </w:r>
    </w:p>
  </w:footnote>
  <w:footnote w:id="8">
    <w:p w:rsidR="0041323F" w:rsidRDefault="009544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</w:t>
      </w:r>
      <w:r>
        <w:rPr>
          <w:sz w:val="24"/>
          <w:lang w:val="sk-SK"/>
        </w:rPr>
        <w:t>EÚ C</w:t>
      </w:r>
      <w:r w:rsidR="007739DA">
        <w:rPr>
          <w:sz w:val="24"/>
          <w:lang w:val="sk-SK"/>
        </w:rPr>
        <w:t xml:space="preserve">, </w:t>
      </w:r>
      <w:r w:rsidR="007739DA">
        <w:rPr>
          <w:sz w:val="24"/>
          <w:lang w:val="sk-SK"/>
        </w:rPr>
        <w:t>C/2023/</w:t>
      </w:r>
      <w:bookmarkStart w:id="8" w:name="_GoBack"/>
      <w:bookmarkEnd w:id="8"/>
      <w:r>
        <w:rPr>
          <w:sz w:val="24"/>
          <w:lang w:val="sk-SK"/>
        </w:rPr>
        <w:t xml:space="preserve">398, 23.11.2023, ELI: </w:t>
      </w:r>
      <w:hyperlink r:id="rId9" w:history="1">
        <w:r>
          <w:rPr>
            <w:rStyle w:val="Hyperlink"/>
            <w:sz w:val="24"/>
            <w:lang w:val="sk-SK"/>
          </w:rPr>
          <w:t>http://data.europa.eu/eli/C/2023/398/oj</w:t>
        </w:r>
      </w:hyperlink>
      <w:r>
        <w:rPr>
          <w:sz w:val="24"/>
          <w:lang w:val="sk-SK"/>
        </w:rPr>
        <w:t>.</w:t>
      </w:r>
    </w:p>
  </w:footnote>
  <w:footnote w:id="9">
    <w:p w:rsidR="0041323F" w:rsidRPr="00864253" w:rsidRDefault="0095441E">
      <w:pPr>
        <w:pStyle w:val="FootnoteText"/>
        <w:ind w:left="567" w:hanging="567"/>
        <w:rPr>
          <w:color w:val="000000" w:themeColor="text1"/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864253">
        <w:rPr>
          <w:color w:val="000000" w:themeColor="text1"/>
          <w:sz w:val="24"/>
          <w:u w:color="0000FF"/>
          <w:lang w:val="sk-SK"/>
        </w:rPr>
        <w:t>Ú. v. EÚ C 494, 8.12.2021, s. 80</w:t>
      </w:r>
      <w:r w:rsidRPr="00864253">
        <w:rPr>
          <w:color w:val="000000" w:themeColor="text1"/>
          <w:sz w:val="24"/>
          <w:lang w:val="sk-SK"/>
        </w:rPr>
        <w:t>.</w:t>
      </w:r>
    </w:p>
  </w:footnote>
  <w:footnote w:id="10">
    <w:p w:rsidR="0041323F" w:rsidRPr="00864253" w:rsidRDefault="0095441E">
      <w:pPr>
        <w:pStyle w:val="FootnoteText"/>
        <w:ind w:left="567" w:hanging="567"/>
        <w:rPr>
          <w:color w:val="000000" w:themeColor="text1"/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Pr="00864253">
        <w:rPr>
          <w:color w:val="000000" w:themeColor="text1"/>
          <w:sz w:val="24"/>
          <w:u w:color="0000FF"/>
          <w:lang w:val="sk-SK"/>
        </w:rPr>
        <w:t>Ú. v. EÚ C 270, 7.7.2021, s. 2</w:t>
      </w:r>
      <w:r w:rsidRPr="00864253">
        <w:rPr>
          <w:color w:val="000000" w:themeColor="text1"/>
          <w:sz w:val="24"/>
          <w:lang w:val="sk-SK"/>
        </w:rPr>
        <w:t>.</w:t>
      </w:r>
    </w:p>
  </w:footnote>
  <w:footnote w:id="11">
    <w:p w:rsidR="0041323F" w:rsidRPr="00864253" w:rsidRDefault="0095441E">
      <w:pPr>
        <w:pStyle w:val="FootnoteText"/>
        <w:ind w:left="567" w:hanging="567"/>
        <w:rPr>
          <w:color w:val="000000" w:themeColor="text1"/>
          <w:sz w:val="24"/>
          <w:u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0" w:history="1">
        <w:r w:rsidRPr="00864253">
          <w:rPr>
            <w:color w:val="000000" w:themeColor="text1"/>
            <w:sz w:val="24"/>
            <w:u w:color="0000FF"/>
            <w:lang w:val="sk-SK"/>
          </w:rPr>
          <w:t>Ú. v. EÚ C 224, 27.6.2018, s. 167</w:t>
        </w:r>
      </w:hyperlink>
      <w:r w:rsidRPr="00864253">
        <w:rPr>
          <w:color w:val="000000" w:themeColor="text1"/>
          <w:sz w:val="24"/>
          <w:u w:color="0000FF"/>
          <w:lang w:val="sk-SK"/>
        </w:rPr>
        <w:t>.</w:t>
      </w:r>
    </w:p>
  </w:footnote>
  <w:footnote w:id="12">
    <w:p w:rsidR="0041323F" w:rsidRPr="00864253" w:rsidRDefault="0095441E">
      <w:pPr>
        <w:pStyle w:val="FootnoteText"/>
        <w:ind w:left="567" w:hanging="567"/>
        <w:rPr>
          <w:color w:val="000000" w:themeColor="text1"/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1" w:history="1">
        <w:r w:rsidRPr="00864253">
          <w:rPr>
            <w:color w:val="000000" w:themeColor="text1"/>
            <w:sz w:val="24"/>
            <w:szCs w:val="24"/>
            <w:u w:color="0000FF"/>
            <w:lang w:val="pt-PT"/>
          </w:rPr>
          <w:t>Ú. v. EÚ C 239 E, 20.8.2013, s. 83</w:t>
        </w:r>
      </w:hyperlink>
      <w:r w:rsidRPr="00864253">
        <w:rPr>
          <w:color w:val="000000" w:themeColor="text1"/>
          <w:sz w:val="24"/>
          <w:szCs w:val="24"/>
          <w:u w:color="0000FF"/>
          <w:lang w:val="sk-SK"/>
        </w:rPr>
        <w:t>.</w:t>
      </w:r>
    </w:p>
  </w:footnote>
  <w:footnote w:id="13">
    <w:p w:rsidR="0041323F" w:rsidRDefault="009544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Oddelenie OSN pre hospodárske a sociálne veci, </w:t>
      </w:r>
      <w:proofErr w:type="spellStart"/>
      <w:r>
        <w:rPr>
          <w:i/>
          <w:iCs/>
          <w:sz w:val="24"/>
          <w:lang w:val="sk-SK"/>
        </w:rPr>
        <w:t>The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Sustainable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Development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Goals</w:t>
      </w:r>
      <w:proofErr w:type="spellEnd"/>
      <w:r>
        <w:rPr>
          <w:i/>
          <w:iCs/>
          <w:sz w:val="24"/>
          <w:lang w:val="sk-SK"/>
        </w:rPr>
        <w:t xml:space="preserve"> Report 2023:</w:t>
      </w:r>
      <w:r>
        <w:rPr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Special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Edition</w:t>
      </w:r>
      <w:proofErr w:type="spellEnd"/>
      <w:r>
        <w:rPr>
          <w:i/>
          <w:iCs/>
          <w:sz w:val="24"/>
          <w:lang w:val="sk-SK"/>
        </w:rPr>
        <w:t xml:space="preserve"> – </w:t>
      </w:r>
      <w:proofErr w:type="spellStart"/>
      <w:r>
        <w:rPr>
          <w:i/>
          <w:iCs/>
          <w:sz w:val="24"/>
          <w:lang w:val="sk-SK"/>
        </w:rPr>
        <w:t>July</w:t>
      </w:r>
      <w:proofErr w:type="spellEnd"/>
      <w:r>
        <w:rPr>
          <w:i/>
          <w:iCs/>
          <w:sz w:val="24"/>
          <w:lang w:val="sk-SK"/>
        </w:rPr>
        <w:t xml:space="preserve"> 2023</w:t>
      </w:r>
      <w:r>
        <w:rPr>
          <w:sz w:val="24"/>
          <w:lang w:val="sk-SK"/>
        </w:rPr>
        <w:t xml:space="preserve"> (Správa o cieľoch udržateľného rozvoja 2023: osobitné vydanie – júl 2023), New York, USA, 2023.</w:t>
      </w:r>
    </w:p>
  </w:footnote>
  <w:footnote w:id="14">
    <w:p w:rsidR="0041323F" w:rsidRDefault="009544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Medzinárodná agentúra pre energiu z obnoviteľných zdrojov, </w:t>
      </w:r>
      <w:proofErr w:type="spellStart"/>
      <w:r>
        <w:rPr>
          <w:i/>
          <w:iCs/>
          <w:sz w:val="24"/>
          <w:lang w:val="sk-SK"/>
        </w:rPr>
        <w:t>Basic</w:t>
      </w:r>
      <w:proofErr w:type="spellEnd"/>
      <w:r>
        <w:rPr>
          <w:i/>
          <w:iCs/>
          <w:sz w:val="24"/>
          <w:lang w:val="sk-SK"/>
        </w:rPr>
        <w:t xml:space="preserve"> Energy Access </w:t>
      </w:r>
      <w:proofErr w:type="spellStart"/>
      <w:r>
        <w:rPr>
          <w:i/>
          <w:iCs/>
          <w:sz w:val="24"/>
          <w:lang w:val="sk-SK"/>
        </w:rPr>
        <w:t>Lags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Amid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Renewable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Opportunities</w:t>
      </w:r>
      <w:proofErr w:type="spellEnd"/>
      <w:r>
        <w:rPr>
          <w:i/>
          <w:iCs/>
          <w:sz w:val="24"/>
          <w:lang w:val="sk-SK"/>
        </w:rPr>
        <w:t xml:space="preserve"> New Report </w:t>
      </w:r>
      <w:proofErr w:type="spellStart"/>
      <w:r>
        <w:rPr>
          <w:i/>
          <w:iCs/>
          <w:sz w:val="24"/>
          <w:lang w:val="sk-SK"/>
        </w:rPr>
        <w:t>Shows</w:t>
      </w:r>
      <w:proofErr w:type="spellEnd"/>
      <w:r>
        <w:rPr>
          <w:sz w:val="24"/>
          <w:lang w:val="sk-SK"/>
        </w:rPr>
        <w:t xml:space="preserve"> (Nová správa tvrdí, že základný prístup k energii napriek možnostiam obnoviteľných energií zaostáva), 6. jún 2023.</w:t>
      </w:r>
    </w:p>
  </w:footnote>
  <w:footnote w:id="15">
    <w:p w:rsidR="0041323F" w:rsidRDefault="009544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Rozvojový program OSN, </w:t>
      </w:r>
      <w:r>
        <w:rPr>
          <w:i/>
          <w:iCs/>
          <w:sz w:val="24"/>
          <w:lang w:val="sk-SK"/>
        </w:rPr>
        <w:t xml:space="preserve">Energy and </w:t>
      </w:r>
      <w:proofErr w:type="spellStart"/>
      <w:r>
        <w:rPr>
          <w:i/>
          <w:iCs/>
          <w:sz w:val="24"/>
          <w:lang w:val="sk-SK"/>
        </w:rPr>
        <w:t>Gender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Equality</w:t>
      </w:r>
      <w:proofErr w:type="spellEnd"/>
      <w:r>
        <w:rPr>
          <w:sz w:val="24"/>
          <w:lang w:val="sk-SK"/>
        </w:rPr>
        <w:t xml:space="preserve"> (Energetika a rodová rovnosť).</w:t>
      </w:r>
    </w:p>
  </w:footnote>
  <w:footnote w:id="16">
    <w:p w:rsidR="0041323F" w:rsidRDefault="009544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Inštitút riadenia prírodných zdrojov, </w:t>
      </w:r>
      <w:proofErr w:type="spellStart"/>
      <w:r>
        <w:rPr>
          <w:i/>
          <w:iCs/>
          <w:sz w:val="24"/>
          <w:lang w:val="sk-SK"/>
        </w:rPr>
        <w:t>The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Resource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Curse</w:t>
      </w:r>
      <w:proofErr w:type="spellEnd"/>
      <w:r>
        <w:rPr>
          <w:i/>
          <w:iCs/>
          <w:sz w:val="24"/>
          <w:lang w:val="sk-SK"/>
        </w:rPr>
        <w:t xml:space="preserve"> – </w:t>
      </w:r>
      <w:proofErr w:type="spellStart"/>
      <w:r>
        <w:rPr>
          <w:i/>
          <w:iCs/>
          <w:sz w:val="24"/>
          <w:lang w:val="sk-SK"/>
        </w:rPr>
        <w:t>The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Political</w:t>
      </w:r>
      <w:proofErr w:type="spellEnd"/>
      <w:r>
        <w:rPr>
          <w:i/>
          <w:iCs/>
          <w:sz w:val="24"/>
          <w:lang w:val="sk-SK"/>
        </w:rPr>
        <w:t xml:space="preserve"> and </w:t>
      </w:r>
      <w:proofErr w:type="spellStart"/>
      <w:r>
        <w:rPr>
          <w:i/>
          <w:iCs/>
          <w:sz w:val="24"/>
          <w:lang w:val="sk-SK"/>
        </w:rPr>
        <w:t>Economic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Challenges</w:t>
      </w:r>
      <w:proofErr w:type="spellEnd"/>
      <w:r>
        <w:rPr>
          <w:i/>
          <w:iCs/>
          <w:sz w:val="24"/>
          <w:lang w:val="sk-SK"/>
        </w:rPr>
        <w:t xml:space="preserve"> of </w:t>
      </w:r>
      <w:proofErr w:type="spellStart"/>
      <w:r>
        <w:rPr>
          <w:i/>
          <w:iCs/>
          <w:sz w:val="24"/>
          <w:lang w:val="sk-SK"/>
        </w:rPr>
        <w:t>Natural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Resource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Wealth</w:t>
      </w:r>
      <w:proofErr w:type="spellEnd"/>
      <w:r>
        <w:rPr>
          <w:sz w:val="24"/>
          <w:lang w:val="sk-SK"/>
        </w:rPr>
        <w:t xml:space="preserve"> (Prekliatie zdrojov – politické a ekonomické aspekty bohatstva prírodných zdrojov), NRGI </w:t>
      </w:r>
      <w:proofErr w:type="spellStart"/>
      <w:r>
        <w:rPr>
          <w:sz w:val="24"/>
          <w:lang w:val="sk-SK"/>
        </w:rPr>
        <w:t>Reader</w:t>
      </w:r>
      <w:proofErr w:type="spellEnd"/>
      <w:r>
        <w:rPr>
          <w:sz w:val="24"/>
          <w:lang w:val="sk-SK"/>
        </w:rPr>
        <w:t>, marec 2015.</w:t>
      </w:r>
    </w:p>
  </w:footnote>
  <w:footnote w:id="17">
    <w:p w:rsidR="0041323F" w:rsidRDefault="0095441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Medzinárodná agentúra pre energiu, </w:t>
      </w:r>
      <w:proofErr w:type="spellStart"/>
      <w:r>
        <w:rPr>
          <w:i/>
          <w:iCs/>
          <w:sz w:val="24"/>
          <w:lang w:val="sk-SK"/>
        </w:rPr>
        <w:t>Global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Hydrogen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Review</w:t>
      </w:r>
      <w:proofErr w:type="spellEnd"/>
      <w:r>
        <w:rPr>
          <w:i/>
          <w:iCs/>
          <w:sz w:val="24"/>
          <w:lang w:val="sk-SK"/>
        </w:rPr>
        <w:t xml:space="preserve"> 2023</w:t>
      </w:r>
      <w:r>
        <w:rPr>
          <w:sz w:val="24"/>
          <w:lang w:val="sk-SK"/>
        </w:rPr>
        <w:t xml:space="preserve"> (Globálny prehľad o vodíku za rok 2023) a </w:t>
      </w:r>
      <w:proofErr w:type="spellStart"/>
      <w:r>
        <w:rPr>
          <w:i/>
          <w:iCs/>
          <w:sz w:val="24"/>
          <w:lang w:val="sk-SK"/>
        </w:rPr>
        <w:t>Hydrogen</w:t>
      </w:r>
      <w:proofErr w:type="spellEnd"/>
      <w:r>
        <w:rPr>
          <w:sz w:val="24"/>
          <w:lang w:val="sk-SK"/>
        </w:rPr>
        <w:t xml:space="preserve"> (Vodík),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23F" w:rsidRDefault="0041323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23F" w:rsidRDefault="0041323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23F" w:rsidRDefault="004132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1/2023"/>
    <w:docVar w:name="dvlangue" w:val="SK"/>
    <w:docVar w:name="dvnumam" w:val="0"/>
    <w:docVar w:name="dvpe" w:val="753.463"/>
    <w:docVar w:name="dvrapporteur" w:val="Spravodajkyňa: "/>
    <w:docVar w:name="dvtitre" w:val="Uznesenie Európskeho parlamentu z xx. januára 2024 o rozvojovej spolupráci EÚ na podporu prístupu k energii v rozvojových krajinách(2023/2073(INI))"/>
  </w:docVars>
  <w:rsids>
    <w:rsidRoot w:val="0041323F"/>
    <w:rsid w:val="00041439"/>
    <w:rsid w:val="00150B20"/>
    <w:rsid w:val="0041323F"/>
    <w:rsid w:val="007739DA"/>
    <w:rsid w:val="007C464B"/>
    <w:rsid w:val="00864253"/>
    <w:rsid w:val="0095441E"/>
    <w:rsid w:val="00A0204B"/>
    <w:rsid w:val="00AC13FA"/>
    <w:rsid w:val="00F2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D1D9B"/>
  <w15:chartTrackingRefBased/>
  <w15:docId w15:val="{3AB28DA2-DF5C-49A2-96FE-78C432D4C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character" w:customStyle="1" w:styleId="BoldItalic">
    <w:name w:val="BoldItalic"/>
    <w:uiPriority w:val="1"/>
    <w:rPr>
      <w:b/>
      <w:i/>
      <w:u w:val="none"/>
    </w:rPr>
  </w:style>
  <w:style w:type="character" w:customStyle="1" w:styleId="Italic">
    <w:name w:val="Italic"/>
    <w:uiPriority w:val="1"/>
    <w:rPr>
      <w:i/>
    </w:rPr>
  </w:style>
  <w:style w:type="paragraph" w:customStyle="1" w:styleId="Normal12a24b">
    <w:name w:val="Normal12a24b"/>
    <w:basedOn w:val="Normal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Pr>
      <w:snapToGrid w:val="0"/>
      <w:sz w:val="24"/>
      <w:lang w:val="sk-SK" w:eastAsia="en-US"/>
    </w:rPr>
  </w:style>
  <w:style w:type="character" w:styleId="Hyperlink">
    <w:name w:val="Hyperlink"/>
    <w:basedOn w:val="DefaultParagraphFont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020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204B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au.int/sites/default/files/documents/40790-doc-AU_Green_Recovery_Action_Plan_ENGLISH1.pdf" TargetMode="External"/><Relationship Id="rId3" Type="http://schemas.openxmlformats.org/officeDocument/2006/relationships/hyperlink" Target="https://www.irena.org/publications/2022/mar/world-energy-transitions-outlook-2022" TargetMode="External"/><Relationship Id="rId7" Type="http://schemas.openxmlformats.org/officeDocument/2006/relationships/hyperlink" Target="https://www.iea.org/reports/tracking-sdg7-the-energy-progress-report-2023" TargetMode="External"/><Relationship Id="rId2" Type="http://schemas.openxmlformats.org/officeDocument/2006/relationships/hyperlink" Target="https://productiongap.org/2021report/" TargetMode="External"/><Relationship Id="rId1" Type="http://schemas.openxmlformats.org/officeDocument/2006/relationships/hyperlink" Target="https://productiongap.org/2021report/" TargetMode="External"/><Relationship Id="rId6" Type="http://schemas.openxmlformats.org/officeDocument/2006/relationships/hyperlink" Target="https://www.iea.org/reports/tracking-sdg7-the-energy-progress-report-2023" TargetMode="External"/><Relationship Id="rId11" Type="http://schemas.openxmlformats.org/officeDocument/2006/relationships/hyperlink" Target="https://eur-lex.europa.eu/legal-content/SK/TXT/?uri=celex:52012IP0029" TargetMode="External"/><Relationship Id="rId5" Type="http://schemas.openxmlformats.org/officeDocument/2006/relationships/hyperlink" Target="https://www.irena.org/publications/2022/mar/world-energy-transitions-outlook-2022" TargetMode="External"/><Relationship Id="rId10" Type="http://schemas.openxmlformats.org/officeDocument/2006/relationships/hyperlink" Target="https://eur-lex.europa.eu/legal-content/SK/TXT/?uri=uriserv:OJ.C_.2018.224.01.0167.01.SLK" TargetMode="External"/><Relationship Id="rId4" Type="http://schemas.openxmlformats.org/officeDocument/2006/relationships/hyperlink" Target="https://www.irena.org/publications/2022/mar/world-energy-transitions-outlook-2022" TargetMode="External"/><Relationship Id="rId9" Type="http://schemas.openxmlformats.org/officeDocument/2006/relationships/hyperlink" Target="http://data.europa.eu/eli/C/2023/39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2A060-92D3-477C-808F-9975603AF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8115</Words>
  <Characters>46256</Characters>
  <Application>Microsoft Office Word</Application>
  <DocSecurity>0</DocSecurity>
  <Lines>385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2024-02-22T12:15:00Z</dcterms:created>
  <dcterms:modified xsi:type="dcterms:W3CDTF">2024-02-22T12:15:00Z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A9-0441/2023</vt:lpwstr>
  </property>
  <property fmtid="{D5CDD505-2E9C-101B-9397-08002B2CF9AE}" pid="4" name="&lt;Type&gt;">
    <vt:lpwstr>RR</vt:lpwstr>
  </property>
</Properties>
</file>