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52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B52D3" w:rsidRDefault="000F7A79" w:rsidP="0010095E">
            <w:pPr>
              <w:pStyle w:val="EPName"/>
            </w:pPr>
            <w:bookmarkStart w:id="0" w:name="_GoBack"/>
            <w:bookmarkEnd w:id="0"/>
            <w:r w:rsidRPr="008B52D3">
              <w:t>Europski parlament</w:t>
            </w:r>
          </w:p>
          <w:p w:rsidR="00751A4A" w:rsidRPr="008B52D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52D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B52D3" w:rsidRDefault="00187494" w:rsidP="0010095E">
            <w:pPr>
              <w:pStyle w:val="EPLogo"/>
            </w:pPr>
            <w:r w:rsidRPr="008B52D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B52D3" w:rsidRDefault="00D058B8" w:rsidP="004C5D52">
      <w:pPr>
        <w:pStyle w:val="LineTop"/>
      </w:pPr>
    </w:p>
    <w:p w:rsidR="00680577" w:rsidRPr="008B52D3" w:rsidRDefault="000F7A79" w:rsidP="00680577">
      <w:pPr>
        <w:pStyle w:val="EPBodyTA1"/>
      </w:pPr>
      <w:r w:rsidRPr="008B52D3">
        <w:t>USVOJENI TEKSTOVI</w:t>
      </w:r>
    </w:p>
    <w:p w:rsidR="00D058B8" w:rsidRPr="008B52D3" w:rsidRDefault="00D058B8" w:rsidP="00D058B8">
      <w:pPr>
        <w:pStyle w:val="LineBottom"/>
      </w:pPr>
    </w:p>
    <w:p w:rsidR="000F7A79" w:rsidRPr="008B52D3" w:rsidRDefault="000F7A79" w:rsidP="000F7A79">
      <w:pPr>
        <w:pStyle w:val="ATHeading1"/>
      </w:pPr>
      <w:bookmarkStart w:id="1" w:name="TANumber"/>
      <w:r w:rsidRPr="008B52D3">
        <w:t>P9_TA(2024)00</w:t>
      </w:r>
      <w:r w:rsidR="008B52D3" w:rsidRPr="008B52D3">
        <w:t>32</w:t>
      </w:r>
      <w:bookmarkEnd w:id="1"/>
    </w:p>
    <w:p w:rsidR="000F7A79" w:rsidRPr="008B52D3" w:rsidRDefault="0079332C" w:rsidP="000F7A79">
      <w:pPr>
        <w:pStyle w:val="ATHeading2"/>
      </w:pPr>
      <w:bookmarkStart w:id="2" w:name="title"/>
      <w:r w:rsidRPr="008B52D3">
        <w:t>Virtualni svjetovi</w:t>
      </w:r>
      <w:r w:rsidRPr="008B52D3">
        <w:rPr>
          <w:lang w:val="en-GB"/>
        </w:rPr>
        <w:t xml:space="preserve"> – </w:t>
      </w:r>
      <w:r w:rsidRPr="008B52D3">
        <w:t>prilike, rizici i posljedice politike za jedinstveno tržište</w:t>
      </w:r>
      <w:bookmarkEnd w:id="2"/>
    </w:p>
    <w:p w:rsidR="000F7A79" w:rsidRPr="008B52D3" w:rsidRDefault="000F7A79" w:rsidP="000F7A79">
      <w:pPr>
        <w:rPr>
          <w:i/>
          <w:vanish/>
        </w:rPr>
      </w:pPr>
      <w:r w:rsidRPr="008B52D3">
        <w:rPr>
          <w:i/>
        </w:rPr>
        <w:fldChar w:fldCharType="begin"/>
      </w:r>
      <w:r w:rsidRPr="008B52D3">
        <w:rPr>
          <w:i/>
        </w:rPr>
        <w:instrText xml:space="preserve"> TC"(</w:instrText>
      </w:r>
      <w:bookmarkStart w:id="3" w:name="DocNumber"/>
      <w:r w:rsidRPr="008B52D3">
        <w:rPr>
          <w:i/>
        </w:rPr>
        <w:instrText>A9-0397/2023</w:instrText>
      </w:r>
      <w:bookmarkEnd w:id="3"/>
      <w:r w:rsidRPr="008B52D3">
        <w:rPr>
          <w:i/>
        </w:rPr>
        <w:instrText xml:space="preserve"> - Izvjestitelj: </w:instrText>
      </w:r>
      <w:proofErr w:type="spellStart"/>
      <w:r w:rsidRPr="008B52D3">
        <w:rPr>
          <w:i/>
        </w:rPr>
        <w:instrText>Pablo</w:instrText>
      </w:r>
      <w:proofErr w:type="spellEnd"/>
      <w:r w:rsidRPr="008B52D3">
        <w:rPr>
          <w:i/>
        </w:rPr>
        <w:instrText xml:space="preserve"> </w:instrText>
      </w:r>
      <w:proofErr w:type="spellStart"/>
      <w:r w:rsidRPr="008B52D3">
        <w:rPr>
          <w:i/>
        </w:rPr>
        <w:instrText>Arias</w:instrText>
      </w:r>
      <w:proofErr w:type="spellEnd"/>
      <w:r w:rsidRPr="008B52D3">
        <w:rPr>
          <w:i/>
        </w:rPr>
        <w:instrText xml:space="preserve"> </w:instrText>
      </w:r>
      <w:proofErr w:type="spellStart"/>
      <w:r w:rsidRPr="008B52D3">
        <w:rPr>
          <w:i/>
        </w:rPr>
        <w:instrText>Echeverría</w:instrText>
      </w:r>
      <w:proofErr w:type="spellEnd"/>
      <w:r w:rsidRPr="008B52D3">
        <w:rPr>
          <w:i/>
        </w:rPr>
        <w:instrText xml:space="preserve">)"\l3 \n&gt; \* MERGEFORMAT </w:instrText>
      </w:r>
      <w:r w:rsidRPr="008B52D3">
        <w:rPr>
          <w:i/>
        </w:rPr>
        <w:fldChar w:fldCharType="end"/>
      </w:r>
    </w:p>
    <w:p w:rsidR="000F7A79" w:rsidRPr="008B52D3" w:rsidRDefault="000F7A79" w:rsidP="000F7A79">
      <w:pPr>
        <w:rPr>
          <w:vanish/>
        </w:rPr>
      </w:pPr>
      <w:bookmarkStart w:id="4" w:name="Commission"/>
      <w:r w:rsidRPr="008B52D3">
        <w:rPr>
          <w:vanish/>
        </w:rPr>
        <w:t>Odbor za unutarnje tržište i zaštitu potrošača</w:t>
      </w:r>
      <w:bookmarkEnd w:id="4"/>
    </w:p>
    <w:p w:rsidR="000F7A79" w:rsidRPr="008B52D3" w:rsidRDefault="000F7A79" w:rsidP="000F7A79">
      <w:pPr>
        <w:rPr>
          <w:vanish/>
        </w:rPr>
      </w:pPr>
      <w:bookmarkStart w:id="5" w:name="PE"/>
      <w:r w:rsidRPr="008B52D3">
        <w:rPr>
          <w:vanish/>
        </w:rPr>
        <w:t>PE751.902</w:t>
      </w:r>
      <w:bookmarkEnd w:id="5"/>
    </w:p>
    <w:p w:rsidR="000F7A79" w:rsidRPr="008B52D3" w:rsidRDefault="000F7A79" w:rsidP="000F7A79">
      <w:pPr>
        <w:pStyle w:val="ATHeading3"/>
      </w:pPr>
      <w:bookmarkStart w:id="6" w:name="Sujet"/>
      <w:r w:rsidRPr="008B52D3">
        <w:t>Rezolucija Europskog parlamenta od</w:t>
      </w:r>
      <w:r w:rsidR="008B52D3" w:rsidRPr="008B52D3">
        <w:t xml:space="preserve"> 17.</w:t>
      </w:r>
      <w:r w:rsidRPr="008B52D3">
        <w:t xml:space="preserve"> </w:t>
      </w:r>
      <w:r w:rsidR="00C4625E" w:rsidRPr="008B52D3">
        <w:t>siječnja</w:t>
      </w:r>
      <w:r w:rsidRPr="008B52D3">
        <w:t xml:space="preserve"> 2024. o virtualnim svjetovima: prilike, rizici i posljedice politike za jedinstveno tržište</w:t>
      </w:r>
      <w:bookmarkEnd w:id="6"/>
      <w:r w:rsidRPr="008B52D3">
        <w:t xml:space="preserve"> </w:t>
      </w:r>
      <w:bookmarkStart w:id="7" w:name="References"/>
      <w:r w:rsidRPr="008B52D3">
        <w:t>(2022/2198(INI))</w:t>
      </w:r>
      <w:bookmarkEnd w:id="7"/>
    </w:p>
    <w:p w:rsidR="002871DE" w:rsidRPr="008B52D3" w:rsidRDefault="002871DE" w:rsidP="002871DE">
      <w:pPr>
        <w:pStyle w:val="EPComma"/>
      </w:pPr>
      <w:bookmarkStart w:id="8" w:name="TextBodyBegin"/>
      <w:bookmarkEnd w:id="8"/>
      <w:r w:rsidRPr="008B52D3">
        <w:rPr>
          <w:i/>
        </w:rPr>
        <w:t>Europski parlament</w:t>
      </w:r>
      <w:r w:rsidRPr="008B52D3">
        <w:t>,</w:t>
      </w:r>
    </w:p>
    <w:p w:rsidR="002871DE" w:rsidRPr="008B52D3" w:rsidRDefault="002871DE" w:rsidP="002871DE">
      <w:pPr>
        <w:pStyle w:val="NormalHanging12a"/>
      </w:pPr>
      <w:r w:rsidRPr="008B52D3">
        <w:t>–</w:t>
      </w:r>
      <w:r w:rsidRPr="008B52D3">
        <w:tab/>
        <w:t>uzimajući u obzir članak 24. Povelje EU-a o temeljnim pravima i Konvenciju Ujedinjenih naroda o pravima djeteta, kako je podrobno navedeno u Općoj napomeni br. 25 o pravima djece u odnosu na digitalno okruženje,</w:t>
      </w:r>
    </w:p>
    <w:p w:rsidR="002871DE" w:rsidRPr="008B52D3" w:rsidRDefault="002871DE" w:rsidP="002871DE">
      <w:pPr>
        <w:pStyle w:val="NormalHanging12a"/>
      </w:pPr>
      <w:r w:rsidRPr="008B52D3">
        <w:t>–</w:t>
      </w:r>
      <w:r w:rsidRPr="008B52D3">
        <w:tab/>
        <w:t>uzimajući u obzir članak 54. Poslovnika,</w:t>
      </w:r>
    </w:p>
    <w:p w:rsidR="002871DE" w:rsidRPr="008B52D3" w:rsidRDefault="002871DE" w:rsidP="002871DE">
      <w:pPr>
        <w:pStyle w:val="NormalHanging12a"/>
      </w:pPr>
      <w:r w:rsidRPr="008B52D3">
        <w:t>–</w:t>
      </w:r>
      <w:r w:rsidRPr="008B52D3">
        <w:tab/>
        <w:t>uzimajući u obzir mišljenje Odbora za kulturu i obrazovanje,</w:t>
      </w:r>
    </w:p>
    <w:p w:rsidR="002871DE" w:rsidRPr="008B52D3" w:rsidRDefault="002871DE" w:rsidP="002871DE">
      <w:pPr>
        <w:pStyle w:val="NormalHanging12a"/>
      </w:pPr>
      <w:r w:rsidRPr="008B52D3">
        <w:t>–</w:t>
      </w:r>
      <w:r w:rsidRPr="008B52D3">
        <w:tab/>
        <w:t>uzimajući u obzir izvješće Odbora za unutarnje tržište i zaštitu potrošača (A9</w:t>
      </w:r>
      <w:r w:rsidRPr="008B52D3">
        <w:noBreakHyphen/>
        <w:t>0397/2023),</w:t>
      </w:r>
    </w:p>
    <w:p w:rsidR="002871DE" w:rsidRPr="008B52D3" w:rsidRDefault="002871DE" w:rsidP="002871DE">
      <w:pPr>
        <w:pStyle w:val="NormalHanging12a"/>
      </w:pPr>
      <w:r w:rsidRPr="008B52D3">
        <w:t>A.</w:t>
      </w:r>
      <w:r w:rsidRPr="008B52D3">
        <w:tab/>
        <w:t>budući da svijet prolazi kroz dosad neviđenu preobrazbu obilježenu digitalizacijom, koja dovodi do korjenitih promjena u svim sferama našeg gospodarskog, političkog i društvenog života;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B.</w:t>
      </w:r>
      <w:r w:rsidRPr="008B52D3">
        <w:tab/>
        <w:t>budući da digitalizacija sa sobom donosi brojne mogućnosti u područjima kao što su medicina, kultura, obrazovanje, gospodarstvo, sigurnost i provedba zakonodavstva te da može doprinijeti rješavanju globalnih problema povezanih sa siromaštvom i nejednakošću, održivošću te demokratizacijom procesa i pristupa obrazovanju i znanju; budući da nudi i nove mogućnosti za ubrzanje procesa prelaska na održivija i pravednija društva ako se dobro usmjeri odgovarajućim politikama; budući da su i dalje potrebna znatna ulaganja kako bi se riješio problem digitalnog jaza koji trenutačno utječe na 46 % Europljana;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C.</w:t>
      </w:r>
      <w:r w:rsidRPr="008B52D3">
        <w:tab/>
        <w:t xml:space="preserve">budući da digitalna transformacija podrazumijeva i znatne izazove zbog kojih bismo mogli preispitati mnoge koncepte i norme koji su dosad bili temelj našeg gospodarskog i društvenog napretka, a da pritom očuvamo naša temeljna načela i vrijednosti kao što su kulturne politike i zakonodavstvo o autorskom pravu; budući da u digitalnom gospodarstvu postoji prekomjerna koncentracija tržišta; naglašava da je potrebno </w:t>
      </w:r>
      <w:r w:rsidRPr="008B52D3">
        <w:lastRenderedPageBreak/>
        <w:t>smanjiti tehnološku ovisnost o trećim zemljama prelaskom na europski pristup virtualnim svjetovima, koji obuhvaća i veće i manje subjekte na različitim razinama lanca vrijednosti;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D.</w:t>
      </w:r>
      <w:r w:rsidRPr="008B52D3">
        <w:tab/>
        <w:t>budući da je u EU-u svijest o potencijalu tehnologija u nastajanju i izazovima koje donosi gomilanje moći digitalnih divova potaknula potrebu za ponovnim uspostavljanjem jednakih uvjeta na digitalnom tržištu, što je dovelo do političkog i zakonodavnog djelovanja; budući da je zelena i digitalna tranzicija jedno od prioritetnih područja djelovanja i oblikovanja politika institucija EU-a, koje su uspostavile pravila u skladu s vrijednostima EU-a, načelima pravednosti i poštenog tržišnog natjecanja i temeljnim pravima te pritom osigurale stratešku autonomiju i neovisnost;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E.</w:t>
      </w:r>
      <w:r w:rsidRPr="008B52D3">
        <w:tab/>
        <w:t>budući da prijelaz na Web 4.0 i razvoj virtualnih svjetova mogu postati važan dio budućnosti digitalizacije i biti među važnim ključnim elementima za dovršenje jedinstvenog digitalnog tržišta; smatra da bi digitalizaciju, koja je sastavni dio Weba 4.0, trebalo skladno integrirati u jedinstveno digitalno tržište bez stvaranja prepreka; uviđa da, iako virtualni svjetovi mogu nadopuniti stvarni svijet kao dodatni alat, oni ga ne bi trebali zamijeniti i ne bi trebali dovesti do isključivanja potrošača;</w:t>
      </w:r>
    </w:p>
    <w:p w:rsidR="002871DE" w:rsidRPr="008B52D3" w:rsidRDefault="002871DE" w:rsidP="002871DE">
      <w:pPr>
        <w:pStyle w:val="NormalHanging12a"/>
      </w:pPr>
      <w:r w:rsidRPr="008B52D3">
        <w:t>F.</w:t>
      </w:r>
      <w:r w:rsidRPr="008B52D3">
        <w:tab/>
        <w:t xml:space="preserve">budući da virtualni svjetovi predstavljaju znatne rizike u različitim područjima, kao što je mentalno zdravlje, tržišno natjecanje, zaštita podataka i zaštita potrošača, među ostalim za ranjive skupine kao što su maloljetnici, starije osobe i osobe s invaliditetom; budući da su potrebna i daljnja istraživanja u tom području; budući da virtualni svjetovi također predstavljaju višestruke izazove koji uključuju, među ostalim, sadržaj koji su izradili korisnici, prava intelektualnog vlasništva, mjere </w:t>
      </w:r>
      <w:proofErr w:type="spellStart"/>
      <w:r w:rsidRPr="008B52D3">
        <w:t>kibernetičke</w:t>
      </w:r>
      <w:proofErr w:type="spellEnd"/>
      <w:r w:rsidRPr="008B52D3">
        <w:t xml:space="preserve"> sigurnosti i temeljna ljudska prava; budući da iskustvo virtualnih svjetova može izazvati poteškoće ženama; prema podacima Europskog instituta za ravnopravnost spolova svaka deseta žena doživjela je neki oblik nasilja na internetu od svoje 15. godine; budući da je posebna izvjestiteljica UN-a za nasilje nad ženama izjavila da će nove tehnologije „neizbježno dovesti do različitih i novih oblika nasilja nad ženama na internetu”; smatra da bi se neravnoteža između potrošača i trgovca na internetu mogla dodatno pogoršati u virtualnim svjetovima; ističe da tehnologije ne smiju biti osmišljene tako da manipuliraju ponašanjem potrošača; prima na znanje porast broja i vrsta proizvoda, među ostalim financijskih proizvoda, povezanih s virtualnim svjetovima kao što je kupnja virtualne imovine, </w:t>
      </w:r>
      <w:proofErr w:type="spellStart"/>
      <w:r w:rsidRPr="008B52D3">
        <w:t>avatara</w:t>
      </w:r>
      <w:proofErr w:type="spellEnd"/>
      <w:r w:rsidRPr="008B52D3">
        <w:t xml:space="preserve"> itd.; ističe potrebu za ciljanim studijama i proširenim savjetovanjem sa stručnjacima u nizu područja, od gospodarstva i psihologije do </w:t>
      </w:r>
      <w:proofErr w:type="spellStart"/>
      <w:r w:rsidRPr="008B52D3">
        <w:t>neuroznanosti</w:t>
      </w:r>
      <w:proofErr w:type="spellEnd"/>
      <w:r w:rsidRPr="008B52D3">
        <w:t>, kako bi se razvio odgovarajući zakonodavni okvir; pozdravlja rad sektora u tom pogledu i pritom naglašava da se može učiniti više;</w:t>
      </w:r>
    </w:p>
    <w:p w:rsidR="002871DE" w:rsidRPr="008B52D3" w:rsidRDefault="002871DE" w:rsidP="002871DE">
      <w:pPr>
        <w:pStyle w:val="Normal12a24b"/>
      </w:pPr>
      <w:r w:rsidRPr="008B52D3">
        <w:rPr>
          <w:rStyle w:val="BoldItalic"/>
        </w:rPr>
        <w:t>Opća načela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1.</w:t>
      </w:r>
      <w:r w:rsidRPr="008B52D3">
        <w:tab/>
        <w:t>pozdravlja komunikaciju Komisije od 11. srpnja 2023. naslovljenu „</w:t>
      </w:r>
      <w:proofErr w:type="spellStart"/>
      <w:r w:rsidRPr="008B52D3">
        <w:t>An</w:t>
      </w:r>
      <w:proofErr w:type="spellEnd"/>
      <w:r w:rsidRPr="008B52D3">
        <w:t xml:space="preserve"> EU </w:t>
      </w:r>
      <w:proofErr w:type="spellStart"/>
      <w:r w:rsidRPr="008B52D3">
        <w:t>initiative</w:t>
      </w:r>
      <w:proofErr w:type="spellEnd"/>
      <w:r w:rsidRPr="008B52D3">
        <w:t xml:space="preserve"> on Web 4.0 </w:t>
      </w:r>
      <w:proofErr w:type="spellStart"/>
      <w:r w:rsidRPr="008B52D3">
        <w:t>and</w:t>
      </w:r>
      <w:proofErr w:type="spellEnd"/>
      <w:r w:rsidRPr="008B52D3">
        <w:t xml:space="preserve"> </w:t>
      </w:r>
      <w:proofErr w:type="spellStart"/>
      <w:r w:rsidRPr="008B52D3">
        <w:t>virtual</w:t>
      </w:r>
      <w:proofErr w:type="spellEnd"/>
      <w:r w:rsidRPr="008B52D3">
        <w:t xml:space="preserve"> </w:t>
      </w:r>
      <w:proofErr w:type="spellStart"/>
      <w:r w:rsidRPr="008B52D3">
        <w:t>worlds</w:t>
      </w:r>
      <w:proofErr w:type="spellEnd"/>
      <w:r w:rsidRPr="008B52D3">
        <w:t xml:space="preserve">: a </w:t>
      </w:r>
      <w:proofErr w:type="spellStart"/>
      <w:r w:rsidRPr="008B52D3">
        <w:t>head</w:t>
      </w:r>
      <w:proofErr w:type="spellEnd"/>
      <w:r w:rsidRPr="008B52D3">
        <w:t xml:space="preserve"> start </w:t>
      </w:r>
      <w:proofErr w:type="spellStart"/>
      <w:r w:rsidRPr="008B52D3">
        <w:t>in</w:t>
      </w:r>
      <w:proofErr w:type="spellEnd"/>
      <w:r w:rsidRPr="008B52D3">
        <w:t xml:space="preserve"> </w:t>
      </w:r>
      <w:proofErr w:type="spellStart"/>
      <w:r w:rsidRPr="008B52D3">
        <w:t>the</w:t>
      </w:r>
      <w:proofErr w:type="spellEnd"/>
      <w:r w:rsidRPr="008B52D3">
        <w:t xml:space="preserve"> </w:t>
      </w:r>
      <w:proofErr w:type="spellStart"/>
      <w:r w:rsidRPr="008B52D3">
        <w:t>next</w:t>
      </w:r>
      <w:proofErr w:type="spellEnd"/>
      <w:r w:rsidRPr="008B52D3">
        <w:t xml:space="preserve"> </w:t>
      </w:r>
      <w:proofErr w:type="spellStart"/>
      <w:r w:rsidRPr="008B52D3">
        <w:t>technological</w:t>
      </w:r>
      <w:proofErr w:type="spellEnd"/>
      <w:r w:rsidRPr="008B52D3">
        <w:t xml:space="preserve"> </w:t>
      </w:r>
      <w:proofErr w:type="spellStart"/>
      <w:r w:rsidRPr="008B52D3">
        <w:t>transition</w:t>
      </w:r>
      <w:proofErr w:type="spellEnd"/>
      <w:r w:rsidRPr="008B52D3">
        <w:t xml:space="preserve"> („Inicijativa EU-a za Web 4.0 i virtualne svjetove: prednost u pripremi za sljedeću tehnološku tranziciju”) (COM(2023)0442); ističe da svaka strategija mora biti održiva i usmjerena na čovjeka te pritom štititi vrijednosti Europske unije;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2.</w:t>
      </w:r>
      <w:r w:rsidRPr="008B52D3">
        <w:tab/>
        <w:t xml:space="preserve">prima na znanje poteškoće koje nastaju jer nema općepriznate ili dogovorene definicije virtualnih svjetova, što također dovodi do nedostatka koordinacije politika na nacionalnoj i višoj razini; prima na znanje nastojanja Komisije da definira virtualne svjetove u skladu s općeprihvaćenim značajkama kao što su </w:t>
      </w:r>
      <w:proofErr w:type="spellStart"/>
      <w:r w:rsidRPr="008B52D3">
        <w:t>imerzivnost</w:t>
      </w:r>
      <w:proofErr w:type="spellEnd"/>
      <w:r w:rsidRPr="008B52D3">
        <w:t xml:space="preserve">, </w:t>
      </w:r>
      <w:proofErr w:type="spellStart"/>
      <w:r w:rsidRPr="008B52D3">
        <w:t>sinkronicitet</w:t>
      </w:r>
      <w:proofErr w:type="spellEnd"/>
      <w:r w:rsidRPr="008B52D3">
        <w:t xml:space="preserve"> i </w:t>
      </w:r>
      <w:r w:rsidRPr="008B52D3">
        <w:lastRenderedPageBreak/>
        <w:t>postojanost;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3.</w:t>
      </w:r>
      <w:r w:rsidRPr="008B52D3">
        <w:tab/>
        <w:t>naglašava da treba jasno razlikovati postojeće digitalne instrumente i druge moguće tehnologije u nastajanju na temelju istraživanja, pouzdanih znanstvenih studija i tehničkih posebnosti te pritom razmotriti potrebu za standardizacijom sektora;</w:t>
      </w:r>
    </w:p>
    <w:p w:rsidR="002871DE" w:rsidRPr="008B52D3" w:rsidRDefault="002871DE" w:rsidP="002871DE">
      <w:pPr>
        <w:pStyle w:val="Normal12a24b"/>
      </w:pPr>
      <w:r w:rsidRPr="008B52D3">
        <w:rPr>
          <w:rStyle w:val="BoldItalic"/>
        </w:rPr>
        <w:t>Unutarnje tržište i zaštita potrošača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4.</w:t>
      </w:r>
      <w:r w:rsidRPr="008B52D3">
        <w:tab/>
        <w:t>primjećuje da je važno pažljivo ocijeniti sva pitanja koja se odnose na razvoj virtualnih svjetova i njihovu učinkovitu obuhvaćenost postojećim zakonodavstvom iako se u Komunikaciji Europske komisije još ne navodi potreba za preciznim zakonodavnim mjerama; ističe da istinsko jedinstveno digitalno tržište može znatno doprinijeti razvoju virtualnih svjetova i ojačati sposobnost EU-a da bude konkurentan na svjetskoj razini; smatra da je ključno imati jasan, sveobuhvatan i regulatorni okvir, posebno kada tehnologija bude u potpunosti razvijena, kako bi se osigurali jednaki uvjeti kojima se iskorištava puni potencijal virtualnih svjetova i omogućuje njihov gospodarski rast;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5.</w:t>
      </w:r>
      <w:r w:rsidRPr="008B52D3">
        <w:tab/>
        <w:t>pozdravlja najnovije regulatorne promjene u tom pogledu, kao što su Akt o digitalnim uslugama (Uredba (EU) 2022/2065</w:t>
      </w:r>
      <w:r w:rsidRPr="008B52D3">
        <w:rPr>
          <w:rStyle w:val="FootnoteReference"/>
        </w:rPr>
        <w:footnoteReference w:id="1"/>
      </w:r>
      <w:r w:rsidRPr="008B52D3">
        <w:t>), Akt o digitalnim tržištima (Uredba (EU) 2022/1925</w:t>
      </w:r>
      <w:r w:rsidRPr="008B52D3">
        <w:rPr>
          <w:rStyle w:val="FootnoteReference"/>
        </w:rPr>
        <w:footnoteReference w:id="2"/>
      </w:r>
      <w:r w:rsidRPr="008B52D3">
        <w:t xml:space="preserve">) i Akt o podacima (2022/0047(COD)) koje će uskoro odobriti Vijeće i Europski parlament; prima na znanje i prijedloge akata o umjetnoj inteligenciji i </w:t>
      </w:r>
      <w:proofErr w:type="spellStart"/>
      <w:r w:rsidRPr="008B52D3">
        <w:t>kibernetičkoj</w:t>
      </w:r>
      <w:proofErr w:type="spellEnd"/>
      <w:r w:rsidRPr="008B52D3">
        <w:t xml:space="preserve"> otpornosti te aktualne pregovore o njima; smatra da bi Komisija trebala redovito provoditi provjere primjerenosti i dosljednosti zakonodavnog okvira jedinstvenog digitalnog tržišta kako bi se razmotrile nove mogućnosti, rizici ili druga pitanja koja se mogu pojaviti u virtualnom svijetu i prema potrebi podnositi zakonodavne prijedloge; smatra da bi rezultate tih provjera trebalo javno objaviti;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6.</w:t>
      </w:r>
      <w:r w:rsidRPr="008B52D3">
        <w:tab/>
        <w:t xml:space="preserve">pozdravlja predanost Komisije praćenju razvoja virtualnih svjetova; poziva Komisiju da svake dvije godine sastavi izvješće o toj temi i da ga proslijedi Parlamentu i Vijeću; traži od Komisije da obrati pozornost na moguću pojavu problema na Webu 4.0, a koji već postoje na Webu 3.0, kao što su, među ostalim, širenje dezinformacija, širenje nezakonitog sadržaja, krađa digitalnog identiteta, </w:t>
      </w:r>
      <w:proofErr w:type="spellStart"/>
      <w:r w:rsidRPr="008B52D3">
        <w:t>kibernetički</w:t>
      </w:r>
      <w:proofErr w:type="spellEnd"/>
      <w:r w:rsidRPr="008B52D3">
        <w:t xml:space="preserve"> kriminal, kršenje prava intelektualnog vlasništva, </w:t>
      </w:r>
      <w:proofErr w:type="spellStart"/>
      <w:r w:rsidRPr="008B52D3">
        <w:t>kibernetički</w:t>
      </w:r>
      <w:proofErr w:type="spellEnd"/>
      <w:r w:rsidRPr="008B52D3">
        <w:t xml:space="preserve"> terorizam, zlouporaba osobnih podataka, dizajn digitalnih usluga koji utječe na promjene ponašanja ili koji stvara ovisnost, prijevare, teroristički sadržaji na internetu, seksualno zlostavljanje maloljetnika i </w:t>
      </w:r>
      <w:proofErr w:type="spellStart"/>
      <w:r w:rsidRPr="008B52D3">
        <w:t>kibernetičko</w:t>
      </w:r>
      <w:proofErr w:type="spellEnd"/>
      <w:r w:rsidRPr="008B52D3">
        <w:t xml:space="preserve"> zlostavljanje, te da razmotri relevantno postojeće zakonodavstvo, primjerice Akt o digitalnim uslugama, i predstojeća zakonodavstva čiji je cilj rješavanje tih pitanja;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7.</w:t>
      </w:r>
      <w:r w:rsidRPr="008B52D3">
        <w:tab/>
        <w:t xml:space="preserve">ističe da virtualni svjetovi imaju značajan gospodarski potencijal i da rastu potrebe za ulaganjima u potrebnu infrastrukturu te s time povezane aktivnosti istraživanja, inovacije kao i prekvalifikacije i usavršavanje; naglašava da bi ukupni trošak tih ulaganja trebao biti usmjeren na neutralan učinak na konačne potrošačke cijene; uviđa potrebu za povećanjem dostupnih sredstava na razini EU-a kako bi se ispunili ti ciljevi; </w:t>
      </w:r>
      <w:r w:rsidRPr="008B52D3">
        <w:lastRenderedPageBreak/>
        <w:t xml:space="preserve">ističe ulogu virtualne stvarnosti, proširene stvarnosti i mješovite stvarnosti kao ključnih tehnologija potrebnih za razvoj i rast virtualnih svjetova, koje korisnicima pružaju </w:t>
      </w:r>
      <w:proofErr w:type="spellStart"/>
      <w:r w:rsidRPr="008B52D3">
        <w:t>imerzivna</w:t>
      </w:r>
      <w:proofErr w:type="spellEnd"/>
      <w:r w:rsidRPr="008B52D3">
        <w:t xml:space="preserve"> i interaktivna iskustva uz napomenu da industrijske primjene i potrošačka upotreba predstavljaju različite izazove i zahtijevaju različite pristupe; prima na znanje i da razvoj nekih modela umjetne inteligencije, kao što je generativna umjetna inteligencija, može imati ključnu ulogu u stvaranju i obogaćivanju virtualnih okruženja; u tom pogledu poziva Komisiju da također pomno prati brzo širenje te tehnologije i njezin utjecaj na digitalni ekosustav;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8.</w:t>
      </w:r>
      <w:r w:rsidRPr="008B52D3">
        <w:tab/>
        <w:t>ukazuje i na to da bi te promjene mogle pozitivno utjecati na zapošljavanje, među ostalim, otvaranjem novih radnih mjesta u područjima kao što su arhitektura virtualnog svijeta ili stvaranje sadržaja; naglašava potrebu za ulaganjem u inicijative za prekvalifikaciju postojeće radne snage u EU-u, osobito za nedovoljno zastupljene skupine u tom sektoru; ističe da je važno promicati razvoj odgovarajućih vještina i ulagati u njega kako bi se u EU-u osigurala ponuda talentiranih i kvalificiranih radnika osposobljenih za te poslove te stvoriti privlačne uvjete kako bi se talentirani radnici zadržali u EU-u, privukli strani talentirani radnici i promicalo poduzetništvo i inovacije na području EU-a;</w:t>
      </w:r>
    </w:p>
    <w:p w:rsidR="002871DE" w:rsidRPr="008B52D3" w:rsidRDefault="0079332C" w:rsidP="008B52D3">
      <w:pPr>
        <w:pStyle w:val="NormalHanging12a"/>
        <w:rPr>
          <w:szCs w:val="24"/>
        </w:rPr>
      </w:pPr>
      <w:r w:rsidRPr="008B52D3">
        <w:t>9.</w:t>
      </w:r>
      <w:r w:rsidRPr="008B52D3">
        <w:tab/>
      </w:r>
      <w:r w:rsidR="002871DE" w:rsidRPr="008B52D3">
        <w:t>ukazuje na pozitivan i negativan mogući utjecaj novih tehnologija i proizvoda na potrošače, njihovo zdravlje te njihov društveni i gospodarski život; ističe moguće koristi virtualnih svjetova u industrijskom i profesionalnom okruženju, posebno za osposobljavanje i izradu prototipa, pri čemu je svjestan šireg učinka na radnike; naglašava da je potrebno osigurati poštovanje radničkih prava i visoku razinu zaštite radnika;</w:t>
      </w:r>
    </w:p>
    <w:p w:rsidR="002871DE" w:rsidRPr="008B52D3" w:rsidRDefault="0079332C" w:rsidP="002871DE">
      <w:pPr>
        <w:pStyle w:val="NormalHanging12a"/>
        <w:rPr>
          <w:szCs w:val="24"/>
        </w:rPr>
      </w:pPr>
      <w:r w:rsidRPr="008B52D3">
        <w:t>10</w:t>
      </w:r>
      <w:r w:rsidR="002871DE" w:rsidRPr="008B52D3">
        <w:t>.</w:t>
      </w:r>
      <w:r w:rsidR="002871DE" w:rsidRPr="008B52D3">
        <w:tab/>
        <w:t xml:space="preserve">podsjeća da unutar EU-a postoji dinamičan ekosustav u razvoju iako većina poduzeća koja su predvodnici u razvoju virtualnih svjetova ima poslovni </w:t>
      </w:r>
      <w:proofErr w:type="spellStart"/>
      <w:r w:rsidR="002871DE" w:rsidRPr="008B52D3">
        <w:t>nastan</w:t>
      </w:r>
      <w:proofErr w:type="spellEnd"/>
      <w:r w:rsidR="002871DE" w:rsidRPr="008B52D3">
        <w:t xml:space="preserve"> izvan EU-a; naglašava da EU treba preuzeti vodeću ulogu u oblikovanju virtualnih svjetova kao ekosustava koji poštuju i promiču vrijednosti EU-a, temeljna prava i najvišu razinu zaštite potrošača; ukazuje na činjenicu da je važno poticati stvaranje jednakih uvjeta kojima se promiče širenje europskih malih i srednjih poduzeća te nastajanje konkurentnih europskih poduzeća, kao i decentraliziranih i </w:t>
      </w:r>
      <w:proofErr w:type="spellStart"/>
      <w:r w:rsidR="002871DE" w:rsidRPr="008B52D3">
        <w:t>interoperabilnih</w:t>
      </w:r>
      <w:proofErr w:type="spellEnd"/>
      <w:r w:rsidR="002871DE" w:rsidRPr="008B52D3">
        <w:t xml:space="preserve"> ekosustava; </w:t>
      </w:r>
    </w:p>
    <w:p w:rsidR="002871DE" w:rsidRPr="008B52D3" w:rsidRDefault="0079332C" w:rsidP="008B52D3">
      <w:pPr>
        <w:pStyle w:val="NormalHanging12a"/>
        <w:rPr>
          <w:szCs w:val="24"/>
        </w:rPr>
      </w:pPr>
      <w:r w:rsidRPr="008B52D3">
        <w:t>11.</w:t>
      </w:r>
      <w:r w:rsidRPr="008B52D3">
        <w:tab/>
      </w:r>
      <w:r w:rsidR="002871DE" w:rsidRPr="008B52D3">
        <w:t>naglašava da treba stvoriti odgovarajući okvir politike i sudjelovati u međunarodnim dijalozima, posebno s trećim zemljama istomišljenicama, kako bi se postigao koordinirani pristup virtualnim svjetovima; naglašava važnost podizanja svijesti europskih građana o odgovornom korištenju u tim digitalnim domenama;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1</w:t>
      </w:r>
      <w:r w:rsidR="0079332C" w:rsidRPr="008B52D3">
        <w:t>2</w:t>
      </w:r>
      <w:r w:rsidRPr="008B52D3">
        <w:t>.</w:t>
      </w:r>
      <w:r w:rsidRPr="008B52D3">
        <w:tab/>
        <w:t xml:space="preserve">uviđa da su razna poduzeća stvorila višestruke virtualne svjetove u nedostatku otvorenih i zajedničkih standarda, propisa i </w:t>
      </w:r>
      <w:proofErr w:type="spellStart"/>
      <w:r w:rsidRPr="008B52D3">
        <w:t>interoperabilnih</w:t>
      </w:r>
      <w:proofErr w:type="spellEnd"/>
      <w:r w:rsidRPr="008B52D3">
        <w:t xml:space="preserve"> platformi; ističe da te virtualne svjetove trenutačno razvija ograničen broj poduzeća koja raspolažu resursima i financijskim sredstvima potrebnima za njihov razvoj; smatra da </w:t>
      </w:r>
      <w:proofErr w:type="spellStart"/>
      <w:r w:rsidRPr="008B52D3">
        <w:t>interoperabilnost</w:t>
      </w:r>
      <w:proofErr w:type="spellEnd"/>
      <w:r w:rsidRPr="008B52D3">
        <w:t xml:space="preserve"> i otvoreni standardi mogu doprinijeti sprečavanju </w:t>
      </w:r>
      <w:proofErr w:type="spellStart"/>
      <w:r w:rsidRPr="008B52D3">
        <w:t>kvazimonopola</w:t>
      </w:r>
      <w:proofErr w:type="spellEnd"/>
      <w:r w:rsidRPr="008B52D3">
        <w:t xml:space="preserve"> ili zlouporabe dominantnog položaja na štetu potrošača i europskih poduzeća, posebno malih i srednjih poduzeća;</w:t>
      </w:r>
    </w:p>
    <w:p w:rsidR="002871DE" w:rsidRPr="008B52D3" w:rsidRDefault="0079332C" w:rsidP="008B52D3">
      <w:pPr>
        <w:pStyle w:val="NormalHanging12a"/>
        <w:rPr>
          <w:szCs w:val="24"/>
        </w:rPr>
      </w:pPr>
      <w:r w:rsidRPr="008B52D3">
        <w:t>13.</w:t>
      </w:r>
      <w:r w:rsidRPr="008B52D3">
        <w:tab/>
      </w:r>
      <w:r w:rsidR="002871DE" w:rsidRPr="008B52D3">
        <w:t xml:space="preserve">pozdravlja predanost Komisije suradnji s postojećim </w:t>
      </w:r>
      <w:proofErr w:type="spellStart"/>
      <w:r w:rsidR="002871DE" w:rsidRPr="008B52D3">
        <w:t>višedioničkim</w:t>
      </w:r>
      <w:proofErr w:type="spellEnd"/>
      <w:r w:rsidR="002871DE" w:rsidRPr="008B52D3">
        <w:t xml:space="preserve"> institucijama za upravljanje internetom kako bi se razvili zajednički standardi upravljanja i pravila te potiče Komisiju da podrži aktualne </w:t>
      </w:r>
      <w:proofErr w:type="spellStart"/>
      <w:r w:rsidR="002871DE" w:rsidRPr="008B52D3">
        <w:t>višedioničke</w:t>
      </w:r>
      <w:proofErr w:type="spellEnd"/>
      <w:r w:rsidR="002871DE" w:rsidRPr="008B52D3">
        <w:t xml:space="preserve"> inicijative za razvoj standarda, uključujući one udruga potrošača i drugih organizacija civilnog društva; preporučuje da </w:t>
      </w:r>
      <w:r w:rsidR="002871DE" w:rsidRPr="008B52D3">
        <w:lastRenderedPageBreak/>
        <w:t xml:space="preserve">se provede sveobuhvatna studija o </w:t>
      </w:r>
      <w:proofErr w:type="spellStart"/>
      <w:r w:rsidR="002871DE" w:rsidRPr="008B52D3">
        <w:t>interoperabilnim</w:t>
      </w:r>
      <w:proofErr w:type="spellEnd"/>
      <w:r w:rsidR="002871DE" w:rsidRPr="008B52D3">
        <w:t xml:space="preserve"> virtualnim svjetovima; ističe potencijal koji stvaranje europskih podatkovnih prostora ima za razvoj virtualnih svjetova;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1</w:t>
      </w:r>
      <w:r w:rsidR="0079332C" w:rsidRPr="008B52D3">
        <w:t>4</w:t>
      </w:r>
      <w:r w:rsidRPr="008B52D3">
        <w:t>.</w:t>
      </w:r>
      <w:r w:rsidRPr="008B52D3">
        <w:tab/>
        <w:t xml:space="preserve">naglašava da je važno osigurati otvorenost, </w:t>
      </w:r>
      <w:proofErr w:type="spellStart"/>
      <w:r w:rsidRPr="008B52D3">
        <w:t>uključivost</w:t>
      </w:r>
      <w:proofErr w:type="spellEnd"/>
      <w:r w:rsidRPr="008B52D3">
        <w:t xml:space="preserve"> i pristupačnost virtualnih svjetova, što će doprinijeti većem sudjelovanju osoba s invaliditetom u novom digitalnom okruženju; ukazuje na činjenicu da virtualni svjetovi imaju potencijal za povećanje sudjelovanja osoba s invaliditetom u različitim aktivnostima kao što je virtualni turizam; upozorava da će se korisnici s invaliditetom u virtualnim svjetovima možda susresti s izazovima zbog nedostatka pristupačnosti ili koncepata koji bi zadovoljili njihove posebne potrebe; poziva Komisiju da prati jesu li Europski akt o pristupačnosti</w:t>
      </w:r>
      <w:r w:rsidRPr="008B52D3">
        <w:rPr>
          <w:rStyle w:val="FootnoteReference"/>
        </w:rPr>
        <w:footnoteReference w:id="3"/>
      </w:r>
      <w:r w:rsidRPr="008B52D3">
        <w:t xml:space="preserve"> i Direktiva o pristupačnosti interneta</w:t>
      </w:r>
      <w:r w:rsidRPr="008B52D3">
        <w:rPr>
          <w:rStyle w:val="FootnoteReference"/>
        </w:rPr>
        <w:footnoteReference w:id="4"/>
      </w:r>
      <w:r w:rsidRPr="008B52D3">
        <w:t xml:space="preserve"> prikladni za osiguravanje pristupačnosti u virtualnim svjetovima; naglašava i da treba uvažiti posebne potrebe i prava djece;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1</w:t>
      </w:r>
      <w:r w:rsidR="0079332C" w:rsidRPr="008B52D3">
        <w:t>5</w:t>
      </w:r>
      <w:r w:rsidRPr="008B52D3">
        <w:t>.</w:t>
      </w:r>
      <w:r w:rsidRPr="008B52D3">
        <w:tab/>
        <w:t>smatra da bi rasprava o potrebi za identifikacijom korisnika u virtualnim svjetovima trebala biti prioritet u procesu razvoja virtualnih svjetova i da bi trebalo temeljito razmisliti o mogućoj konfiguraciji tog digitalnog okruženja, imajući na umu da u nekim slučajevima anonimnost može biti poželjna; ističe da je anonimnost u digitalnom okruženju uvijek moguća pod korisničkim imenom (pseudonimom) te poziva Komisiju da procijeni potencijalnu upotrebu europskog digitalnog identiteta (</w:t>
      </w:r>
      <w:proofErr w:type="spellStart"/>
      <w:r w:rsidRPr="008B52D3">
        <w:t>eID</w:t>
      </w:r>
      <w:proofErr w:type="spellEnd"/>
      <w:r w:rsidRPr="008B52D3">
        <w:t>) i lisnice u virtualnim svjetovima;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1</w:t>
      </w:r>
      <w:r w:rsidR="0079332C" w:rsidRPr="008B52D3">
        <w:t>6</w:t>
      </w:r>
      <w:r w:rsidRPr="008B52D3">
        <w:t>.</w:t>
      </w:r>
      <w:r w:rsidRPr="008B52D3">
        <w:tab/>
        <w:t>ponovno ističe važnost zaštite osobnih podataka korisnika i njihove privatnosti; ističe da Opća uredba o zaštiti podataka</w:t>
      </w:r>
      <w:r w:rsidRPr="008B52D3">
        <w:rPr>
          <w:vertAlign w:val="superscript"/>
        </w:rPr>
        <w:footnoteReference w:id="5"/>
      </w:r>
      <w:r w:rsidRPr="008B52D3">
        <w:t xml:space="preserve"> možda nije dovoljna za rješavanje svih izazova povezanih sa zaštitom podataka u međusobno povezanim virtualnim svjetovima; traži da se posebna pozornost posveti utjecaju korisnički generiranog sadržaja na zaštitu podataka, kao i obradi osjetljivih podataka kao što su biometrijski podaci i podaci o ponašanju, emocionalne reakcije i taktilne informacije, te da se pritom osigura okruženje pogodno za inovacije;</w:t>
      </w:r>
    </w:p>
    <w:p w:rsidR="002871DE" w:rsidRPr="008B52D3" w:rsidRDefault="002871DE" w:rsidP="002871DE">
      <w:pPr>
        <w:pStyle w:val="NormalHanging12a"/>
      </w:pPr>
      <w:r w:rsidRPr="008B52D3">
        <w:t>1</w:t>
      </w:r>
      <w:r w:rsidR="0079332C" w:rsidRPr="008B52D3">
        <w:t>7</w:t>
      </w:r>
      <w:r w:rsidRPr="008B52D3">
        <w:t>.</w:t>
      </w:r>
      <w:r w:rsidRPr="008B52D3">
        <w:tab/>
        <w:t>ističe da je sudjelovanje u virtualnom svijetu dobrovoljno i traži od Komisije da razmotri uvođenje prava na trajno brisanje kako bi potrošači mogli zatražiti brisanje svojih podataka i profila iz svih aplikacija, internetskih igara i virtualnih okruženja;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1</w:t>
      </w:r>
      <w:r w:rsidR="0079332C" w:rsidRPr="008B52D3">
        <w:t>8</w:t>
      </w:r>
      <w:r w:rsidRPr="008B52D3">
        <w:t>.</w:t>
      </w:r>
      <w:r w:rsidRPr="008B52D3">
        <w:tab/>
        <w:t>smatra da bi posebnu pozornost trebalo posvetiti dizajnu koji stvara ovisnost i tamnim uzorcima u tim virtualnim okruženjima; upozorava na moguće zdravstvene probleme koji mogu nastati zbog posjećivanja virtualnih svjetova, kao što su ovisnost, bolesti virtualne stvarnosti (</w:t>
      </w:r>
      <w:proofErr w:type="spellStart"/>
      <w:r w:rsidRPr="008B52D3">
        <w:t>kibernetičke</w:t>
      </w:r>
      <w:proofErr w:type="spellEnd"/>
      <w:r w:rsidRPr="008B52D3">
        <w:t xml:space="preserve"> bolesti) ili poremećaji spavanja; naglašava da su maloljetnici i mladi posebno izloženi tim zdravstvenim problemima, uključujući moguće učinke na njihov kognitivni razvoj, te naglašava potrebu za dobno primjerenim </w:t>
      </w:r>
      <w:r w:rsidRPr="008B52D3">
        <w:lastRenderedPageBreak/>
        <w:t>dizajnom i mjerama roditeljske kontrole kako bi ih se zaštitilo; također smatra da treba istražiti učinak tehnologija koje podrazumijevaju izravne i trajne izmjene na tijelu;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1</w:t>
      </w:r>
      <w:r w:rsidR="0079332C" w:rsidRPr="008B52D3">
        <w:t>9</w:t>
      </w:r>
      <w:r w:rsidRPr="008B52D3">
        <w:t>.</w:t>
      </w:r>
      <w:r w:rsidRPr="008B52D3">
        <w:tab/>
        <w:t xml:space="preserve">podsjeća da se virtualnim svjetovima i </w:t>
      </w:r>
      <w:proofErr w:type="spellStart"/>
      <w:r w:rsidRPr="008B52D3">
        <w:t>imerzivnim</w:t>
      </w:r>
      <w:proofErr w:type="spellEnd"/>
      <w:r w:rsidRPr="008B52D3">
        <w:t xml:space="preserve"> obrazovanjem mogu promicati prava djece na internetu u pogledu njihovog obrazovanja, osnaživanja, sudjelovanja i igre te pružiti jedinstvena iskustva koja mogu pomoći maloljetnicima da razviju zanimanje za učenje, primjerice učenjem kroz igru; napominje da takav angažman može pomoći maloljetnicima da razvijaju suradnju, komunikaciju, kritičko razmišljanje, inovacije i samopouzdanje; naglašava mogućnost rješavanja problema nedostatka vještina u EU-u i osposobljavanja budućih talenata; naglašava potrebu za obrazovnim programima kako bi se djeci i mladima pomoglo da se prilagode tehnološkim promjenama te da usvoje zdrav i uravnotežen pristup koji kombinira tradicionalnu društvenu interakciju s vremenom provedenim u virtualnom okruženju, čime bi se roditeljima osigurali i potrebni alati za nadzor i donošenje informiranih odluka o puštanju ili uključivanju njihove djece u virtualno okruženje;</w:t>
      </w:r>
    </w:p>
    <w:p w:rsidR="002871DE" w:rsidRPr="008B52D3" w:rsidRDefault="0079332C" w:rsidP="008B52D3">
      <w:pPr>
        <w:pStyle w:val="NormalHanging12a"/>
        <w:rPr>
          <w:szCs w:val="24"/>
        </w:rPr>
      </w:pPr>
      <w:r w:rsidRPr="008B52D3">
        <w:t>20.</w:t>
      </w:r>
      <w:r w:rsidRPr="008B52D3">
        <w:tab/>
      </w:r>
      <w:r w:rsidR="002871DE" w:rsidRPr="008B52D3">
        <w:t xml:space="preserve">napominje da treba istražiti utjecaj virtualne stvarnosti i drugih tehnologija na kognitivni razvoj i razvoj ponašanja; ističe moguće rizike koji su svojstveni ranom izlaganju zaslonima i prekomjernom vremenu provedenog ispred njih što može utjecati na dobrobit djece i njihov kognitivni, fizički, psihički i društveni razvoj; ustraje u provedbi informativnih kampanja o odgovornoj upotrebi zaslona; ističe potrebu za odgovarajućim osposobljavanjem odgojno-obrazovnih djelatnika kako bi se osiguralo da imaju potrebne digitalne vještine i da su digitalno pismeni; poziva Komisiju da potiče inicijative u kojima sveučilišta, tehnička učilišta i dionici iz industrije surađuju kako bi procijenili nedostatak vještina, zajednički osmislili planove i ojačali javno-privatnu suradnju u korist mladih u EU-u; ističe da je važno i u virtualnim svjetovima primijeniti najvišu razinu zaštite koja se pruža maloljetnicima u drugim </w:t>
      </w:r>
      <w:proofErr w:type="spellStart"/>
      <w:r w:rsidR="002871DE" w:rsidRPr="008B52D3">
        <w:t>izvanmrežnim</w:t>
      </w:r>
      <w:proofErr w:type="spellEnd"/>
      <w:r w:rsidR="002871DE" w:rsidRPr="008B52D3">
        <w:t xml:space="preserve"> i internetskim okruženjima. To se ne odnosi samo na zaštitu od nasilja, uznemiravanja, zlostavljanja i izlaganja nasilnom, seksističkom, rasističkom ili pornografskom sadržaju; naglašava da treba uvažiti posebne potrebe, slabosti i prava djece u virtualnim svjetovima; naglašava da je važno da su internetske usluge i proizvodi kojima se uglavnom koriste djeca razvijeni tako da su sami po sebi sigurni za njih;</w:t>
      </w:r>
    </w:p>
    <w:p w:rsidR="002871DE" w:rsidRPr="008B52D3" w:rsidRDefault="0079332C" w:rsidP="002871DE">
      <w:pPr>
        <w:pStyle w:val="NormalHanging12a"/>
        <w:rPr>
          <w:szCs w:val="24"/>
        </w:rPr>
      </w:pPr>
      <w:r w:rsidRPr="008B52D3">
        <w:t>21</w:t>
      </w:r>
      <w:r w:rsidR="002871DE" w:rsidRPr="008B52D3">
        <w:t>.</w:t>
      </w:r>
      <w:r w:rsidR="002871DE" w:rsidRPr="008B52D3">
        <w:tab/>
        <w:t xml:space="preserve">napominje da će virtualni svjetovi stvarati slike, grafičke prikaze i videozapise visoke rezolucije kako bi se omogućila </w:t>
      </w:r>
      <w:proofErr w:type="spellStart"/>
      <w:r w:rsidR="002871DE" w:rsidRPr="008B52D3">
        <w:t>imerzivna</w:t>
      </w:r>
      <w:proofErr w:type="spellEnd"/>
      <w:r w:rsidR="002871DE" w:rsidRPr="008B52D3">
        <w:t xml:space="preserve"> iskustva korisnika, što dodatno zahtijeva visokoučinkovitu infrastrukturu; napominje da će osobito </w:t>
      </w:r>
      <w:proofErr w:type="spellStart"/>
      <w:r w:rsidR="002871DE" w:rsidRPr="008B52D3">
        <w:t>niskolatentne</w:t>
      </w:r>
      <w:proofErr w:type="spellEnd"/>
      <w:r w:rsidR="002871DE" w:rsidRPr="008B52D3">
        <w:t xml:space="preserve"> i širokopojasne mobilne mreže sljedeće generacije kao i učinkovite bežične internetske veze, primjerice Wi-Fi 6, imati ključnu ulogu, kao i tehnologije poput računalstva na rubu mreže; podsjeća na izvješće Europskog revizorskog suda iz siječnja 2022. u kojem se procjenjuje da će ukupni trošak uvođenja 5G tehnologije u svim državama članicama do 2025. iznositi između 281 i 391 milijardu EUR, uključujući izgradnju nove 5G infrastrukture i modernizaciju postojeće infrastrukture;</w:t>
      </w:r>
    </w:p>
    <w:p w:rsidR="002871DE" w:rsidRPr="008B52D3" w:rsidRDefault="0079332C" w:rsidP="002871DE">
      <w:pPr>
        <w:pStyle w:val="NormalHanging12a"/>
        <w:rPr>
          <w:szCs w:val="24"/>
        </w:rPr>
      </w:pPr>
      <w:r w:rsidRPr="008B52D3">
        <w:t>22</w:t>
      </w:r>
      <w:r w:rsidR="002871DE" w:rsidRPr="008B52D3">
        <w:t>.</w:t>
      </w:r>
      <w:r w:rsidR="002871DE" w:rsidRPr="008B52D3">
        <w:tab/>
        <w:t xml:space="preserve">napominje sa zabrinutošću da bi sve veća upotreba virtualnih svjetova mogla isključiti i određene skupine ljudi koji nemaju osnovne vještine ili resurse za sudjelovanje u tom okruženju, ali i osobe koje žive u ruralnim i udaljenim područjima, npr. u najudaljenijim regijama; naglašava da je poticanje digitalne pismenosti i pristupa kvalitetnom i cjenovno pristupačnom internetu preduvjet za svaki okvir za virtualne svjetove na razini EU-a; poziva Komisiju da provede procjenu utemeljenu na dokazima o tome kako osigurati da se potrebna infrastruktura i uređaji potrebni za potporu razvoju i funkcioniranju virtualnih svjetova te prijelaz s Weba 3.0 na Web 4.0 dostave </w:t>
      </w:r>
      <w:r w:rsidR="002871DE" w:rsidRPr="008B52D3">
        <w:lastRenderedPageBreak/>
        <w:t xml:space="preserve">potrošačima, među ostalim u udaljenim područjima i kućanstvima s nižim dohotkom; ističe da istinsko jedinstveno tržište telekomunikacija ima ključnu ulogu u tome; upozorava na opasnosti financijskih transakcija u </w:t>
      </w:r>
      <w:proofErr w:type="spellStart"/>
      <w:r w:rsidR="002871DE" w:rsidRPr="008B52D3">
        <w:t>kriptovalutama</w:t>
      </w:r>
      <w:proofErr w:type="spellEnd"/>
      <w:r w:rsidR="002871DE" w:rsidRPr="008B52D3">
        <w:t xml:space="preserve">, posebno prijevare, koje bi se mogle dodatno pogoršati u virtualnim svjetovima; podsjeća i da nepovratnost mnogih transakcija povezanih s </w:t>
      </w:r>
      <w:proofErr w:type="spellStart"/>
      <w:r w:rsidR="002871DE" w:rsidRPr="008B52D3">
        <w:t>kriptovalutama</w:t>
      </w:r>
      <w:proofErr w:type="spellEnd"/>
      <w:r w:rsidR="002871DE" w:rsidRPr="008B52D3">
        <w:t xml:space="preserve"> također znači otvaranje novih kanala za paralelnu ekonomiju, pri čemu žrtve prijevara imaju male ili nikakve izglede za povrat izgubljenih sredstava; pozdravlja Uredbu o tržištima </w:t>
      </w:r>
      <w:proofErr w:type="spellStart"/>
      <w:r w:rsidR="002871DE" w:rsidRPr="008B52D3">
        <w:t>kriptoimovine</w:t>
      </w:r>
      <w:proofErr w:type="spellEnd"/>
      <w:r w:rsidR="002871DE" w:rsidRPr="008B52D3">
        <w:t xml:space="preserve"> Europske unije</w:t>
      </w:r>
      <w:r w:rsidR="002871DE" w:rsidRPr="008B52D3">
        <w:rPr>
          <w:rStyle w:val="FootnoteReference"/>
        </w:rPr>
        <w:footnoteReference w:id="6"/>
      </w:r>
      <w:r w:rsidR="002871DE" w:rsidRPr="008B52D3">
        <w:t xml:space="preserve">, kojom se želi uspostaviti pravni okvir za </w:t>
      </w:r>
      <w:proofErr w:type="spellStart"/>
      <w:r w:rsidR="002871DE" w:rsidRPr="008B52D3">
        <w:t>kriptovalute</w:t>
      </w:r>
      <w:proofErr w:type="spellEnd"/>
      <w:r w:rsidR="002871DE" w:rsidRPr="008B52D3">
        <w:t xml:space="preserve"> i digitalnu imovinu;</w:t>
      </w:r>
    </w:p>
    <w:p w:rsidR="002871DE" w:rsidRPr="008B52D3" w:rsidRDefault="002871DE" w:rsidP="002871DE">
      <w:pPr>
        <w:pStyle w:val="Normal12a24b"/>
      </w:pPr>
      <w:r w:rsidRPr="008B52D3">
        <w:rPr>
          <w:rStyle w:val="BoldItalic"/>
        </w:rPr>
        <w:t>Održivost</w:t>
      </w:r>
    </w:p>
    <w:p w:rsidR="002871DE" w:rsidRPr="008B52D3" w:rsidRDefault="0079332C" w:rsidP="002871DE">
      <w:pPr>
        <w:pStyle w:val="NormalHanging12a"/>
      </w:pPr>
      <w:r w:rsidRPr="008B52D3">
        <w:t>23</w:t>
      </w:r>
      <w:r w:rsidR="002871DE" w:rsidRPr="008B52D3">
        <w:t>.</w:t>
      </w:r>
      <w:r w:rsidR="002871DE" w:rsidRPr="008B52D3">
        <w:tab/>
        <w:t>ističe da su za proizvodnju uređaja potrebnih za pristup virtualnim svjetovima potrebni resursi kao što su rijetki zemni minerali i druge mineralne sirovine; u tom pogledu pozdravlja predstavljanje Komisijina Prijedloga uredbe o uspostavi okvira za sigurnu i održivu opskrbu kritičnim sirovinama (COM(2023)0160);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2</w:t>
      </w:r>
      <w:r w:rsidR="0079332C" w:rsidRPr="008B52D3">
        <w:t>4</w:t>
      </w:r>
      <w:r w:rsidRPr="008B52D3">
        <w:t>.</w:t>
      </w:r>
      <w:r w:rsidRPr="008B52D3">
        <w:tab/>
        <w:t>napominje da virtualni svjetovi i Web 4.0 mogu pozitivno doprinijeti borbi protiv klimatskih promjena i ekološkoj održivosti, na primjer omogućavanjem rada na daljinu, čime se smanjuju putovanja na posao i s tim povezane emisije ugljika; napominje da mrežna infrastruktura koja omogućuje digitalna rješenja i nove poslovne modele ima ključnu ulogu;</w:t>
      </w:r>
    </w:p>
    <w:p w:rsidR="002871DE" w:rsidRPr="008B52D3" w:rsidRDefault="002871DE" w:rsidP="002871DE">
      <w:pPr>
        <w:pStyle w:val="NormalHanging12a"/>
        <w:rPr>
          <w:szCs w:val="24"/>
        </w:rPr>
      </w:pPr>
      <w:r w:rsidRPr="008B52D3">
        <w:t>2</w:t>
      </w:r>
      <w:r w:rsidR="0079332C" w:rsidRPr="008B52D3">
        <w:t>5</w:t>
      </w:r>
      <w:r w:rsidRPr="008B52D3">
        <w:t>.</w:t>
      </w:r>
      <w:r w:rsidRPr="008B52D3">
        <w:tab/>
        <w:t>smatra da bi pri razvoju i uvođenju virtualnih svjetova trebalo uzeti u obzir utjecaj na okoliš; ističe važnost podizanja razine svijesti potrošačâ o utjecaju tih novih tehnologija na okoliš i njihovoj održivosti, među ostalim o elektroničkom otpadu; napominje da, prema Međunarodnoj agenciji za energiju, potrošnja električne energije u velikim podatkovnim centrima trenutačno čini između 1 i 1,5 % svjetske potrošnje električne energije te ističe da bi se potrošnja električne energije u podatkovnim centrima mogla povećati ako se masovno uvedu tehnologije virtualnog svijeta; podsjeća da treba iskoristiti, ubrzati i poticati tehnološki napredak kako bi se smanjila potrošnja energije i ekološki otisak aktivnosti povezanih s proizvodnjom, upotrebom i razvojem virtualnih svjetova, kao što su napredne tehnike recikliranja i obnovljivi izvori energije;</w:t>
      </w:r>
    </w:p>
    <w:p w:rsidR="002871DE" w:rsidRPr="008B52D3" w:rsidRDefault="002871DE" w:rsidP="002871DE">
      <w:pPr>
        <w:pStyle w:val="NormalCenter12a"/>
      </w:pPr>
      <w:r w:rsidRPr="008B52D3">
        <w:t>°</w:t>
      </w:r>
    </w:p>
    <w:p w:rsidR="002871DE" w:rsidRPr="008B52D3" w:rsidRDefault="002871DE" w:rsidP="002871DE">
      <w:pPr>
        <w:pStyle w:val="NormalCenter12a"/>
      </w:pPr>
      <w:r w:rsidRPr="008B52D3">
        <w:t>°</w:t>
      </w:r>
      <w:r w:rsidRPr="008B52D3">
        <w:tab/>
        <w:t>°</w:t>
      </w:r>
    </w:p>
    <w:p w:rsidR="002871DE" w:rsidRPr="008B52D3" w:rsidRDefault="002871DE" w:rsidP="002871DE">
      <w:pPr>
        <w:pStyle w:val="NormalHanging12a"/>
      </w:pPr>
      <w:r w:rsidRPr="008B52D3">
        <w:t>2</w:t>
      </w:r>
      <w:r w:rsidR="0079332C" w:rsidRPr="008B52D3">
        <w:t>6</w:t>
      </w:r>
      <w:r w:rsidRPr="008B52D3">
        <w:t>.</w:t>
      </w:r>
      <w:r w:rsidRPr="008B52D3">
        <w:tab/>
        <w:t>nalaže svojoj predsjednici da ovu Rezoluciju proslijedi Komisiji i Vijeću te parlamentima i vladama država članica.</w:t>
      </w:r>
    </w:p>
    <w:p w:rsidR="002871DE" w:rsidRPr="008B52D3" w:rsidRDefault="002871DE" w:rsidP="002871DE"/>
    <w:p w:rsidR="00E365E1" w:rsidRPr="008B52D3" w:rsidRDefault="00E365E1" w:rsidP="000F7A79">
      <w:bookmarkStart w:id="9" w:name="TextBodyEnd"/>
      <w:bookmarkEnd w:id="9"/>
    </w:p>
    <w:sectPr w:rsidR="00E365E1" w:rsidRPr="008B52D3" w:rsidSect="007779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A79" w:rsidRPr="00777944" w:rsidRDefault="000F7A79">
      <w:r w:rsidRPr="00777944">
        <w:separator/>
      </w:r>
    </w:p>
  </w:endnote>
  <w:endnote w:type="continuationSeparator" w:id="0">
    <w:p w:rsidR="000F7A79" w:rsidRPr="00777944" w:rsidRDefault="000F7A79">
      <w:r w:rsidRPr="007779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79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79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79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A79" w:rsidRPr="00777944" w:rsidRDefault="000F7A79">
      <w:r w:rsidRPr="00777944">
        <w:separator/>
      </w:r>
    </w:p>
  </w:footnote>
  <w:footnote w:type="continuationSeparator" w:id="0">
    <w:p w:rsidR="000F7A79" w:rsidRPr="00777944" w:rsidRDefault="000F7A79">
      <w:r w:rsidRPr="00777944">
        <w:continuationSeparator/>
      </w:r>
    </w:p>
  </w:footnote>
  <w:footnote w:id="1">
    <w:p w:rsidR="002871DE" w:rsidRPr="00777944" w:rsidRDefault="002871DE" w:rsidP="00777944">
      <w:pPr>
        <w:pStyle w:val="FootnoteText"/>
        <w:ind w:left="567" w:hanging="567"/>
        <w:rPr>
          <w:color w:val="0000FF"/>
          <w:sz w:val="24"/>
          <w:u w:val="single" w:color="0000FF"/>
          <w:lang w:val="hr-HR"/>
        </w:rPr>
      </w:pPr>
      <w:r w:rsidRPr="00777944">
        <w:rPr>
          <w:rStyle w:val="FootnoteReference"/>
          <w:sz w:val="24"/>
          <w:lang w:val="hr-HR"/>
        </w:rPr>
        <w:footnoteRef/>
      </w:r>
      <w:r w:rsidR="00777944" w:rsidRPr="00777944">
        <w:rPr>
          <w:sz w:val="24"/>
          <w:lang w:val="hr-HR"/>
        </w:rPr>
        <w:t xml:space="preserve"> </w:t>
      </w:r>
      <w:r w:rsidR="00777944" w:rsidRPr="00777944">
        <w:rPr>
          <w:sz w:val="24"/>
          <w:lang w:val="hr-HR"/>
        </w:rPr>
        <w:tab/>
      </w:r>
      <w:hyperlink r:id="rId1" w:history="1">
        <w:r w:rsidRPr="00777944">
          <w:rPr>
            <w:rStyle w:val="Hyperlink"/>
            <w:sz w:val="24"/>
            <w:lang w:val="hr-HR"/>
          </w:rPr>
          <w:t>Uredba (EU) 2022/2065 Europskog parlamenta i Vijeća od 19. listopada 2022. o jedinstvenom tržištu digitalnih usluga i izmjeni Direktive 2000/31/EZ (Akt o digitalnim uslugama) SL L 277, 27.10.2022., str. 1.</w:t>
        </w:r>
      </w:hyperlink>
    </w:p>
  </w:footnote>
  <w:footnote w:id="2">
    <w:p w:rsidR="002871DE" w:rsidRPr="00777944" w:rsidRDefault="002871DE" w:rsidP="00777944">
      <w:pPr>
        <w:pStyle w:val="FootnoteText"/>
        <w:ind w:left="567" w:hanging="567"/>
        <w:rPr>
          <w:sz w:val="24"/>
          <w:lang w:val="hr-HR"/>
        </w:rPr>
      </w:pPr>
      <w:r w:rsidRPr="00777944">
        <w:rPr>
          <w:rStyle w:val="FootnoteReference"/>
          <w:sz w:val="24"/>
          <w:lang w:val="hr-HR"/>
        </w:rPr>
        <w:footnoteRef/>
      </w:r>
      <w:r w:rsidR="00777944" w:rsidRPr="00777944">
        <w:rPr>
          <w:sz w:val="24"/>
          <w:lang w:val="hr-HR"/>
        </w:rPr>
        <w:t xml:space="preserve"> </w:t>
      </w:r>
      <w:r w:rsidR="00777944" w:rsidRPr="00777944">
        <w:rPr>
          <w:sz w:val="24"/>
          <w:lang w:val="hr-HR"/>
        </w:rPr>
        <w:tab/>
      </w:r>
      <w:hyperlink r:id="rId2" w:history="1">
        <w:r w:rsidRPr="00777944">
          <w:rPr>
            <w:rStyle w:val="Hyperlink"/>
            <w:sz w:val="24"/>
            <w:lang w:val="hr-HR"/>
          </w:rPr>
          <w:t>Uredba (EU) 2022/1925 Europskog parlamenta i Vijeća od 14. rujna 2022. o pravednim tržištima s mogućnošću neograničenog tržišnog natjecanja u digitalnom sektoru i izmjeni direktiva (EU) 2019/1937 i (EU) 2020/1828 (Akt o digitalnim tržištima) SL L 265, 12.10.2022., str. </w:t>
        </w:r>
        <w:r w:rsidRPr="00777944">
          <w:rPr>
            <w:rStyle w:val="Hyperlink"/>
            <w:sz w:val="24"/>
            <w:lang w:val="hr-HR"/>
          </w:rPr>
          <w:t>1.</w:t>
        </w:r>
      </w:hyperlink>
    </w:p>
  </w:footnote>
  <w:footnote w:id="3">
    <w:p w:rsidR="002871DE" w:rsidRPr="00777944" w:rsidRDefault="002871DE" w:rsidP="00777944">
      <w:pPr>
        <w:pStyle w:val="FootnoteText"/>
        <w:ind w:left="567" w:hanging="567"/>
        <w:rPr>
          <w:sz w:val="24"/>
          <w:lang w:val="hr-HR"/>
        </w:rPr>
      </w:pPr>
      <w:r w:rsidRPr="00777944">
        <w:rPr>
          <w:rStyle w:val="FootnoteReference"/>
          <w:sz w:val="24"/>
          <w:lang w:val="hr-HR"/>
        </w:rPr>
        <w:footnoteRef/>
      </w:r>
      <w:r w:rsidR="00777944" w:rsidRPr="00777944">
        <w:rPr>
          <w:sz w:val="24"/>
          <w:lang w:val="hr-HR"/>
        </w:rPr>
        <w:t xml:space="preserve"> </w:t>
      </w:r>
      <w:r w:rsidR="00777944" w:rsidRPr="00777944">
        <w:rPr>
          <w:sz w:val="24"/>
          <w:lang w:val="hr-HR"/>
        </w:rPr>
        <w:tab/>
      </w:r>
      <w:r w:rsidRPr="00777944">
        <w:rPr>
          <w:sz w:val="24"/>
          <w:lang w:val="hr-HR"/>
        </w:rPr>
        <w:t>Direktiva (EU) 2019/882 Europskog parlamenta i Vijeća od 17. travnja 2019. o zahtjevima za pristupačnost proizvoda i usluga (SL L 151, 7.6.2019., str. 70.).</w:t>
      </w:r>
    </w:p>
  </w:footnote>
  <w:footnote w:id="4">
    <w:p w:rsidR="002871DE" w:rsidRPr="00777944" w:rsidRDefault="002871DE" w:rsidP="00777944">
      <w:pPr>
        <w:pStyle w:val="FootnoteText"/>
        <w:ind w:left="567" w:hanging="567"/>
        <w:rPr>
          <w:sz w:val="24"/>
          <w:lang w:val="hr-HR"/>
        </w:rPr>
      </w:pPr>
      <w:r w:rsidRPr="00777944">
        <w:rPr>
          <w:rStyle w:val="FootnoteReference"/>
          <w:sz w:val="24"/>
          <w:lang w:val="hr-HR"/>
        </w:rPr>
        <w:footnoteRef/>
      </w:r>
      <w:r w:rsidR="00777944" w:rsidRPr="00777944">
        <w:rPr>
          <w:sz w:val="24"/>
          <w:lang w:val="hr-HR"/>
        </w:rPr>
        <w:t xml:space="preserve"> </w:t>
      </w:r>
      <w:r w:rsidR="00777944" w:rsidRPr="00777944">
        <w:rPr>
          <w:sz w:val="24"/>
          <w:lang w:val="hr-HR"/>
        </w:rPr>
        <w:tab/>
      </w:r>
      <w:r w:rsidRPr="00777944">
        <w:rPr>
          <w:sz w:val="24"/>
          <w:lang w:val="hr-HR"/>
        </w:rPr>
        <w:t>Direktiva (EU) 2016/2102 Europskog parlamenta i Vijeća od 26. listopada 2016. o pristupačnosti internetskih stranica i mobilnih aplikacija tijela javnog sektora (SL L 327, 2.12.2016., str. 1.).</w:t>
      </w:r>
    </w:p>
  </w:footnote>
  <w:footnote w:id="5">
    <w:p w:rsidR="002871DE" w:rsidRPr="00777944" w:rsidRDefault="002871DE" w:rsidP="00777944">
      <w:pPr>
        <w:pStyle w:val="FootnoteText"/>
        <w:ind w:left="567" w:hanging="567"/>
        <w:rPr>
          <w:sz w:val="24"/>
          <w:lang w:val="hr-HR"/>
        </w:rPr>
      </w:pPr>
      <w:r w:rsidRPr="00777944">
        <w:rPr>
          <w:rStyle w:val="FootnoteReference"/>
          <w:sz w:val="24"/>
          <w:lang w:val="hr-HR"/>
        </w:rPr>
        <w:footnoteRef/>
      </w:r>
      <w:r w:rsidR="00777944" w:rsidRPr="00777944">
        <w:rPr>
          <w:sz w:val="24"/>
          <w:lang w:val="hr-HR"/>
        </w:rPr>
        <w:t xml:space="preserve"> </w:t>
      </w:r>
      <w:r w:rsidR="00777944" w:rsidRPr="00777944">
        <w:rPr>
          <w:sz w:val="24"/>
          <w:lang w:val="hr-HR"/>
        </w:rPr>
        <w:tab/>
      </w:r>
      <w:r w:rsidRPr="00777944">
        <w:rPr>
          <w:sz w:val="24"/>
          <w:lang w:val="hr-HR"/>
        </w:rPr>
        <w:t>Uredba (EU) 2016/679 Europskog parlamenta i Vijeća od 27. travnja 2016. o zaštiti pojedinaca u vezi s obradom osobnih podataka i o slobodnom kretanju takvih podataka te o stavljanju izvan snage Direktive 95/46/EZ (Opća uredba o zaštiti podataka), (SL L 119, 4.5.2016., str. 1.).</w:t>
      </w:r>
    </w:p>
  </w:footnote>
  <w:footnote w:id="6">
    <w:p w:rsidR="002871DE" w:rsidRPr="008B52D3" w:rsidRDefault="002871DE" w:rsidP="00777944">
      <w:pPr>
        <w:pStyle w:val="FootnoteText"/>
        <w:ind w:left="567" w:hanging="567"/>
        <w:rPr>
          <w:sz w:val="24"/>
          <w:lang w:val="hr-HR"/>
        </w:rPr>
      </w:pPr>
      <w:r w:rsidRPr="00777944">
        <w:rPr>
          <w:rStyle w:val="FootnoteReference"/>
          <w:sz w:val="24"/>
          <w:lang w:val="hr-HR"/>
        </w:rPr>
        <w:footnoteRef/>
      </w:r>
      <w:r w:rsidR="00777944" w:rsidRPr="00777944">
        <w:rPr>
          <w:sz w:val="24"/>
          <w:lang w:val="hr-HR"/>
        </w:rPr>
        <w:t xml:space="preserve"> </w:t>
      </w:r>
      <w:r w:rsidR="00777944" w:rsidRPr="00777944">
        <w:rPr>
          <w:sz w:val="24"/>
          <w:lang w:val="hr-HR"/>
        </w:rPr>
        <w:tab/>
      </w:r>
      <w:hyperlink r:id="rId3" w:history="1">
        <w:r w:rsidR="0079332C" w:rsidRPr="008B52D3">
          <w:rPr>
            <w:sz w:val="24"/>
            <w:szCs w:val="24"/>
            <w:lang w:val="en-GB"/>
          </w:rPr>
          <w:t>SL</w:t>
        </w:r>
        <w:r w:rsidR="0079332C" w:rsidRPr="008B52D3">
          <w:rPr>
            <w:rStyle w:val="Hyperlink"/>
            <w:color w:val="auto"/>
            <w:sz w:val="24"/>
            <w:szCs w:val="24"/>
            <w:u w:val="none"/>
            <w:lang w:val="en-GB"/>
          </w:rPr>
          <w:t xml:space="preserve"> L 1</w:t>
        </w:r>
        <w:r w:rsidR="0079332C" w:rsidRPr="008B52D3">
          <w:rPr>
            <w:rStyle w:val="Hyperlink"/>
            <w:color w:val="auto"/>
            <w:sz w:val="24"/>
            <w:szCs w:val="24"/>
            <w:u w:val="none"/>
            <w:lang w:val="en-GB"/>
          </w:rPr>
          <w:t>5</w:t>
        </w:r>
        <w:r w:rsidR="0079332C" w:rsidRPr="008B52D3">
          <w:rPr>
            <w:rStyle w:val="Hyperlink"/>
            <w:color w:val="auto"/>
            <w:sz w:val="24"/>
            <w:szCs w:val="24"/>
            <w:u w:val="none"/>
            <w:lang w:val="en-GB"/>
          </w:rPr>
          <w:t xml:space="preserve">0, </w:t>
        </w:r>
        <w:r w:rsidR="0079332C" w:rsidRPr="008B52D3">
          <w:rPr>
            <w:rStyle w:val="Hyperlink"/>
            <w:color w:val="auto"/>
            <w:sz w:val="24"/>
            <w:szCs w:val="24"/>
            <w:u w:val="none"/>
            <w:lang w:val="en-GB"/>
          </w:rPr>
          <w:t>9</w:t>
        </w:r>
        <w:r w:rsidR="0079332C" w:rsidRPr="008B52D3">
          <w:rPr>
            <w:rStyle w:val="Hyperlink"/>
            <w:color w:val="auto"/>
            <w:sz w:val="24"/>
            <w:szCs w:val="24"/>
            <w:u w:val="none"/>
            <w:lang w:val="en-GB"/>
          </w:rPr>
          <w:t>.6.2</w:t>
        </w:r>
        <w:r w:rsidR="0079332C" w:rsidRPr="008B52D3">
          <w:rPr>
            <w:rStyle w:val="Hyperlink"/>
            <w:color w:val="auto"/>
            <w:sz w:val="24"/>
            <w:szCs w:val="24"/>
            <w:u w:val="none"/>
            <w:lang w:val="en-GB"/>
          </w:rPr>
          <w:t>0</w:t>
        </w:r>
        <w:r w:rsidR="0079332C" w:rsidRPr="008B52D3">
          <w:rPr>
            <w:rStyle w:val="Hyperlink"/>
            <w:color w:val="auto"/>
            <w:sz w:val="24"/>
            <w:szCs w:val="24"/>
            <w:u w:val="none"/>
            <w:lang w:val="en-GB"/>
          </w:rPr>
          <w:t>23., str. 40</w:t>
        </w:r>
      </w:hyperlink>
      <w:r w:rsidR="0079332C" w:rsidRPr="008B52D3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79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79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79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7/2023"/>
    <w:docVar w:name="dvlangue" w:val="HR"/>
    <w:docVar w:name="dvnumam" w:val="0"/>
    <w:docVar w:name="dvpe" w:val="751.902"/>
    <w:docVar w:name="dvrapporteur" w:val="Izvjestitelj: "/>
    <w:docVar w:name="dvtitre" w:val="Rezolucija Europskog parlamenta od .... 2024. o virtualnim svjetovima: prilike, rizici i posljedice politike za jedinstveno tržište(2022/2198(INI))"/>
  </w:docVars>
  <w:rsids>
    <w:rsidRoot w:val="000F7A79"/>
    <w:rsid w:val="00002272"/>
    <w:rsid w:val="00064002"/>
    <w:rsid w:val="000677B9"/>
    <w:rsid w:val="000831BA"/>
    <w:rsid w:val="000A42CC"/>
    <w:rsid w:val="000E7DD9"/>
    <w:rsid w:val="000F7A79"/>
    <w:rsid w:val="0010095E"/>
    <w:rsid w:val="00125B37"/>
    <w:rsid w:val="00187494"/>
    <w:rsid w:val="001F32AE"/>
    <w:rsid w:val="002767FF"/>
    <w:rsid w:val="002871D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944"/>
    <w:rsid w:val="00786EC0"/>
    <w:rsid w:val="0079332C"/>
    <w:rsid w:val="007D1690"/>
    <w:rsid w:val="007E22AD"/>
    <w:rsid w:val="00817416"/>
    <w:rsid w:val="00842779"/>
    <w:rsid w:val="00865F67"/>
    <w:rsid w:val="00881A7B"/>
    <w:rsid w:val="008840E5"/>
    <w:rsid w:val="00887B3E"/>
    <w:rsid w:val="008B52D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625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4E88C"/>
  <w15:chartTrackingRefBased/>
  <w15:docId w15:val="{13AD8743-28C4-4C16-B61C-FA57A1AB0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871DE"/>
    <w:pPr>
      <w:spacing w:after="240"/>
      <w:ind w:left="567" w:hanging="567"/>
    </w:pPr>
  </w:style>
  <w:style w:type="paragraph" w:customStyle="1" w:styleId="EPComma">
    <w:name w:val="EPComma"/>
    <w:basedOn w:val="Normal"/>
    <w:rsid w:val="002871DE"/>
    <w:pPr>
      <w:spacing w:before="480" w:after="240"/>
    </w:pPr>
  </w:style>
  <w:style w:type="paragraph" w:customStyle="1" w:styleId="NormalCenter12a">
    <w:name w:val="NormalCenter12a"/>
    <w:basedOn w:val="Normal"/>
    <w:rsid w:val="002871DE"/>
    <w:pPr>
      <w:spacing w:after="240"/>
      <w:jc w:val="center"/>
    </w:pPr>
  </w:style>
  <w:style w:type="character" w:customStyle="1" w:styleId="BoldItalic">
    <w:name w:val="BoldItalic"/>
    <w:uiPriority w:val="1"/>
    <w:rsid w:val="002871DE"/>
    <w:rPr>
      <w:b/>
      <w:i/>
      <w:u w:val="none"/>
    </w:rPr>
  </w:style>
  <w:style w:type="paragraph" w:customStyle="1" w:styleId="Normal12a24b">
    <w:name w:val="Normal12a24b"/>
    <w:basedOn w:val="Normal"/>
    <w:rsid w:val="002871DE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2871DE"/>
    <w:rPr>
      <w:sz w:val="24"/>
      <w:lang w:val="hr-HR"/>
    </w:rPr>
  </w:style>
  <w:style w:type="character" w:styleId="Hyperlink">
    <w:name w:val="Hyperlink"/>
    <w:basedOn w:val="DefaultParagraphFont"/>
    <w:uiPriority w:val="99"/>
    <w:unhideWhenUsed/>
    <w:rsid w:val="002871DE"/>
    <w:rPr>
      <w:color w:val="0000FF"/>
      <w:u w:val="single"/>
    </w:rPr>
  </w:style>
  <w:style w:type="character" w:styleId="FollowedHyperlink">
    <w:name w:val="FollowedHyperlink"/>
    <w:basedOn w:val="DefaultParagraphFont"/>
    <w:rsid w:val="0079332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7933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332C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3/1114/oj" TargetMode="External"/><Relationship Id="rId2" Type="http://schemas.openxmlformats.org/officeDocument/2006/relationships/hyperlink" Target="http://data.europa.eu/eli/reg/2022/1925/oj" TargetMode="External"/><Relationship Id="rId1" Type="http://schemas.openxmlformats.org/officeDocument/2006/relationships/hyperlink" Target="https://eur-lex.europa.eu/eli/reg/2022/20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45CA9-74AB-494A-A985-6B16A8197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2903</Words>
  <Characters>18361</Characters>
  <Application>Microsoft Office Word</Application>
  <DocSecurity>0</DocSecurity>
  <Lines>153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2024-01-17T12:24:00Z</dcterms:created>
  <dcterms:modified xsi:type="dcterms:W3CDTF">2024-01-17T12:24:00Z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A9-0397/2023</vt:lpwstr>
  </property>
  <property fmtid="{D5CDD505-2E9C-101B-9397-08002B2CF9AE}" pid="4" name="&lt;Type&gt;">
    <vt:lpwstr>RR</vt:lpwstr>
  </property>
</Properties>
</file>