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7A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7A50" w:rsidRDefault="00392055" w:rsidP="0010095E">
            <w:pPr>
              <w:pStyle w:val="EPName"/>
            </w:pPr>
            <w:r w:rsidRPr="002B7A50">
              <w:t>Európai Parlament</w:t>
            </w:r>
          </w:p>
          <w:p w:rsidR="00751A4A" w:rsidRPr="002B7A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A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7A50" w:rsidRDefault="00187494" w:rsidP="0010095E">
            <w:pPr>
              <w:pStyle w:val="EPLogo"/>
            </w:pPr>
            <w:r w:rsidRPr="002B7A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7A50" w:rsidRDefault="00D058B8" w:rsidP="004C5D52">
      <w:pPr>
        <w:pStyle w:val="LineTop"/>
      </w:pPr>
    </w:p>
    <w:p w:rsidR="00680577" w:rsidRPr="002B7A50" w:rsidRDefault="00392055" w:rsidP="00680577">
      <w:pPr>
        <w:pStyle w:val="EPBodyTA1"/>
      </w:pPr>
      <w:r w:rsidRPr="002B7A50">
        <w:t>ELFOGADOTT SZÖVEGEK</w:t>
      </w:r>
    </w:p>
    <w:p w:rsidR="00D058B8" w:rsidRPr="002B7A50" w:rsidRDefault="00D058B8" w:rsidP="00D058B8">
      <w:pPr>
        <w:pStyle w:val="LineBottom"/>
      </w:pPr>
    </w:p>
    <w:p w:rsidR="00392055" w:rsidRPr="002B7A50" w:rsidRDefault="00392055" w:rsidP="00392055">
      <w:pPr>
        <w:pStyle w:val="ATHeading1"/>
      </w:pPr>
      <w:bookmarkStart w:id="0" w:name="TANumber"/>
      <w:r w:rsidRPr="002B7A50">
        <w:t>P9_</w:t>
      </w:r>
      <w:proofErr w:type="gramStart"/>
      <w:r w:rsidRPr="002B7A50">
        <w:t>TA(</w:t>
      </w:r>
      <w:proofErr w:type="gramEnd"/>
      <w:r w:rsidRPr="002B7A50">
        <w:t>2024)00</w:t>
      </w:r>
      <w:r w:rsidR="002B7A50" w:rsidRPr="002B7A50">
        <w:t>32</w:t>
      </w:r>
      <w:bookmarkEnd w:id="0"/>
    </w:p>
    <w:p w:rsidR="00392055" w:rsidRPr="002B7A50" w:rsidRDefault="00796D72" w:rsidP="00392055">
      <w:pPr>
        <w:pStyle w:val="ATHeading2"/>
      </w:pPr>
      <w:bookmarkStart w:id="1" w:name="title"/>
      <w:proofErr w:type="gramStart"/>
      <w:r w:rsidRPr="002B7A50">
        <w:t>Virtuális</w:t>
      </w:r>
      <w:proofErr w:type="gramEnd"/>
      <w:r w:rsidRPr="002B7A50">
        <w:t xml:space="preserve"> világok: lehetőségek, kockázatok és szakpolitikai következmények az egységes piacra nézve</w:t>
      </w:r>
      <w:bookmarkEnd w:id="1"/>
    </w:p>
    <w:p w:rsidR="00392055" w:rsidRPr="002B7A50" w:rsidRDefault="00392055" w:rsidP="00392055">
      <w:pPr>
        <w:rPr>
          <w:i/>
          <w:vanish/>
        </w:rPr>
      </w:pPr>
      <w:r w:rsidRPr="002B7A50">
        <w:rPr>
          <w:i/>
        </w:rPr>
        <w:fldChar w:fldCharType="begin"/>
      </w:r>
      <w:r w:rsidRPr="002B7A50">
        <w:rPr>
          <w:i/>
        </w:rPr>
        <w:instrText xml:space="preserve"> TC"(</w:instrText>
      </w:r>
      <w:bookmarkStart w:id="2" w:name="DocNumber"/>
      <w:r w:rsidRPr="002B7A50">
        <w:rPr>
          <w:i/>
        </w:rPr>
        <w:instrText>A9-0397/2023</w:instrText>
      </w:r>
      <w:bookmarkEnd w:id="2"/>
      <w:r w:rsidRPr="002B7A50">
        <w:rPr>
          <w:i/>
        </w:rPr>
        <w:instrText xml:space="preserve"> - Előadó: Pablo Arias Echeverría)"\l3 \n&gt; \* MERGEFORMAT </w:instrText>
      </w:r>
      <w:r w:rsidRPr="002B7A50">
        <w:rPr>
          <w:i/>
        </w:rPr>
        <w:fldChar w:fldCharType="end"/>
      </w:r>
    </w:p>
    <w:p w:rsidR="00392055" w:rsidRPr="002B7A50" w:rsidRDefault="00392055" w:rsidP="00392055">
      <w:pPr>
        <w:rPr>
          <w:vanish/>
        </w:rPr>
      </w:pPr>
      <w:bookmarkStart w:id="3" w:name="Commission"/>
      <w:r w:rsidRPr="002B7A50">
        <w:rPr>
          <w:vanish/>
        </w:rPr>
        <w:t>Belső Piaci és Fogyasztóvédelmi Bizottság</w:t>
      </w:r>
      <w:bookmarkEnd w:id="3"/>
    </w:p>
    <w:p w:rsidR="00392055" w:rsidRPr="002B7A50" w:rsidRDefault="00392055" w:rsidP="00392055">
      <w:pPr>
        <w:rPr>
          <w:vanish/>
        </w:rPr>
      </w:pPr>
      <w:bookmarkStart w:id="4" w:name="PE"/>
      <w:r w:rsidRPr="002B7A50">
        <w:rPr>
          <w:vanish/>
        </w:rPr>
        <w:t>PE751.902</w:t>
      </w:r>
      <w:bookmarkEnd w:id="4"/>
    </w:p>
    <w:p w:rsidR="00392055" w:rsidRPr="002B7A50" w:rsidRDefault="00392055" w:rsidP="00392055">
      <w:pPr>
        <w:pStyle w:val="ATHeading3"/>
      </w:pPr>
      <w:bookmarkStart w:id="5" w:name="Sujet"/>
      <w:r w:rsidRPr="002B7A50">
        <w:t xml:space="preserve">Az Európai Parlament 2024. </w:t>
      </w:r>
      <w:r w:rsidR="002B61EC" w:rsidRPr="002B7A50">
        <w:t>január</w:t>
      </w:r>
      <w:r w:rsidRPr="002B7A50">
        <w:t xml:space="preserve"> </w:t>
      </w:r>
      <w:r w:rsidR="00796D72" w:rsidRPr="002B7A50">
        <w:t>17-</w:t>
      </w:r>
      <w:r w:rsidRPr="002B7A50">
        <w:t xml:space="preserve">i állásfoglalása a </w:t>
      </w:r>
      <w:proofErr w:type="gramStart"/>
      <w:r w:rsidRPr="002B7A50">
        <w:t>virtuális</w:t>
      </w:r>
      <w:proofErr w:type="gramEnd"/>
      <w:r w:rsidRPr="002B7A50">
        <w:t xml:space="preserve"> világokról – lehetőségek, kockázatok és az egységes piacot érintő szakpolitikai következmények</w:t>
      </w:r>
      <w:bookmarkEnd w:id="5"/>
      <w:r w:rsidRPr="002B7A50">
        <w:t xml:space="preserve"> </w:t>
      </w:r>
      <w:bookmarkStart w:id="6" w:name="References"/>
      <w:r w:rsidRPr="002B7A50">
        <w:t>(2022/2198(INI))</w:t>
      </w:r>
      <w:bookmarkEnd w:id="6"/>
    </w:p>
    <w:p w:rsidR="00A14166" w:rsidRPr="002B7A50" w:rsidRDefault="00A14166" w:rsidP="00A14166">
      <w:pPr>
        <w:pStyle w:val="EPComma"/>
      </w:pPr>
      <w:bookmarkStart w:id="7" w:name="TextBodyBegin"/>
      <w:bookmarkEnd w:id="7"/>
      <w:r w:rsidRPr="002B7A50">
        <w:rPr>
          <w:rStyle w:val="Italic"/>
        </w:rPr>
        <w:t>Az Európai Parlament</w:t>
      </w:r>
      <w:r w:rsidRPr="002B7A50">
        <w:t>,</w:t>
      </w:r>
    </w:p>
    <w:p w:rsidR="00A14166" w:rsidRPr="002B7A50" w:rsidRDefault="00A14166" w:rsidP="002B61EC">
      <w:pPr>
        <w:pStyle w:val="NormalHanging12a"/>
      </w:pPr>
      <w:r w:rsidRPr="002B7A50">
        <w:t>–</w:t>
      </w:r>
      <w:r w:rsidRPr="002B7A50">
        <w:tab/>
        <w:t>tekintettel az EU Alapjogi Chartájának 24. cikkére és az ENSZ Gyermekjogi Egyezményére, a gyermekek digitális környezetet érintő jogairól szóló 25. számú általános megjegyzésében részletezettek szerint,</w:t>
      </w:r>
    </w:p>
    <w:p w:rsidR="00A14166" w:rsidRPr="002B7A50" w:rsidRDefault="00A14166" w:rsidP="002B61EC">
      <w:pPr>
        <w:pStyle w:val="NormalHanging12a"/>
      </w:pPr>
      <w:r w:rsidRPr="002B7A50">
        <w:t>–</w:t>
      </w:r>
      <w:r w:rsidRPr="002B7A50">
        <w:tab/>
        <w:t>tekintettel eljárási szabályzata 54. cikkére,</w:t>
      </w:r>
    </w:p>
    <w:p w:rsidR="00A14166" w:rsidRPr="002B7A50" w:rsidRDefault="00A14166" w:rsidP="002B61EC">
      <w:pPr>
        <w:pStyle w:val="NormalHanging12a"/>
      </w:pPr>
      <w:r w:rsidRPr="002B7A50">
        <w:t>–</w:t>
      </w:r>
      <w:r w:rsidRPr="002B7A50">
        <w:tab/>
        <w:t>tekintettel a Kulturális és Oktatási Bizottság véleményére,</w:t>
      </w:r>
    </w:p>
    <w:p w:rsidR="00A14166" w:rsidRPr="002B7A50" w:rsidRDefault="00A14166" w:rsidP="002B61EC">
      <w:pPr>
        <w:pStyle w:val="NormalHanging12a"/>
      </w:pPr>
      <w:r w:rsidRPr="002B7A50">
        <w:t>–</w:t>
      </w:r>
      <w:r w:rsidRPr="002B7A50">
        <w:tab/>
        <w:t>tekintettel a Belső Piaci és Fogyasztóvédelmi Bizottság jelentésére (A9-0397/2023),</w:t>
      </w:r>
    </w:p>
    <w:p w:rsidR="00A14166" w:rsidRPr="002B7A50" w:rsidRDefault="00A14166" w:rsidP="002B61EC">
      <w:pPr>
        <w:pStyle w:val="NormalHanging12a"/>
      </w:pPr>
      <w:r w:rsidRPr="002B7A50">
        <w:t>A.</w:t>
      </w:r>
      <w:r w:rsidRPr="002B7A50">
        <w:tab/>
      </w:r>
      <w:proofErr w:type="gramStart"/>
      <w:r w:rsidRPr="002B7A50">
        <w:t>mivel</w:t>
      </w:r>
      <w:proofErr w:type="gramEnd"/>
      <w:r w:rsidRPr="002B7A50">
        <w:t xml:space="preserve"> a világ a digitalizációval példátlan átalakuláson megy keresztül, amely mélyreható változásokat hoz gazdasági, politikai és társadalmi életünk minden területén;</w:t>
      </w:r>
    </w:p>
    <w:p w:rsidR="00A14166" w:rsidRPr="002B7A50" w:rsidRDefault="00A14166" w:rsidP="002B61EC">
      <w:pPr>
        <w:pStyle w:val="NormalHanging12a"/>
        <w:rPr>
          <w:szCs w:val="24"/>
        </w:rPr>
      </w:pPr>
      <w:r w:rsidRPr="002B7A50">
        <w:t>B.</w:t>
      </w:r>
      <w:r w:rsidRPr="002B7A50">
        <w:tab/>
        <w:t xml:space="preserve">mivel a digitalizáció rengeteg lehetőséget rejt magában olyan területeken, mint az orvostudomány, a kultúra, az oktatás, a gazdaság, a biztonság és a bűnüldözés, és képes hozzájárulni a szegénységgel, az egyenlőtlenséggel és a fenntarthatósággal kapcsolatos </w:t>
      </w:r>
      <w:proofErr w:type="gramStart"/>
      <w:r w:rsidRPr="002B7A50">
        <w:t>globális</w:t>
      </w:r>
      <w:proofErr w:type="gramEnd"/>
      <w:r w:rsidRPr="002B7A50">
        <w:t xml:space="preserve"> problémák megoldásához, valamint a folyamatok demokratizálásához és az oktatáshoz és a tudáshoz való hozzáféréshez; mivel új lehetőségeket kínál a fenntarthatóbb és igazságosabb társadalmak felé való átmenet folyamatának előmozdítására is, amennyiben a megfelelő szakpolitikák a helyes irányba terelik; mivel a digitális szakadék kezelése – amely jelenleg az európaiak 46%-át érinti – továbbra is jelentős beruházásokat igényel;</w:t>
      </w:r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C.</w:t>
      </w:r>
      <w:r w:rsidRPr="002B7A50">
        <w:tab/>
        <w:t xml:space="preserve">mivel a digitális átalakulás jelentős kihívásokkal is jár, amelyek olyan koncepciók és normák felülvizsgálatára késztethetnek bennünket, amelyek eddig a gazdasági és társadalmi fejlődésünk alapját képezték, megőrizve legfontosabb alapelveinket és </w:t>
      </w:r>
      <w:r w:rsidRPr="002B7A50">
        <w:lastRenderedPageBreak/>
        <w:t>értékeinket, például a kultúrpolitikát és a szerzői jogokra vonatkozó jogszabályokat; mivel a digitális gazdaságban túlzott piaci koncentráció figyelhető meg; hangsúlyozza, hogy mérsékelni kell a nem uniós országoktól való technológiai függést azáltal, hogy az európai virtuális világok olyan európai megközelítése felé mozdulunk el, beleértve az értéklánc</w:t>
      </w:r>
      <w:proofErr w:type="gramEnd"/>
      <w:r w:rsidRPr="002B7A50">
        <w:t xml:space="preserve"> </w:t>
      </w:r>
      <w:proofErr w:type="gramStart"/>
      <w:r w:rsidRPr="002B7A50">
        <w:t>különböző</w:t>
      </w:r>
      <w:proofErr w:type="gramEnd"/>
      <w:r w:rsidRPr="002B7A50">
        <w:t xml:space="preserve"> szintjein működő nagyobb és kisebb szereplőket egyaránt;</w:t>
      </w:r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D.</w:t>
      </w:r>
      <w:r w:rsidRPr="002B7A50">
        <w:tab/>
        <w:t>mivel az EU-ban a kialakulóban lévő technológiákban rejlő lehetőségek és a digitális óriáscégek hatalomgyarapodásából eredő kihívások tudatosítása egyaránt szükségessé tette az egyenlő versenyfeltételek helyreállítását a digitális piacon, ami politikai és jogalkotási intézkedésekhez vezetett; mivel az uniós intézmények a zöld és a digitális átállást a fellépésük és a politikaformálás kiemelt területévé tették, az uniós értékekkel, a méltányosság és a tisztességes verseny elveivel, valamint az alapvető jogokkal összhangban álló szabályokat hoztak létre, miközben biztosították a stratégiai autonómiát</w:t>
      </w:r>
      <w:proofErr w:type="gramEnd"/>
      <w:r w:rsidRPr="002B7A50">
        <w:t xml:space="preserve"> </w:t>
      </w:r>
      <w:proofErr w:type="gramStart"/>
      <w:r w:rsidRPr="002B7A50">
        <w:t>és</w:t>
      </w:r>
      <w:proofErr w:type="gramEnd"/>
      <w:r w:rsidRPr="002B7A50">
        <w:t xml:space="preserve"> függetlenséget;</w:t>
      </w:r>
    </w:p>
    <w:p w:rsidR="00A14166" w:rsidRPr="002B7A50" w:rsidRDefault="00A14166" w:rsidP="002B61EC">
      <w:pPr>
        <w:pStyle w:val="NormalHanging12a"/>
        <w:rPr>
          <w:szCs w:val="24"/>
        </w:rPr>
      </w:pPr>
      <w:r w:rsidRPr="002B7A50">
        <w:t>E.</w:t>
      </w:r>
      <w:r w:rsidRPr="002B7A50">
        <w:tab/>
      </w:r>
      <w:proofErr w:type="gramStart"/>
      <w:r w:rsidRPr="002B7A50">
        <w:t>mivel a Web 4.0-ra való áttérés és a virtuális világok kidolgozása a digitalizáció jövőjének jelentős része lehet, és a digitális egységes piac megvalósításának egyik jelentős potenciális építőköve lehet; úgy véli, hogy a Web 4.0 szerves részét képező digitalizációt harmonikusan, akadályok létrehozása nélkül integrálni kell a digitális egységes piacba; elismeri, hogy bár a virtuális világok további eszközként kiegészíthetik a valós világot, nem helyettesíthetik azt, és nem vezethetnek a fogyasztók kirekesztéséhez;</w:t>
      </w:r>
      <w:proofErr w:type="gramEnd"/>
    </w:p>
    <w:p w:rsidR="00A14166" w:rsidRPr="002B7A50" w:rsidRDefault="00A14166" w:rsidP="002B61EC">
      <w:pPr>
        <w:pStyle w:val="NormalHanging12a"/>
      </w:pPr>
      <w:r w:rsidRPr="002B7A50">
        <w:t>F.</w:t>
      </w:r>
      <w:r w:rsidRPr="002B7A50">
        <w:tab/>
      </w:r>
      <w:proofErr w:type="gramStart"/>
      <w:r w:rsidRPr="002B7A50">
        <w:t>mivel a virtuális világok jelentős kockázatokat jelentenek különböző területeken, például a mentális egészség, a verseny, az adatvédelem és a fogyasztóvédelem terén, többek között a kiszolgáltatott csoportok, például a kiskorúak, az idősek és a fogyatékossággal élők számára; mivel ezen a területen további kutatásokra is szükség van; mivel a virtuális világok sokrétű kihívásokat is jelentenek, többek között a felhasználók által létrehozott tartalmakat, a szellemi tulajdonhoz fűződő jogokat, a kiberbiztonsági intézkedéseket és az alapvető emberi jogokat illetően; mivel a virtuális világok megtapasztalása</w:t>
      </w:r>
      <w:proofErr w:type="gramEnd"/>
      <w:r w:rsidRPr="002B7A50">
        <w:t xml:space="preserve"> </w:t>
      </w:r>
      <w:proofErr w:type="gramStart"/>
      <w:r w:rsidRPr="002B7A50">
        <w:t>kihívást jelenthet a nők számára; mivel a Nemek Közötti Egyenlőség Európai Intézete (EIGE) szerint minden tizedik nő 15 éves kora óta megtapasztalta az internetes erőszak valamilyen formáját; mivel az ENSZ nők elleni erőszakkal foglalkozó különmegbízottja szerint az új technológiák „elkerülhetetlenül a nők elleni online erőszak különféle és új megnyilvánulásaihoz vezetnek majd”; úgy véli, hogy az online fogyasztó és kereskedő közötti egyensúlyhiány a virtuális világban tovább fokozódhat; hangsúlyozza, hogy a technológiákat nem szabad a fogyasztói magatartás manipulálására tervezni; megjegyzi,</w:t>
      </w:r>
      <w:proofErr w:type="gramEnd"/>
      <w:r w:rsidRPr="002B7A50">
        <w:t xml:space="preserve"> hogy egyre több és változatosabb termék – köztük pénzügyi termékek – kapcsolódik a </w:t>
      </w:r>
      <w:proofErr w:type="gramStart"/>
      <w:r w:rsidRPr="002B7A50">
        <w:t>virtuális</w:t>
      </w:r>
      <w:proofErr w:type="gramEnd"/>
      <w:r w:rsidRPr="002B7A50">
        <w:t xml:space="preserve"> világokhoz, mint például a virtuális eszközök, avatárok és egyéb eszközök vásárlása; kiemeli, hogy célzott vizsgálatokra és kiterjedt konzultációkra van szükség a különböző területek szakértőivel, a gazdaságtól a pszichológián át a neurológiai szakemberekig, a célnak megfelelő jogszabályi keret kialakítása érdekében; üdvözli az ágazat e tekintetben végzett munkáját, ugyanakkor hangsúlyozza, hogy még többet lehet tenni;</w:t>
      </w:r>
    </w:p>
    <w:p w:rsidR="00A14166" w:rsidRPr="002B7A50" w:rsidRDefault="00A14166" w:rsidP="002B61EC">
      <w:pPr>
        <w:pStyle w:val="Normal12a24b"/>
        <w:widowControl/>
        <w:spacing w:before="0"/>
        <w:ind w:left="567" w:hanging="567"/>
      </w:pPr>
      <w:r w:rsidRPr="002B7A50">
        <w:rPr>
          <w:rStyle w:val="BoldItalic"/>
        </w:rPr>
        <w:t>Általános elvek</w:t>
      </w:r>
    </w:p>
    <w:p w:rsidR="00A14166" w:rsidRPr="002B7A50" w:rsidRDefault="00A14166" w:rsidP="002B61EC">
      <w:pPr>
        <w:pStyle w:val="NormalHanging12a"/>
        <w:rPr>
          <w:szCs w:val="24"/>
        </w:rPr>
      </w:pPr>
      <w:r w:rsidRPr="002B7A50">
        <w:t>1.</w:t>
      </w:r>
      <w:r w:rsidRPr="002B7A50">
        <w:tab/>
        <w:t xml:space="preserve">üdvözli a Bizottság „A Web 4.0-ról és a </w:t>
      </w:r>
      <w:proofErr w:type="gramStart"/>
      <w:r w:rsidRPr="002B7A50">
        <w:t>virtuális</w:t>
      </w:r>
      <w:proofErr w:type="gramEnd"/>
      <w:r w:rsidRPr="002B7A50">
        <w:t xml:space="preserve"> világokról szóló uniós kezdeményezés:felkészülés a következő technológiai átállásra” című, 2023. július 11-i közleményét (COM(2023)0442); hangsúlyozza, hogy ennek a stratégiának </w:t>
      </w:r>
      <w:r w:rsidRPr="002B7A50">
        <w:lastRenderedPageBreak/>
        <w:t>fenntarthatónak és emberközpontúnak kell lennie, ugyanakkor védenie kell az Európai Unió értékeit;</w:t>
      </w:r>
    </w:p>
    <w:p w:rsidR="00A14166" w:rsidRPr="002B7A50" w:rsidRDefault="00A14166" w:rsidP="002B61EC">
      <w:pPr>
        <w:pStyle w:val="NormalHanging12a"/>
        <w:rPr>
          <w:szCs w:val="24"/>
        </w:rPr>
      </w:pPr>
      <w:r w:rsidRPr="002B7A50">
        <w:t>2.</w:t>
      </w:r>
      <w:r w:rsidRPr="002B7A50">
        <w:tab/>
        <w:t xml:space="preserve">tudomásul veszi a </w:t>
      </w:r>
      <w:proofErr w:type="gramStart"/>
      <w:r w:rsidRPr="002B7A50">
        <w:t>virtuális</w:t>
      </w:r>
      <w:proofErr w:type="gramEnd"/>
      <w:r w:rsidRPr="002B7A50">
        <w:t xml:space="preserve"> világok egyetemesen elismert vagy elfogadott definíciójának hiányával kapcsolatos kihívásokat, ami a nemzeti szintű és annál magasabb szintű szakpolitikai koordináció hiányához is vezet; elismeri a Bizottság arra irányuló erőfeszítéseit, hogy a virtuális világokat olyan módon határozza meg, amely összhangban van az olyan széles körben elfogadott jellemzőkkel, mint az immerzivitás, a szinkronitás és a tartósság;</w:t>
      </w:r>
    </w:p>
    <w:p w:rsidR="00A14166" w:rsidRPr="002B7A50" w:rsidRDefault="00A14166" w:rsidP="002B61EC">
      <w:pPr>
        <w:pStyle w:val="NormalHanging12a"/>
        <w:rPr>
          <w:szCs w:val="24"/>
        </w:rPr>
      </w:pPr>
      <w:r w:rsidRPr="002B7A50">
        <w:t>3.</w:t>
      </w:r>
      <w:r w:rsidRPr="002B7A50">
        <w:tab/>
        <w:t xml:space="preserve">hangsúlyozza, hogy a kutatásokra, megbízható tudományos vizsgálatokra és technikai sajátosságokra alapozva határozottan különbséget kell tenni a </w:t>
      </w:r>
      <w:proofErr w:type="gramStart"/>
      <w:r w:rsidRPr="002B7A50">
        <w:t>meglévő</w:t>
      </w:r>
      <w:proofErr w:type="gramEnd"/>
      <w:r w:rsidRPr="002B7A50">
        <w:t xml:space="preserve"> digitális eszközök és más lehetséges kialakulóban lévő technológiák között, és meg kell vizsgálni az ágazat szabványosításának szükségességét;</w:t>
      </w:r>
    </w:p>
    <w:p w:rsidR="00A14166" w:rsidRPr="002B7A50" w:rsidRDefault="00A14166" w:rsidP="002B61EC">
      <w:pPr>
        <w:pStyle w:val="Normal12a24b"/>
        <w:widowControl/>
        <w:spacing w:before="0"/>
        <w:ind w:left="567" w:hanging="567"/>
      </w:pPr>
      <w:r w:rsidRPr="002B7A50">
        <w:rPr>
          <w:rStyle w:val="BoldItalic"/>
        </w:rPr>
        <w:t>Belső piac és fogyasztóvédelem</w:t>
      </w:r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4.</w:t>
      </w:r>
      <w:r w:rsidRPr="002B7A50">
        <w:tab/>
        <w:t>megállapítja, hogy bár az Európai Bizottság közleménye egyelőre nem jelezte, hogy pontos jogalkotási lépésekre lenne szükség, alaposan meg kell vizsgálni a virtuális világok fejlesztésével és a meglévő jogszabályok általi tényleges lefedettségükkel kapcsolatos valamennyi kérdést; hangsúlyozza, hogy egy valódi digitális egységes piac döntően hozzájárulhat a virtuális világok fejlesztéséhez, és erősítheti az EU globális versenyképességét; úgy véli, hogy egy világos, átfogó és szabályozási keret alapvető fontosságú, különösen a technológia kiforrottságának elérésekor, az egyenlő versenyfeltételek</w:t>
      </w:r>
      <w:proofErr w:type="gramEnd"/>
      <w:r w:rsidRPr="002B7A50">
        <w:t xml:space="preserve"> biztosítása érdekében, amelyek teljes mértékben kiaknázzák a </w:t>
      </w:r>
      <w:proofErr w:type="gramStart"/>
      <w:r w:rsidRPr="002B7A50">
        <w:t>virtuális</w:t>
      </w:r>
      <w:proofErr w:type="gramEnd"/>
      <w:r w:rsidRPr="002B7A50">
        <w:t xml:space="preserve"> világokban rejlő lehetőségeket, és lehetővé teszik gazdasági növekedésüket;</w:t>
      </w:r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5.</w:t>
      </w:r>
      <w:r w:rsidRPr="002B7A50">
        <w:tab/>
        <w:t>üdvözli az ezzel kapcsolatos legújabb szabályozási keretet, például a digitális szolgáltatásokról szóló jogszabályt (</w:t>
      </w:r>
      <w:r w:rsidR="00DC7160">
        <w:t xml:space="preserve">(EU) </w:t>
      </w:r>
      <w:r w:rsidRPr="002B7A50">
        <w:t>2022/2065</w:t>
      </w:r>
      <w:r w:rsidR="00DC7160">
        <w:t xml:space="preserve"> </w:t>
      </w:r>
      <w:r w:rsidRPr="002B7A50">
        <w:t>rendelet</w:t>
      </w:r>
      <w:r w:rsidRPr="002B7A50">
        <w:rPr>
          <w:rStyle w:val="FootnoteReference"/>
        </w:rPr>
        <w:footnoteReference w:id="1"/>
      </w:r>
      <w:r w:rsidRPr="002B7A50">
        <w:t>), a digitális piacokról szóló jogszabályt (</w:t>
      </w:r>
      <w:r w:rsidR="00DC7160">
        <w:t xml:space="preserve">(EU) </w:t>
      </w:r>
      <w:r w:rsidRPr="002B7A50">
        <w:t>2022/1925 rendelet</w:t>
      </w:r>
      <w:r w:rsidRPr="002B7A50">
        <w:rPr>
          <w:rStyle w:val="FootnoteReference"/>
        </w:rPr>
        <w:footnoteReference w:id="2"/>
      </w:r>
      <w:r w:rsidRPr="002B7A50">
        <w:t>) és az adatmegosztási jogszabályt (2022/0047</w:t>
      </w:r>
      <w:r w:rsidR="00DC7160">
        <w:t>(</w:t>
      </w:r>
      <w:r w:rsidRPr="002B7A50">
        <w:t>COD</w:t>
      </w:r>
      <w:r w:rsidR="00DC7160">
        <w:t>)</w:t>
      </w:r>
      <w:r w:rsidRPr="002B7A50">
        <w:t>), amelyet a Tanács és</w:t>
      </w:r>
      <w:bookmarkStart w:id="8" w:name="_GoBack"/>
      <w:bookmarkEnd w:id="8"/>
      <w:r w:rsidRPr="002B7A50">
        <w:t xml:space="preserve"> az Európai Parlament most fog jóváhagyni; tudomásul veszi továbbá a mesterséges intelligenciáról szóló jogszabályra és a kiberrezilienciáról szóló jogszabályra irányuló javaslatot és az erről folyó tárgyalásokat; úgy véli, hogy a Bizottságnak rendszeresen meg kell vizsgálnia a digitális egységes piac jogalkotási kereténe</w:t>
      </w:r>
      <w:proofErr w:type="gramEnd"/>
      <w:r w:rsidRPr="002B7A50">
        <w:t xml:space="preserve">k megfelelőségét és </w:t>
      </w:r>
      <w:proofErr w:type="gramStart"/>
      <w:r w:rsidRPr="002B7A50">
        <w:t>konzisztenciáját</w:t>
      </w:r>
      <w:proofErr w:type="gramEnd"/>
      <w:r w:rsidRPr="002B7A50">
        <w:t>, hogy foglalkozzon a virtuális világokkal kapcsolatban felmerülő új lehetőségekkel, kockázatokkal vagy egyéb kérdésekkel, és szükség esetén jogalkotási javaslatokat terjesszen elő; úgy véli, hogy az ilyen ellenőrzések eredményét nyilvánosságra kell hozni;</w:t>
      </w:r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6.</w:t>
      </w:r>
      <w:r w:rsidRPr="002B7A50">
        <w:tab/>
        <w:t xml:space="preserve">üdvözli a Bizottság elkötelezettségét a virtuális világok fejlesztésének nyomon követése mellett; felkéri a Bizottságot, hogy kétévente készítsen jelentést e tárgyban, és azt továbbítsa a Parlamentnek és a Tanácsnak; kéri a Bizottságot, hogy fordítson figyelmet a Web 4.0-ban potenciálisan felmerülő olyan problémákra, amelyek már a Web 3.0-ban </w:t>
      </w:r>
      <w:r w:rsidRPr="002B7A50">
        <w:lastRenderedPageBreak/>
        <w:t>is jelentkeztek, például a dezinformáció terjedésére, az illegális tartalmak terjesztésére, a digitális személyazonosság-lopásra, a kiberbűnözésre, a szellemi tulajdonjogok megsértésére, a kiberterrorizmusra, a személyes adatokkal való visszaélésre, a</w:t>
      </w:r>
      <w:proofErr w:type="gramEnd"/>
      <w:r w:rsidRPr="002B7A50">
        <w:t xml:space="preserve"> </w:t>
      </w:r>
      <w:proofErr w:type="gramStart"/>
      <w:r w:rsidRPr="002B7A50">
        <w:t>digitális</w:t>
      </w:r>
      <w:proofErr w:type="gramEnd"/>
      <w:r w:rsidRPr="002B7A50">
        <w:t xml:space="preserve"> szolgáltatások viselkedést befolyásoló vagy függőséget okozó manipulatív tervezésére, a csalásra, az online terrorista tartalmakra, a kiskorúak szexuális bántalmazására és az internetes zaklatásra, és vegye figyelembe a vonatkozó hatályos – például a digitális szolgáltatásokról szóló –, valamint az e kérdések kezelésére irányuló jövőbeli jogszabályokat;</w:t>
      </w:r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7.</w:t>
      </w:r>
      <w:r w:rsidRPr="002B7A50">
        <w:tab/>
        <w:t>rámutat a virtuális világokban rejlő jelentős gazdasági potenciálra, valamint a szükséges infrastruktúrába és a kapcsolódó kutatásba, innovációba és át- és továbbképzésbe történő beruházások iránti fokozódó igényre; hangsúlyozza, hogy az említett beruházások teljes költségének semleges hatást kell gyakorolnia a végső fogyasztói árakra; elismeri, hogy e célok elérése érdekében növelni kell az uniós szinten rendelkezésre álló forrásokat; kiemeli a virtuális valóság (VR), a kiterjesztett valóság (AR) és a vegyes valóság (XR) szerepét, amelyek kulcsfontosságú technológiák a virtuális világok fejlesztésében</w:t>
      </w:r>
      <w:proofErr w:type="gramEnd"/>
      <w:r w:rsidRPr="002B7A50">
        <w:t xml:space="preserve"> </w:t>
      </w:r>
      <w:proofErr w:type="gramStart"/>
      <w:r w:rsidRPr="002B7A50">
        <w:t>és növekedésében, amelyek immerzív és interaktív élményt nyújtanak a felhasználóknak, ugyanakkor megjegyzi, hogy az ipari alkalmazások és a fogyasztói felhasználás különböző kihívásokat jelentenek, és eltérő megközelítéseket igényelnek; megjegyzi továbbá, hogy bizonyos MI-modellek, például a generatív MI fejlesztése is döntő szerepet játszhat a virtuális környezetek létrehozásában és gazdagításában; e tekintetben felszólítja a Bizottságot, hogy szorosan kövesse nyomon az említett technológia gyors fejlődését és a digitális ökoszisztémára gyakorolt hatását is;</w:t>
      </w:r>
      <w:proofErr w:type="gramEnd"/>
    </w:p>
    <w:p w:rsidR="00A14166" w:rsidRPr="002B7A50" w:rsidRDefault="00A14166" w:rsidP="002B61EC">
      <w:pPr>
        <w:pStyle w:val="NormalHanging12a"/>
        <w:rPr>
          <w:szCs w:val="24"/>
        </w:rPr>
      </w:pPr>
      <w:proofErr w:type="gramStart"/>
      <w:r w:rsidRPr="002B7A50">
        <w:t>8.</w:t>
      </w:r>
      <w:r w:rsidRPr="002B7A50">
        <w:tab/>
        <w:t>jelzi továbbá, hogy ezek a fejlesztések potenciálisan pozitív hatást gyakorolhatnak majd a foglalkoztatásra, többek között új munkahelyeket teremtve olyan területeken, mint a virtuális világok kiépítése vagy a tartalomkészítés; hangsúlyozza, hogy be kell ruházni az EU-ban meglévő munkaerő oktatását célzó átképzési kezdeményezésekbe, különös figyelmet fordítva az ágazatban alulreprezentált csoportokra; kiemeli a megfelelő készségfejlesztésekbe történő beruházások és ezek előmozdítása fontosságát annak érdekében, hogy az EU-ban biztosítsák az ilyen munkakörök betöltésére alkalmas tehetséges é</w:t>
      </w:r>
      <w:proofErr w:type="gramEnd"/>
      <w:r w:rsidRPr="002B7A50">
        <w:t xml:space="preserve">s </w:t>
      </w:r>
      <w:proofErr w:type="gramStart"/>
      <w:r w:rsidRPr="002B7A50">
        <w:t>képzett</w:t>
      </w:r>
      <w:proofErr w:type="gramEnd"/>
      <w:r w:rsidRPr="002B7A50">
        <w:t xml:space="preserve"> munkaerő utánpótlását, valamint hogy vonzó feltételeket teremtsenek az EU területén az uniós tehetségek megtartása, a külföldi tehetségek vonzása, valamint a vállalkozói szellem és az innováció előmozdítása érdekében;</w:t>
      </w:r>
    </w:p>
    <w:p w:rsidR="00A14166" w:rsidRPr="002B7A50" w:rsidRDefault="00EB102E" w:rsidP="002B61EC">
      <w:pPr>
        <w:pStyle w:val="NormalHanging12a"/>
        <w:rPr>
          <w:szCs w:val="24"/>
        </w:rPr>
      </w:pPr>
      <w:r w:rsidRPr="002B7A50">
        <w:t>9.</w:t>
      </w:r>
      <w:r w:rsidRPr="002B7A50">
        <w:tab/>
      </w:r>
      <w:r w:rsidR="00A14166" w:rsidRPr="002B7A50">
        <w:t xml:space="preserve">felhívja a figyelmet az új technológiák és termékek fogyasztókra, egészségükre, valamint társadalmi és gazdasági életükre gyakorolt lehetséges kedvező és kedvezőtlen hatására; kiemeli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világokban ipari és professzionális környezetben rejlő lehetőségeket, különösen a képzés és a prototípus-készítés szempontjából, ugyanakkor elismeri a munkavállalókra gyakorolt szélesebb körű hatásokat; hangsúlyozza, hogy biztosítani kell a munkavállalói jogok tiszteletben tartását és a munkavállalók magas szintű védelmét;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10</w:t>
      </w:r>
      <w:r w:rsidR="00A14166" w:rsidRPr="002B7A50">
        <w:t>.</w:t>
      </w:r>
      <w:r w:rsidR="00A14166" w:rsidRPr="002B7A50">
        <w:tab/>
        <w:t xml:space="preserve">emlékeztet arra, hogy bár a virtuális világok fejlődésében vezető szerepet játszó vállalatok többsége az EU-n kívül telepedett le, az EU-n belül élénk és fejlődő ökoszisztéma létezik; hangsúlyozza, hogy az EU-nak vezető szerepet kell vállalnia a virtuális világok olyan ökoszisztémákként való kialakításában, amelyek tiszteletben tartják és előmozdítják az uniós értékeket, az alapvető jogokat és a legmagasabb szintű fogyasztóvédelmet; hangsúlyozza, hogy fontos olyan egyenlő versenyfeltételeket előmozdítani, amelyek elősegítik az európai kis- és középvállalkozások terjeszkedését, </w:t>
      </w:r>
      <w:r w:rsidR="00A14166" w:rsidRPr="002B7A50">
        <w:lastRenderedPageBreak/>
        <w:t>és a versenyképes</w:t>
      </w:r>
      <w:proofErr w:type="gramEnd"/>
      <w:r w:rsidR="00A14166" w:rsidRPr="002B7A50">
        <w:t xml:space="preserve"> </w:t>
      </w:r>
      <w:proofErr w:type="gramStart"/>
      <w:r w:rsidR="00A14166" w:rsidRPr="002B7A50">
        <w:t>európai</w:t>
      </w:r>
      <w:proofErr w:type="gramEnd"/>
      <w:r w:rsidR="00A14166" w:rsidRPr="002B7A50">
        <w:t xml:space="preserve"> vállalatok, valamint a decentralizált és interoperábilis ökoszisztémák kialakulását; </w:t>
      </w:r>
    </w:p>
    <w:p w:rsidR="00A14166" w:rsidRPr="002B7A50" w:rsidRDefault="00EB102E" w:rsidP="002B61EC">
      <w:pPr>
        <w:pStyle w:val="NormalHanging12a"/>
        <w:rPr>
          <w:szCs w:val="24"/>
        </w:rPr>
      </w:pPr>
      <w:r w:rsidRPr="002B7A50">
        <w:t>11.</w:t>
      </w:r>
      <w:r w:rsidRPr="002B7A50">
        <w:tab/>
      </w:r>
      <w:r w:rsidR="00A14166" w:rsidRPr="002B7A50">
        <w:t xml:space="preserve">hangsúlyozza, hogy megfelelő szakpolitikai keretet kell létrehozni, és nemzetközi párbeszédet kell folytatni különösen a hasonlóan gondolkodó nem uniós </w:t>
      </w:r>
      <w:proofErr w:type="gramStart"/>
      <w:r w:rsidR="00A14166" w:rsidRPr="002B7A50">
        <w:t>országokkal</w:t>
      </w:r>
      <w:proofErr w:type="gramEnd"/>
      <w:r w:rsidR="00A14166" w:rsidRPr="002B7A50">
        <w:t xml:space="preserve"> a virtuális világokkal kapcsolatos összehangolt megközelítések érdekében; hangsúlyozza annak fontosságát, hogy az európai polgárok figyelmét felhívják a digitális területek felelős használatára;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12</w:t>
      </w:r>
      <w:r w:rsidR="00A14166" w:rsidRPr="002B7A50">
        <w:t>.</w:t>
      </w:r>
      <w:r w:rsidR="00A14166" w:rsidRPr="002B7A50">
        <w:tab/>
        <w:t>elismeri, hogy nyílt, közös szabványok, szabályok és interoperábilis platformok hiányában a különböző vállalkozások többféle virtuális világot fejlesztettek ki; hangsúlyozza, hogy a szóban forgó virtuális világokat jelenleg korlátozott számú vállalkozás fejleszti, amelyek rendelkeznek a fejlesztésükhöz szükséges forrásokkal és pénzeszközökkel; úgy véli, hogy az interoperabilitás és a nyílt szabványok hozzájárulhatnak a kvázi-monopóliumok vagy a fogyasztók és az európai vállalkozások, különösen a kkv-k kárára történő erőfölénnyel való visszaélés megakadályozásához;</w:t>
      </w:r>
      <w:proofErr w:type="gramEnd"/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13.</w:t>
      </w:r>
      <w:r w:rsidRPr="002B7A50">
        <w:tab/>
      </w:r>
      <w:r w:rsidR="00A14166" w:rsidRPr="002B7A50">
        <w:t>üdvözli a Bizottság elkötelezettségét, hogy a meglévő, több érdekelt felet tömörítő internetirányítási intézményekkel együttműködve közös irányítási szabványokat és szabályokat dolgozzon ki; és arra ösztönzi a Bizottságot, hogy támogassa a jelenleg folyamatban lévő, több érdekelt fél részvételével zajló, szabványok kidolgozására irányuló kezdeményezéseket, beleértve a fogyasztói szervezetek és más civil társadalmi szervezetek szabványait is; átfogó tanulmány készítését javasolja az interoperábilis virtuális világokról; kiemeli az európai adatterek létrehozása által a virtuális világok fejlesztése</w:t>
      </w:r>
      <w:proofErr w:type="gramEnd"/>
      <w:r w:rsidR="00A14166" w:rsidRPr="002B7A50">
        <w:t xml:space="preserve"> </w:t>
      </w:r>
      <w:proofErr w:type="gramStart"/>
      <w:r w:rsidR="00A14166" w:rsidRPr="002B7A50">
        <w:t>szempontjából</w:t>
      </w:r>
      <w:proofErr w:type="gramEnd"/>
      <w:r w:rsidR="00A14166" w:rsidRPr="002B7A50">
        <w:t xml:space="preserve"> kínált lehetőségeket;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14</w:t>
      </w:r>
      <w:r w:rsidR="00A14166" w:rsidRPr="002B7A50">
        <w:t>.</w:t>
      </w:r>
      <w:r w:rsidR="00A14166" w:rsidRPr="002B7A50">
        <w:tab/>
        <w:t>hangsúlyozza annak szükségességét, hogy a virtuális világok nyitottak, inkluzívak és hozzáférhetőek legyenek, hozzájárulva a fogyatékosággal élők nagyobb mértékű részvételéhez az új digitális környezetben; jelzi a virtuális világokban rejlő lehetőségeket, amelyek növelhetik a fogyatékossággal élők részvételét a különböző tevékenységekben, például a virtuális turizmusban; figyelmeztet azokra a lehetséges kihívásokra, amelyek a virtuális világokkal való interakció során – a nem megfelelő hozzáférhetőségi funkciók vagy a sajátos igényeiket nem figyelembe vevő kialakítás miatt – a fogyatékossággal</w:t>
      </w:r>
      <w:proofErr w:type="gramEnd"/>
      <w:r w:rsidR="00A14166" w:rsidRPr="002B7A50">
        <w:t xml:space="preserve"> élő felhasználókat érik; felhívja a Bizottságot, hogy kövesse nyomon, hogy képes-e az európai akadálymentesítési irányelv</w:t>
      </w:r>
      <w:r w:rsidR="00A14166" w:rsidRPr="002B7A50">
        <w:rPr>
          <w:rStyle w:val="FootnoteReference"/>
        </w:rPr>
        <w:footnoteReference w:id="3"/>
      </w:r>
      <w:r w:rsidR="00A14166" w:rsidRPr="002B7A50">
        <w:t xml:space="preserve"> és a webes akadálymentesítési irányelv</w:t>
      </w:r>
      <w:r w:rsidR="00A14166" w:rsidRPr="002B7A50">
        <w:rPr>
          <w:rStyle w:val="FootnoteReference"/>
        </w:rPr>
        <w:footnoteReference w:id="4"/>
      </w:r>
      <w:r w:rsidR="00A14166" w:rsidRPr="002B7A50">
        <w:t xml:space="preserve"> biztosítani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világok akadálymentesítését; hangsúlyozza továbbá, hogy el kell ismerni a gyermekek sajátos szükségleteit és jogait;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15</w:t>
      </w:r>
      <w:r w:rsidR="00A14166" w:rsidRPr="002B7A50">
        <w:t>.</w:t>
      </w:r>
      <w:r w:rsidR="00A14166" w:rsidRPr="002B7A50">
        <w:tab/>
        <w:t xml:space="preserve">úgy véli, hogy a virtuális világokban a felhasználók beazonosításának szükségességéről szóló vitának a virtuális világok fejlesztésében kiemelt területnek kell lennie, és hogy alaposan át kell gondolni e digitális környezet lehetséges konfigurációját, szem előtt tartva, hogy bizonyos esetekben az anonimitás előnyösebb lehet; rámutat arra, hogy a digitális világban egy felhasználónév (álnév) segítségével mindenkor lehetőség van az anonimitásra, és felhívja a Bizottságot, hogy értékelje az európai digitális </w:t>
      </w:r>
      <w:r w:rsidR="00A14166" w:rsidRPr="002B7A50">
        <w:lastRenderedPageBreak/>
        <w:t>személyazonosság (eID) és személyiadat-tárca virtuális világban történő lehetséges használatát;</w:t>
      </w:r>
      <w:proofErr w:type="gramEnd"/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16</w:t>
      </w:r>
      <w:r w:rsidR="00A14166" w:rsidRPr="002B7A50">
        <w:t>.</w:t>
      </w:r>
      <w:r w:rsidR="00A14166" w:rsidRPr="002B7A50">
        <w:tab/>
        <w:t>ismételten hangsúlyozza a felhasználók személyes adatai és magánélete védelmének fontosságát; rámutat arra, hogy az általános adatvédelmi rendelet</w:t>
      </w:r>
      <w:r w:rsidR="00A14166" w:rsidRPr="002B7A50">
        <w:rPr>
          <w:vertAlign w:val="superscript"/>
        </w:rPr>
        <w:footnoteReference w:id="5"/>
      </w:r>
      <w:r w:rsidR="00A14166" w:rsidRPr="002B7A50">
        <w:t xml:space="preserve"> nem biztos, hogy elegendő lesz a virtuális világokban az adatvédelemmel kapcsolatos valamennyi kihívás kezelésére; kéri, hogy az innovációbarát környezet biztosítása mellett fordítsanak különös figyelmet a felhasználók által létrehozott tartalmak adatvédelmi vonatkozásaira, valamint az olyan érzékeny adatok feldolgozására, mint a biometrikus és viselkedési adatok, az érzelmi reakciók és a tapintással érzékelhető információk;</w:t>
      </w:r>
      <w:proofErr w:type="gramEnd"/>
    </w:p>
    <w:p w:rsidR="00A14166" w:rsidRPr="002B7A50" w:rsidRDefault="00EB102E" w:rsidP="002B61EC">
      <w:pPr>
        <w:pStyle w:val="NormalHanging12a"/>
      </w:pPr>
      <w:r w:rsidRPr="002B7A50">
        <w:t>17</w:t>
      </w:r>
      <w:r w:rsidR="00A14166" w:rsidRPr="002B7A50">
        <w:t>.</w:t>
      </w:r>
      <w:r w:rsidR="00A14166" w:rsidRPr="002B7A50">
        <w:tab/>
        <w:t xml:space="preserve">hangsúlyozza, hogy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világban való részvétel önkéntes, és felszólítja a Bizottságot, hogy vizsgálja meg a végleges törléshez való jog bevezetésének lehetőségét, hogy a fogyasztók kérhessék adataik és profiljaik törlését bármely alkalmazásból, online játékból és virtuális környezetből;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18</w:t>
      </w:r>
      <w:r w:rsidR="00A14166" w:rsidRPr="002B7A50">
        <w:t>.</w:t>
      </w:r>
      <w:r w:rsidR="00A14166" w:rsidRPr="002B7A50">
        <w:tab/>
        <w:t>úgy véli, hogy különös figyelmet kell fordítani az addiktív tervezésre és a sötét mintákra ezekben a virtuális környezetben; figyelmeztet a virtuális világokhoz való hozzáférésből eredő lehetséges egészségügyi problémákra, például a függőségre, a kiberbetegségre vagy az alvási zavarra; hangsúlyozza, hogy a kiskorúak és a fiatalok különösen kiszolgáltatottak ezekkel az egészségügyi problémákkal szemben, beleértve a kognitív fejlődésükre gyakorolt lehetséges hatásokat is, és hangsúlyozza, hogy az életkoruknak megfelelő tervezésre és szülői ellenőrző intézkedésekre van szükség a védelmük érdekében;</w:t>
      </w:r>
      <w:proofErr w:type="gramEnd"/>
      <w:r w:rsidR="00A14166" w:rsidRPr="002B7A50">
        <w:t xml:space="preserve"> </w:t>
      </w:r>
      <w:proofErr w:type="gramStart"/>
      <w:r w:rsidR="00A14166" w:rsidRPr="002B7A50">
        <w:t>úgy</w:t>
      </w:r>
      <w:proofErr w:type="gramEnd"/>
      <w:r w:rsidR="00A14166" w:rsidRPr="002B7A50">
        <w:t xml:space="preserve"> véli továbbá, hogy a testet közvetlenül és tartósan módosító technológiák hatásainak kutatására van szükség;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19</w:t>
      </w:r>
      <w:r w:rsidR="00A14166" w:rsidRPr="002B7A50">
        <w:t>.</w:t>
      </w:r>
      <w:r w:rsidR="00A14166" w:rsidRPr="002B7A50">
        <w:tab/>
        <w:t>emlékeztet arra, hogy a virtuális világok és az immerzív oktatás elősegíthetik a gyermekek jogait oktatásuk, önrendelkezésük, részvételük és játékuk tekintetében, és olyan egyedi élményeket nyújthatnak, amelyek segíthetnek a kiskorúaknak a tanulási kedvük fejlesztésében, például a játékos tanulás révén; megjegyzi, hogy az ebben való részvétel segítheti őket az együttműködéssel, a kommunikációval, a kritikus gondolkodással, az innovációval kapcsolatos készségek és az önbizalmuk fejlesztésében; hangsúlyozza a lehetőséget az Eu-ban tapasztalt készséghiány kezelésére és a jövő tehetségeinek képzésére;</w:t>
      </w:r>
      <w:proofErr w:type="gramEnd"/>
      <w:r w:rsidR="00A14166" w:rsidRPr="002B7A50">
        <w:t xml:space="preserve"> hangsúlyozza, hogy olyan oktatási programokra van szükség, amelyek segítik a gyermekeket és fiatalokat a technológiai változásokhoz való alkalmazkodásban, valamint olyan egészséges és kiegyensúlyozott megközelítést alkalmaznak, amely ötvözi a hagyományos társadalmi </w:t>
      </w:r>
      <w:proofErr w:type="gramStart"/>
      <w:r w:rsidR="00A14166" w:rsidRPr="002B7A50">
        <w:t>interakciót</w:t>
      </w:r>
      <w:proofErr w:type="gramEnd"/>
      <w:r w:rsidR="00A14166" w:rsidRPr="002B7A50">
        <w:t xml:space="preserve"> a virtuális környezetben eltöltött idővel, és biztosítja a szülők számára a felügyelethez és a nagyobb fokú tájékozottságon alapuló döntésekhez szükséges eszközöket gyermekeik virtuális környezetbe való beengedésekor vagy bevonásakor;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20.</w:t>
      </w:r>
      <w:r w:rsidRPr="002B7A50">
        <w:tab/>
      </w:r>
      <w:r w:rsidR="00A14166" w:rsidRPr="002B7A50">
        <w:t xml:space="preserve">megjegyzi, hogy kutatásra van szükség a virtuális valóság és más technológiák kognitív és viselkedési fejlődésre gyakorolt hatásáról; rámutat a képernyők túl korán elkezdett és túlzott használatával járó lehetséges kockázatokra, mivel hatással lehetnek a kiskorúak jóllétére és megfelelő kognitív, testi, lelki és társadalmi fejlődésére; ragaszkodik a felelősségteljes képernyőhasználatról szóló tájékoztató kampányok végrehajtásához; </w:t>
      </w:r>
      <w:r w:rsidR="00A14166" w:rsidRPr="002B7A50">
        <w:lastRenderedPageBreak/>
        <w:t>hangsúlyozza, hogy a pedagógusokat megfelelő képzésben kell részesíteni annak biztosítása érdekében, hogy rendelkezzenek a szükséges digitális készségekkel és jártassággal;</w:t>
      </w:r>
      <w:proofErr w:type="gramEnd"/>
      <w:r w:rsidR="00A14166" w:rsidRPr="002B7A50">
        <w:t xml:space="preserve"> </w:t>
      </w:r>
      <w:proofErr w:type="gramStart"/>
      <w:r w:rsidR="00A14166" w:rsidRPr="002B7A50">
        <w:t>felhívja a Bizottságot, hogy ösztönözze azokat a kezdeményezéseket, amelyek keretében az egyetemek, mérnökképző intézmények és ágazati szereplők partnereként értékelik a készséghiányokat, közösen megtervezik a menetrendeket, és megerősítik az uniós fiatalokra irányuló köz-magán együttműködést; hangsúlyozza annak fontosságát, hogy a kiskorúak számára egyéb offline és online környezetben biztosított legmagasabb szintű védelmet a virtuális világokra is kiterjesszük a különböző kockázatokkal szemben, ideértve többek között a visszaéléseket, a zaklatást, a zaklatást és az erőszakos, szexista, rasszista</w:t>
      </w:r>
      <w:proofErr w:type="gramEnd"/>
      <w:r w:rsidR="00A14166" w:rsidRPr="002B7A50">
        <w:t xml:space="preserve"> vagy pornográf tartalmaknak való kitettséget; hangsúlyozza, hogy el kell ismerni a gyermekek sajátos szükségleteit, sebezhetőségét és jogait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világban; hangsúlyozza annak fontosságát, hogy olyan online szolgáltatásokat és termékeket tervezzenek és működtessenek, amelyekhez főként gyermekek férnek hozzá, és amelyek eleve és alapértelmezés szerint biztonságosak a gyermekek számára;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21</w:t>
      </w:r>
      <w:r w:rsidR="00A14166" w:rsidRPr="002B7A50">
        <w:t>.</w:t>
      </w:r>
      <w:r w:rsidR="00A14166" w:rsidRPr="002B7A50">
        <w:tab/>
        <w:t>megjegyzi, hogy a virtuális világok nagy felbontású képeket, grafikákat és videókat fognak generálni az immerzív felhasználói élmény érdekében, ami további nagy teljesítményű infrastruktúrát igényel; megjegyzi, hogy különösen az új generációs mobilhálózatok, valamint az alacsony késleltetési képességű és nagy sávszélességű, hatékony wifi-kapcsolatok – például a Wifi 6 – kulcsfontosságúak lesznek, csakúgy, mint az olyan technológiák, mint a pereminformatika; emlékeztet az Európai Számvevőszék 2022. januári jelentésére, amely szerint az 5G valamennyi uniós tagállamban történő kiépítésének összköltsége</w:t>
      </w:r>
      <w:proofErr w:type="gramEnd"/>
      <w:r w:rsidR="00A14166" w:rsidRPr="002B7A50">
        <w:t xml:space="preserve"> 2025-re 281 és 391 milliárd euró között lesz, beleértve az új 5G infrastruktúra kiépítését és a meglévő infrastruktúra korszerűsítését is;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22</w:t>
      </w:r>
      <w:r w:rsidR="00A14166" w:rsidRPr="002B7A50">
        <w:t>.</w:t>
      </w:r>
      <w:r w:rsidR="00A14166" w:rsidRPr="002B7A50">
        <w:tab/>
        <w:t>aggodalommal veszi tudomásul, hogy a virtuális világok fokozódó használata kizárhat bizonyos olyan embercsoportokat is, akik nem rendelkeznek az ahhoz szükséges alapvető készségekkel vagy erőforrásokkal, hogy részesei legyenek ennek a környezetnek, ugyanakkor a vidéki és távoli területeken, például a legkülső régiókban élő embereket is; hangsúlyozza, hogy a digitális írástudás, valamint a minőségi és megfizethető internethez való hozzáférés előfeltétele a virtuális világokra vonatkozó bármilyen uniós szintű keretrendszernek; felhívja a Bizottságot, hogy végezzen értékelést arról, hogyan biztosítható,</w:t>
      </w:r>
      <w:proofErr w:type="gramEnd"/>
      <w:r w:rsidR="00A14166" w:rsidRPr="002B7A50">
        <w:t xml:space="preserve"> </w:t>
      </w:r>
      <w:proofErr w:type="gramStart"/>
      <w:r w:rsidR="00A14166" w:rsidRPr="002B7A50">
        <w:t>hogy a virtuális világok fejlesztéséhez és működéséhez szükséges infrastruktúra és eszközök, valamint a Web 3.0-ról a Web 4.0-ra való átállás elérhetők legyenek a fogyasztók számára, a távoli területeken és az alacsony jövedelmű háztartásokban is; hangsúlyozza, hogy a távközlés valódi egységes piaca kulcsfontosságú ebben a tekintetben; figyelmeztet a kriptovalutákat érintő pénzügyi tranzakciók veszélyeire, különösen a csalásokra és a szélhámosságokra, amelyek a virtuális világokban még súlyosabbá válhatnak; emlékeztet arra is, hogy számos kriptovaluta-tranzakció visszafordíthatatlansága a párhuzamos</w:t>
      </w:r>
      <w:proofErr w:type="gramEnd"/>
      <w:r w:rsidR="00A14166" w:rsidRPr="002B7A50">
        <w:t xml:space="preserve"> </w:t>
      </w:r>
      <w:proofErr w:type="gramStart"/>
      <w:r w:rsidR="00A14166" w:rsidRPr="002B7A50">
        <w:t>gazdaság</w:t>
      </w:r>
      <w:proofErr w:type="gramEnd"/>
      <w:r w:rsidR="00A14166" w:rsidRPr="002B7A50">
        <w:t xml:space="preserve"> új csatornáit is jelenti, mivel a csalás áldozatai számára nem vagy csak alig lehetséges az elveszett pénzösszegek visszaszerzése; üdvözli a kriptoeszközök európai uniós piacairól (MiCA) szóló rendeletet</w:t>
      </w:r>
      <w:r w:rsidR="00A14166" w:rsidRPr="002B7A50">
        <w:rPr>
          <w:rStyle w:val="FootnoteReference"/>
        </w:rPr>
        <w:footnoteReference w:id="6"/>
      </w:r>
      <w:r w:rsidR="00A14166" w:rsidRPr="002B7A50">
        <w:t>, amelynek célja a kriptovaluták és a digitális eszközök jogi keretének létrehozása;</w:t>
      </w:r>
    </w:p>
    <w:p w:rsidR="00A14166" w:rsidRPr="002B7A50" w:rsidRDefault="00A14166" w:rsidP="002B61EC">
      <w:pPr>
        <w:pStyle w:val="Normal12a24b"/>
        <w:widowControl/>
        <w:spacing w:before="0"/>
        <w:ind w:left="567" w:hanging="567"/>
      </w:pPr>
      <w:r w:rsidRPr="002B7A50">
        <w:rPr>
          <w:rStyle w:val="BoldItalic"/>
        </w:rPr>
        <w:t>Fenntarthatóság</w:t>
      </w:r>
    </w:p>
    <w:p w:rsidR="00A14166" w:rsidRPr="002B7A50" w:rsidRDefault="00EB102E" w:rsidP="002B61EC">
      <w:pPr>
        <w:pStyle w:val="NormalHanging12a"/>
      </w:pPr>
      <w:r w:rsidRPr="002B7A50">
        <w:lastRenderedPageBreak/>
        <w:t>23</w:t>
      </w:r>
      <w:r w:rsidR="00A14166" w:rsidRPr="002B7A50">
        <w:t>.</w:t>
      </w:r>
      <w:r w:rsidR="00A14166" w:rsidRPr="002B7A50">
        <w:tab/>
        <w:t xml:space="preserve">rámutat, hogy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világokhoz való hozzáféréshez szükséges eszközök előállításához olyan erőforrásokra van szükség, mint a ritkaföldfémek és más ásványi nyersanyagok; e tekintetben üdvözli a kritikus fontosságú nyersanyagokkal való biztonságos és fenntartható ellátást biztosító keret meghatározásáról szóló rendeletre irányuló bizottsági javaslat (COM(2023)0160) előterjesztését;</w:t>
      </w:r>
    </w:p>
    <w:p w:rsidR="00A14166" w:rsidRPr="002B7A50" w:rsidRDefault="00EB102E" w:rsidP="002B61EC">
      <w:pPr>
        <w:pStyle w:val="NormalHanging12a"/>
        <w:rPr>
          <w:szCs w:val="24"/>
        </w:rPr>
      </w:pPr>
      <w:r w:rsidRPr="002B7A50">
        <w:t>24</w:t>
      </w:r>
      <w:r w:rsidR="00A14166" w:rsidRPr="002B7A50">
        <w:t>.</w:t>
      </w:r>
      <w:r w:rsidR="00A14166" w:rsidRPr="002B7A50">
        <w:tab/>
        <w:t xml:space="preserve">megállapítja, hogy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világokban és a Web 4.0-ban megvan a potenciál ahhoz, hogy pozitívan járuljanak hozzá az éghajlatváltozás elleni küzdelemhez és a környezeti fenntarthatósághoz, például a távmunka megkönnyítése révén, ezáltal csökkentve az ingázást és a kapcsolódó szén-dioxid-kibocsátást; megjegyzi, hogy a digitális megoldásokat és új üzleti modelleket lehetővé tévő hálózati infrastruktúrák döntő szerepet játszanak;</w:t>
      </w:r>
    </w:p>
    <w:p w:rsidR="00A14166" w:rsidRPr="002B7A50" w:rsidRDefault="00EB102E" w:rsidP="002B61EC">
      <w:pPr>
        <w:pStyle w:val="NormalHanging12a"/>
        <w:rPr>
          <w:szCs w:val="24"/>
        </w:rPr>
      </w:pPr>
      <w:proofErr w:type="gramStart"/>
      <w:r w:rsidRPr="002B7A50">
        <w:t>25</w:t>
      </w:r>
      <w:r w:rsidR="00A14166" w:rsidRPr="002B7A50">
        <w:t>.</w:t>
      </w:r>
      <w:r w:rsidR="00A14166" w:rsidRPr="002B7A50">
        <w:tab/>
        <w:t>úgy véli, hogy a virtuális világok kialakítása és bevezetése során figyelembe kell venni a környezetre gyakorolt hatást; kiemeli, hogy fel kell hívni a fogyasztók figyelmét ezen új technológiák környezeti hatásaira és fenntarthatóságára, beleértve az elektronikus hulladékot; megjegyzi, hogy a Nemzetközi Energia Ügynökség szerint a nagy adatközpontok villamosenergia-fogyasztása jelenleg a globális villamosenergia-felhasználás 1–1,5%-át teszi ki, rámutat arra, hogy a virtuális technológiák széles körű bevezetése esetén az adatközpontok villamosenergia-fogyasztása növekedhet; emlékeztet arra,</w:t>
      </w:r>
      <w:proofErr w:type="gramEnd"/>
      <w:r w:rsidR="00A14166" w:rsidRPr="002B7A50">
        <w:t xml:space="preserve"> hogy a </w:t>
      </w:r>
      <w:proofErr w:type="gramStart"/>
      <w:r w:rsidR="00A14166" w:rsidRPr="002B7A50">
        <w:t>virtuális</w:t>
      </w:r>
      <w:proofErr w:type="gramEnd"/>
      <w:r w:rsidR="00A14166" w:rsidRPr="002B7A50">
        <w:t xml:space="preserve"> világok előállításához, használatához és fejlesztéséhez kapcsolódó tevékenységek energiafogyasztásának és környezeti lábnyomának csökkentése érdekében ki kell használni, fel kell gyorsítani és ösztönözni kell a technológiai fejlesztéseket, például a fejlett újrahasznosítási technikákat és a megújuló energiaforrásokat;</w:t>
      </w:r>
    </w:p>
    <w:p w:rsidR="00A14166" w:rsidRPr="002B7A50" w:rsidRDefault="00A14166" w:rsidP="002B61EC">
      <w:pPr>
        <w:pStyle w:val="NormalCenter12a"/>
        <w:widowControl/>
        <w:ind w:left="567" w:hanging="567"/>
      </w:pPr>
      <w:r w:rsidRPr="002B7A50">
        <w:t>°</w:t>
      </w:r>
    </w:p>
    <w:p w:rsidR="00A14166" w:rsidRPr="002B7A50" w:rsidRDefault="00A14166" w:rsidP="002B61EC">
      <w:pPr>
        <w:pStyle w:val="NormalCenter12a"/>
        <w:widowControl/>
        <w:ind w:left="567" w:hanging="567"/>
      </w:pPr>
      <w:r w:rsidRPr="002B7A50">
        <w:t>°</w:t>
      </w:r>
      <w:r w:rsidRPr="002B7A50">
        <w:tab/>
        <w:t>°</w:t>
      </w:r>
    </w:p>
    <w:p w:rsidR="00A14166" w:rsidRPr="00B5771A" w:rsidRDefault="00EB102E" w:rsidP="002B61EC">
      <w:pPr>
        <w:pStyle w:val="NormalHanging12a"/>
      </w:pPr>
      <w:r w:rsidRPr="002B7A50">
        <w:t>26</w:t>
      </w:r>
      <w:r w:rsidR="00A14166" w:rsidRPr="002B7A50">
        <w:t>.</w:t>
      </w:r>
      <w:r w:rsidR="00A14166" w:rsidRPr="002B7A50">
        <w:tab/>
        <w:t>utasítja elnökét, hogy továbbítsa ezt az állásfoglalást a Bizottságnak és a Tanácsnak, valamint a tagállamok kormányainak és parlamentjeinek.</w:t>
      </w:r>
    </w:p>
    <w:p w:rsidR="00E365E1" w:rsidRPr="00B5771A" w:rsidRDefault="00E365E1" w:rsidP="00EB102E">
      <w:pPr>
        <w:widowControl/>
        <w:spacing w:after="240"/>
      </w:pPr>
      <w:bookmarkStart w:id="9" w:name="TextBodyEnd"/>
      <w:bookmarkEnd w:id="9"/>
    </w:p>
    <w:sectPr w:rsidR="00E365E1" w:rsidRPr="00B5771A" w:rsidSect="00B577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055" w:rsidRPr="00B5771A" w:rsidRDefault="00392055">
      <w:r w:rsidRPr="00B5771A">
        <w:separator/>
      </w:r>
    </w:p>
  </w:endnote>
  <w:endnote w:type="continuationSeparator" w:id="0">
    <w:p w:rsidR="00392055" w:rsidRPr="00B5771A" w:rsidRDefault="00392055">
      <w:r w:rsidRPr="00B577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7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7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7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055" w:rsidRPr="00B5771A" w:rsidRDefault="00392055">
      <w:r w:rsidRPr="00B5771A">
        <w:separator/>
      </w:r>
    </w:p>
  </w:footnote>
  <w:footnote w:type="continuationSeparator" w:id="0">
    <w:p w:rsidR="00392055" w:rsidRPr="00B5771A" w:rsidRDefault="00392055">
      <w:r w:rsidRPr="00B5771A">
        <w:continuationSeparator/>
      </w:r>
    </w:p>
  </w:footnote>
  <w:footnote w:id="1">
    <w:p w:rsidR="00A14166" w:rsidRPr="002B7A50" w:rsidRDefault="00A14166" w:rsidP="00B5771A">
      <w:pPr>
        <w:pStyle w:val="FootnoteText"/>
        <w:ind w:left="567" w:hanging="567"/>
        <w:rPr>
          <w:sz w:val="24"/>
          <w:szCs w:val="24"/>
          <w:lang w:val="hu-HU"/>
        </w:rPr>
      </w:pPr>
      <w:r w:rsidRPr="00EB102E">
        <w:rPr>
          <w:rStyle w:val="FootnoteReference"/>
          <w:sz w:val="24"/>
          <w:szCs w:val="24"/>
          <w:lang w:val="hu-HU"/>
        </w:rPr>
        <w:footnoteRef/>
      </w:r>
      <w:r w:rsidR="00B5771A" w:rsidRPr="00EB102E">
        <w:rPr>
          <w:sz w:val="24"/>
          <w:szCs w:val="24"/>
          <w:lang w:val="hu-HU"/>
        </w:rPr>
        <w:t xml:space="preserve"> </w:t>
      </w:r>
      <w:r w:rsidR="00B5771A" w:rsidRPr="00EB102E">
        <w:rPr>
          <w:sz w:val="24"/>
          <w:szCs w:val="24"/>
          <w:lang w:val="hu-HU"/>
        </w:rPr>
        <w:tab/>
      </w:r>
      <w:hyperlink r:id="rId1" w:history="1">
        <w:r w:rsidRPr="002B7A50">
          <w:rPr>
            <w:szCs w:val="24"/>
          </w:rPr>
          <w:t>Az Európai Parlament és a Tanács (EU) 2022/2065 rendelete (2022. október 19.) a digitális szolgáltatások egységes piacáról és a 2000/31/EK irányelv módosításáról (digitális szolgáltatásokról szóló rendelet) (HL L 277., 2022.10.27., 1. o.).</w:t>
        </w:r>
      </w:hyperlink>
    </w:p>
  </w:footnote>
  <w:footnote w:id="2">
    <w:p w:rsidR="00A14166" w:rsidRPr="00796D72" w:rsidRDefault="00A14166" w:rsidP="00B5771A">
      <w:pPr>
        <w:pStyle w:val="FootnoteText"/>
        <w:ind w:left="567" w:hanging="567"/>
        <w:rPr>
          <w:sz w:val="24"/>
          <w:szCs w:val="24"/>
          <w:lang w:val="hu-HU"/>
        </w:rPr>
      </w:pPr>
      <w:r w:rsidRPr="00EB102E">
        <w:rPr>
          <w:rStyle w:val="FootnoteReference"/>
          <w:sz w:val="24"/>
          <w:szCs w:val="24"/>
          <w:lang w:val="hu-HU"/>
        </w:rPr>
        <w:footnoteRef/>
      </w:r>
      <w:r w:rsidR="00B5771A" w:rsidRPr="00EB102E">
        <w:rPr>
          <w:sz w:val="24"/>
          <w:szCs w:val="24"/>
          <w:lang w:val="hu-HU"/>
        </w:rPr>
        <w:t xml:space="preserve"> </w:t>
      </w:r>
      <w:r w:rsidR="00B5771A" w:rsidRPr="00EB102E">
        <w:rPr>
          <w:sz w:val="24"/>
          <w:szCs w:val="24"/>
          <w:lang w:val="hu-HU"/>
        </w:rPr>
        <w:tab/>
      </w:r>
      <w:hyperlink r:id="rId2" w:history="1">
        <w:r w:rsidRPr="002B7A50">
          <w:rPr>
            <w:szCs w:val="24"/>
            <w:lang w:val="hu-HU"/>
          </w:rPr>
          <w:t>Az Európai Parlament és a Tanács (EU) 2022/1925 rendelete (2022. szeptember 14.) a digitális ágazat vonatkozásában a versengő és tisztességes piacokról, valamint az (EU) 2019/1937 és az (EU) 2020/1828 irányelv módosításáról (digitális piacokról szóló jogszabály) (HL L 265., 2022.10.12</w:t>
        </w:r>
        <w:proofErr w:type="gramStart"/>
        <w:r w:rsidRPr="002B7A50">
          <w:rPr>
            <w:szCs w:val="24"/>
            <w:lang w:val="hu-HU"/>
          </w:rPr>
          <w:t>.,</w:t>
        </w:r>
        <w:proofErr w:type="gramEnd"/>
        <w:r w:rsidRPr="002B7A50">
          <w:rPr>
            <w:szCs w:val="24"/>
            <w:lang w:val="hu-HU"/>
          </w:rPr>
          <w:t xml:space="preserve"> 1. o.).</w:t>
        </w:r>
      </w:hyperlink>
    </w:p>
  </w:footnote>
  <w:footnote w:id="3">
    <w:p w:rsidR="00A14166" w:rsidRPr="00796D72" w:rsidRDefault="00A14166" w:rsidP="00B5771A">
      <w:pPr>
        <w:pStyle w:val="FootnoteText"/>
        <w:ind w:left="567" w:hanging="567"/>
        <w:rPr>
          <w:sz w:val="24"/>
          <w:szCs w:val="24"/>
          <w:lang w:val="hu-HU"/>
        </w:rPr>
      </w:pPr>
      <w:r w:rsidRPr="00EB102E">
        <w:rPr>
          <w:rStyle w:val="FootnoteReference"/>
          <w:sz w:val="24"/>
          <w:szCs w:val="24"/>
          <w:lang w:val="hu-HU"/>
        </w:rPr>
        <w:footnoteRef/>
      </w:r>
      <w:r w:rsidR="00B5771A" w:rsidRPr="00EB102E">
        <w:rPr>
          <w:sz w:val="24"/>
          <w:szCs w:val="24"/>
          <w:lang w:val="hu-HU"/>
        </w:rPr>
        <w:t xml:space="preserve"> </w:t>
      </w:r>
      <w:r w:rsidR="00B5771A" w:rsidRPr="00EB102E">
        <w:rPr>
          <w:sz w:val="24"/>
          <w:szCs w:val="24"/>
          <w:lang w:val="hu-HU"/>
        </w:rPr>
        <w:tab/>
      </w:r>
      <w:r w:rsidRPr="00EB102E">
        <w:rPr>
          <w:sz w:val="24"/>
          <w:szCs w:val="24"/>
          <w:lang w:val="hu-HU"/>
        </w:rPr>
        <w:t>Az Európai Parlament és a Tanács (EU) 2019/882 irányelve (2019. április 17.) a termékekre és a szolgáltatásokra vonatkozó akadálymentességi követelményekről</w:t>
      </w:r>
      <w:r w:rsidR="00EB102E" w:rsidRPr="00EB102E">
        <w:rPr>
          <w:sz w:val="24"/>
          <w:szCs w:val="24"/>
          <w:lang w:val="hu-HU"/>
        </w:rPr>
        <w:t xml:space="preserve"> (</w:t>
      </w:r>
      <w:r w:rsidRPr="00796D72">
        <w:rPr>
          <w:sz w:val="24"/>
          <w:szCs w:val="24"/>
          <w:lang w:val="hu-HU"/>
        </w:rPr>
        <w:t>HL L 151., 2019.6.7</w:t>
      </w:r>
      <w:proofErr w:type="gramStart"/>
      <w:r w:rsidRPr="00796D72">
        <w:rPr>
          <w:sz w:val="24"/>
          <w:szCs w:val="24"/>
          <w:lang w:val="hu-HU"/>
        </w:rPr>
        <w:t>.,</w:t>
      </w:r>
      <w:proofErr w:type="gramEnd"/>
      <w:r w:rsidRPr="00796D72">
        <w:rPr>
          <w:sz w:val="24"/>
          <w:szCs w:val="24"/>
          <w:lang w:val="hu-HU"/>
        </w:rPr>
        <w:t xml:space="preserve"> 70. o.</w:t>
      </w:r>
      <w:r w:rsidR="00EB102E" w:rsidRPr="00796D72">
        <w:rPr>
          <w:sz w:val="24"/>
          <w:szCs w:val="24"/>
          <w:lang w:val="hu-HU"/>
        </w:rPr>
        <w:t>).</w:t>
      </w:r>
    </w:p>
  </w:footnote>
  <w:footnote w:id="4">
    <w:p w:rsidR="00A14166" w:rsidRPr="00796D72" w:rsidRDefault="00A14166" w:rsidP="00B5771A">
      <w:pPr>
        <w:pStyle w:val="FootnoteText"/>
        <w:ind w:left="567" w:hanging="567"/>
        <w:rPr>
          <w:sz w:val="24"/>
          <w:szCs w:val="24"/>
          <w:lang w:val="hu-HU"/>
        </w:rPr>
      </w:pPr>
      <w:r w:rsidRPr="00EB102E">
        <w:rPr>
          <w:rStyle w:val="FootnoteReference"/>
          <w:sz w:val="24"/>
          <w:szCs w:val="24"/>
          <w:lang w:val="hu-HU"/>
        </w:rPr>
        <w:footnoteRef/>
      </w:r>
      <w:r w:rsidR="00B5771A" w:rsidRPr="00EB102E">
        <w:rPr>
          <w:sz w:val="24"/>
          <w:szCs w:val="24"/>
          <w:lang w:val="hu-HU"/>
        </w:rPr>
        <w:t xml:space="preserve"> </w:t>
      </w:r>
      <w:r w:rsidR="00B5771A" w:rsidRPr="00EB102E">
        <w:rPr>
          <w:sz w:val="24"/>
          <w:szCs w:val="24"/>
          <w:lang w:val="hu-HU"/>
        </w:rPr>
        <w:tab/>
      </w:r>
      <w:r w:rsidRPr="00EB102E">
        <w:rPr>
          <w:sz w:val="24"/>
          <w:szCs w:val="24"/>
          <w:lang w:val="hu-HU"/>
        </w:rPr>
        <w:t>Az Európai Parlament és a Tanács (EU) 2016/2102 irányelve (2016. október 26.) a közszférabeli szervezetek honlapjainak és mobilalkalmazásainak akadálymentesítéséről</w:t>
      </w:r>
      <w:r w:rsidR="00EB102E" w:rsidRPr="00796D72">
        <w:rPr>
          <w:sz w:val="24"/>
          <w:szCs w:val="24"/>
          <w:lang w:val="hu-HU"/>
        </w:rPr>
        <w:t xml:space="preserve"> (</w:t>
      </w:r>
      <w:r w:rsidRPr="00796D72">
        <w:rPr>
          <w:sz w:val="24"/>
          <w:szCs w:val="24"/>
          <w:lang w:val="hu-HU"/>
        </w:rPr>
        <w:t>HL L 327., 2016.12.2</w:t>
      </w:r>
      <w:proofErr w:type="gramStart"/>
      <w:r w:rsidRPr="00796D72">
        <w:rPr>
          <w:sz w:val="24"/>
          <w:szCs w:val="24"/>
          <w:lang w:val="hu-HU"/>
        </w:rPr>
        <w:t>.,</w:t>
      </w:r>
      <w:proofErr w:type="gramEnd"/>
      <w:r w:rsidRPr="00796D72">
        <w:rPr>
          <w:sz w:val="24"/>
          <w:szCs w:val="24"/>
          <w:lang w:val="hu-HU"/>
        </w:rPr>
        <w:t xml:space="preserve"> 1. o.</w:t>
      </w:r>
      <w:r w:rsidR="00EB102E" w:rsidRPr="00796D72">
        <w:rPr>
          <w:sz w:val="24"/>
          <w:szCs w:val="24"/>
          <w:lang w:val="hu-HU"/>
        </w:rPr>
        <w:t>).</w:t>
      </w:r>
    </w:p>
  </w:footnote>
  <w:footnote w:id="5">
    <w:p w:rsidR="00A14166" w:rsidRPr="00796D72" w:rsidRDefault="00A14166" w:rsidP="00B5771A">
      <w:pPr>
        <w:pStyle w:val="FootnoteText"/>
        <w:ind w:left="567" w:hanging="567"/>
        <w:rPr>
          <w:sz w:val="24"/>
          <w:szCs w:val="24"/>
          <w:lang w:val="hu-HU"/>
        </w:rPr>
      </w:pPr>
      <w:r w:rsidRPr="00EB102E">
        <w:rPr>
          <w:rStyle w:val="FootnoteReference"/>
          <w:sz w:val="24"/>
          <w:szCs w:val="24"/>
          <w:lang w:val="hu-HU"/>
        </w:rPr>
        <w:footnoteRef/>
      </w:r>
      <w:r w:rsidR="00B5771A" w:rsidRPr="00EB102E">
        <w:rPr>
          <w:sz w:val="24"/>
          <w:szCs w:val="24"/>
          <w:lang w:val="hu-HU"/>
        </w:rPr>
        <w:t xml:space="preserve"> </w:t>
      </w:r>
      <w:r w:rsidR="00B5771A" w:rsidRPr="00EB102E">
        <w:rPr>
          <w:sz w:val="24"/>
          <w:szCs w:val="24"/>
          <w:lang w:val="hu-HU"/>
        </w:rPr>
        <w:tab/>
      </w:r>
      <w:r w:rsidRPr="00EB102E">
        <w:rPr>
          <w:sz w:val="24"/>
          <w:szCs w:val="24"/>
          <w:lang w:val="hu-HU"/>
        </w:rPr>
        <w:t xml:space="preserve">Az Európai Parlament és a Tanács (EU) 2016/679 rendelete (2016. </w:t>
      </w:r>
      <w:r w:rsidRPr="00796D72">
        <w:rPr>
          <w:sz w:val="24"/>
          <w:szCs w:val="24"/>
          <w:lang w:val="hu-HU"/>
        </w:rPr>
        <w:t>április 27.) a természetes személyeknek a személyes adatok kezelése tekintetében történő védelméről és az ilyen adatok szabad áramlásáról, valamint a 95/46/EK irányelv hatályon kívül helyezéséről (általános adatvédelmi rendelet)</w:t>
      </w:r>
      <w:r w:rsidR="00EB102E" w:rsidRPr="00796D72">
        <w:rPr>
          <w:sz w:val="24"/>
          <w:szCs w:val="24"/>
          <w:lang w:val="hu-HU"/>
        </w:rPr>
        <w:t xml:space="preserve"> (</w:t>
      </w:r>
      <w:r w:rsidRPr="00796D72">
        <w:rPr>
          <w:sz w:val="24"/>
          <w:szCs w:val="24"/>
          <w:lang w:val="hu-HU"/>
        </w:rPr>
        <w:t>HL L 119., 2016.5.4</w:t>
      </w:r>
      <w:proofErr w:type="gramStart"/>
      <w:r w:rsidRPr="00796D72">
        <w:rPr>
          <w:sz w:val="24"/>
          <w:szCs w:val="24"/>
          <w:lang w:val="hu-HU"/>
        </w:rPr>
        <w:t>.,</w:t>
      </w:r>
      <w:proofErr w:type="gramEnd"/>
      <w:r w:rsidRPr="00796D72">
        <w:rPr>
          <w:sz w:val="24"/>
          <w:szCs w:val="24"/>
          <w:lang w:val="hu-HU"/>
        </w:rPr>
        <w:t xml:space="preserve"> 1. o.</w:t>
      </w:r>
      <w:r w:rsidR="00EB102E" w:rsidRPr="00796D72">
        <w:rPr>
          <w:sz w:val="24"/>
          <w:szCs w:val="24"/>
          <w:lang w:val="hu-HU"/>
        </w:rPr>
        <w:t>).</w:t>
      </w:r>
    </w:p>
  </w:footnote>
  <w:footnote w:id="6">
    <w:p w:rsidR="00A14166" w:rsidRPr="00EB102E" w:rsidRDefault="00A14166" w:rsidP="00B5771A">
      <w:pPr>
        <w:pStyle w:val="FootnoteText"/>
        <w:ind w:left="567" w:hanging="567"/>
        <w:rPr>
          <w:sz w:val="24"/>
          <w:szCs w:val="24"/>
          <w:lang w:val="hu-HU"/>
        </w:rPr>
      </w:pPr>
      <w:r w:rsidRPr="00EB102E">
        <w:rPr>
          <w:rStyle w:val="FootnoteReference"/>
          <w:sz w:val="24"/>
          <w:szCs w:val="24"/>
          <w:lang w:val="hu-HU"/>
        </w:rPr>
        <w:footnoteRef/>
      </w:r>
      <w:r w:rsidR="00B5771A" w:rsidRPr="00EB102E">
        <w:rPr>
          <w:sz w:val="24"/>
          <w:szCs w:val="24"/>
          <w:lang w:val="hu-HU"/>
        </w:rPr>
        <w:t xml:space="preserve"> </w:t>
      </w:r>
      <w:r w:rsidR="00B5771A" w:rsidRPr="00EB102E">
        <w:rPr>
          <w:sz w:val="24"/>
          <w:szCs w:val="24"/>
          <w:lang w:val="hu-HU"/>
        </w:rPr>
        <w:tab/>
      </w:r>
      <w:hyperlink r:id="rId3" w:history="1">
        <w:r w:rsidRPr="002B7A50">
          <w:rPr>
            <w:szCs w:val="24"/>
          </w:rPr>
          <w:t>HL L 150., 2023.6.9., 40. o.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7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7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7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7/2023"/>
    <w:docVar w:name="dvlangue" w:val="HU"/>
    <w:docVar w:name="dvnumam" w:val="0"/>
    <w:docVar w:name="dvpe" w:val="751.902"/>
    <w:docVar w:name="dvrapporteur" w:val="Előadó: "/>
    <w:docVar w:name="dvtitre" w:val="Az Európai Parlament 2024.  ...-i állásfoglalása a virtuális világokról – lehetőségek, kockázatok és az egységes piacot érintő szakpolitikai következmények(2022/2198(INI))"/>
  </w:docVars>
  <w:rsids>
    <w:rsidRoot w:val="003920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1EC"/>
    <w:rsid w:val="002B7A50"/>
    <w:rsid w:val="00343214"/>
    <w:rsid w:val="00361C00"/>
    <w:rsid w:val="0039205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31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D7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16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7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60"/>
    <w:rsid w:val="00E365E1"/>
    <w:rsid w:val="00E820A4"/>
    <w:rsid w:val="00EB006A"/>
    <w:rsid w:val="00EB102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02669"/>
  <w15:chartTrackingRefBased/>
  <w15:docId w15:val="{59CE52F9-A04D-4439-ABC6-3FCBC4DA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416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A1416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14166"/>
    <w:pPr>
      <w:spacing w:after="240"/>
      <w:jc w:val="center"/>
    </w:pPr>
  </w:style>
  <w:style w:type="character" w:customStyle="1" w:styleId="BoldItalic">
    <w:name w:val="BoldItalic"/>
    <w:uiPriority w:val="1"/>
    <w:rsid w:val="00A14166"/>
    <w:rPr>
      <w:b/>
      <w:i/>
      <w:u w:val="none"/>
    </w:rPr>
  </w:style>
  <w:style w:type="character" w:customStyle="1" w:styleId="Italic">
    <w:name w:val="Italic"/>
    <w:uiPriority w:val="1"/>
    <w:rsid w:val="00A14166"/>
    <w:rPr>
      <w:i/>
    </w:rPr>
  </w:style>
  <w:style w:type="paragraph" w:customStyle="1" w:styleId="Normal12a24b">
    <w:name w:val="Normal12a24b"/>
    <w:basedOn w:val="Normal"/>
    <w:rsid w:val="00A14166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A14166"/>
    <w:rPr>
      <w:snapToGrid w:val="0"/>
      <w:sz w:val="24"/>
      <w:lang w:val="hu-HU" w:eastAsia="en-US"/>
    </w:rPr>
  </w:style>
  <w:style w:type="character" w:styleId="Hyperlink">
    <w:name w:val="Hyperlink"/>
    <w:basedOn w:val="DefaultParagraphFont"/>
    <w:uiPriority w:val="99"/>
    <w:unhideWhenUsed/>
    <w:rsid w:val="00A1416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B10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102E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3/1114/oj" TargetMode="External"/><Relationship Id="rId2" Type="http://schemas.openxmlformats.org/officeDocument/2006/relationships/hyperlink" Target="https://eur-lex.europa.eu/legal-content/HU/TXT/?uri=CELEX:32022R1925" TargetMode="External"/><Relationship Id="rId1" Type="http://schemas.openxmlformats.org/officeDocument/2006/relationships/hyperlink" Target="https://eur-lex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A234-897C-4623-8566-8E5349C87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2899</Words>
  <Characters>21034</Characters>
  <Application>Microsoft Office Word</Application>
  <DocSecurity>0</DocSecurity>
  <Lines>447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KOVACS-BOKOR Karoly</cp:lastModifiedBy>
  <cp:revision>2</cp:revision>
  <cp:lastPrinted>2004-11-19T15:42:00Z</cp:lastPrinted>
  <dcterms:created xsi:type="dcterms:W3CDTF">2024-02-14T09:39:00Z</dcterms:created>
  <dcterms:modified xsi:type="dcterms:W3CDTF">2024-02-14T09:39:00Z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A9-0397/2023</vt:lpwstr>
  </property>
  <property fmtid="{D5CDD505-2E9C-101B-9397-08002B2CF9AE}" pid="4" name="&lt;Type&gt;">
    <vt:lpwstr>RR</vt:lpwstr>
  </property>
</Properties>
</file>