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5D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5D14" w:rsidRDefault="00385ED4" w:rsidP="0010095E">
            <w:pPr>
              <w:pStyle w:val="EPName"/>
            </w:pPr>
            <w:r w:rsidRPr="00F15D14">
              <w:t>Parlament Ewropew</w:t>
            </w:r>
          </w:p>
          <w:p w:rsidR="00751A4A" w:rsidRPr="00F15D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5D1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15D14" w:rsidRDefault="00187494" w:rsidP="0010095E">
            <w:pPr>
              <w:pStyle w:val="EPLogo"/>
            </w:pPr>
            <w:r w:rsidRPr="00F15D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5D14" w:rsidRDefault="00D058B8" w:rsidP="004C5D52">
      <w:pPr>
        <w:pStyle w:val="LineTop"/>
      </w:pPr>
    </w:p>
    <w:p w:rsidR="00680577" w:rsidRPr="00F15D14" w:rsidRDefault="00385ED4" w:rsidP="00680577">
      <w:pPr>
        <w:pStyle w:val="EPBodyTA1"/>
      </w:pPr>
      <w:r w:rsidRPr="00F15D14">
        <w:t>TESTI ADOTTATI</w:t>
      </w:r>
    </w:p>
    <w:p w:rsidR="00D058B8" w:rsidRPr="00F15D14" w:rsidRDefault="00D058B8" w:rsidP="00D058B8">
      <w:pPr>
        <w:pStyle w:val="LineBottom"/>
      </w:pPr>
    </w:p>
    <w:p w:rsidR="00385ED4" w:rsidRPr="00F15D14" w:rsidRDefault="00385ED4" w:rsidP="00385ED4">
      <w:pPr>
        <w:pStyle w:val="ATHeading1"/>
      </w:pPr>
      <w:bookmarkStart w:id="0" w:name="TANumber"/>
      <w:r w:rsidRPr="00F15D14">
        <w:t>P9_TA(2024)00</w:t>
      </w:r>
      <w:r w:rsidR="00B678C0">
        <w:t>32</w:t>
      </w:r>
      <w:bookmarkEnd w:id="0"/>
    </w:p>
    <w:p w:rsidR="00385ED4" w:rsidRPr="00F15D14" w:rsidRDefault="00D0681C" w:rsidP="00385ED4">
      <w:pPr>
        <w:pStyle w:val="ATHeading2"/>
      </w:pPr>
      <w:r w:rsidRPr="00D0681C">
        <w:t>Dinjiet virtwali – opportunitajiet, riskji u implikazzjonijiet politiċi għas-suq uniku</w:t>
      </w:r>
      <w:bookmarkStart w:id="1" w:name="_GoBack"/>
      <w:bookmarkEnd w:id="1"/>
    </w:p>
    <w:p w:rsidR="00385ED4" w:rsidRPr="00F15D14" w:rsidRDefault="00385ED4" w:rsidP="00385ED4">
      <w:pPr>
        <w:rPr>
          <w:i/>
          <w:vanish/>
        </w:rPr>
      </w:pPr>
      <w:r w:rsidRPr="00F15D14">
        <w:rPr>
          <w:i/>
        </w:rPr>
        <w:fldChar w:fldCharType="begin"/>
      </w:r>
      <w:r w:rsidRPr="00F15D14">
        <w:rPr>
          <w:i/>
        </w:rPr>
        <w:instrText xml:space="preserve"> TC"(</w:instrText>
      </w:r>
      <w:bookmarkStart w:id="2" w:name="DocNumber"/>
      <w:r w:rsidRPr="00F15D14">
        <w:rPr>
          <w:i/>
        </w:rPr>
        <w:instrText>A9-0397/2023</w:instrText>
      </w:r>
      <w:bookmarkEnd w:id="2"/>
      <w:r w:rsidRPr="00F15D14">
        <w:rPr>
          <w:i/>
        </w:rPr>
        <w:instrText xml:space="preserve"> - Rapporteur: Pablo Arias Echeverría)"\l3 \n&gt; \* MERGEFORMAT </w:instrText>
      </w:r>
      <w:r w:rsidRPr="00F15D14">
        <w:rPr>
          <w:i/>
        </w:rPr>
        <w:fldChar w:fldCharType="end"/>
      </w:r>
    </w:p>
    <w:p w:rsidR="00385ED4" w:rsidRPr="00F15D14" w:rsidRDefault="00385ED4" w:rsidP="00385ED4">
      <w:pPr>
        <w:rPr>
          <w:vanish/>
        </w:rPr>
      </w:pPr>
      <w:bookmarkStart w:id="3" w:name="Commission"/>
      <w:r w:rsidRPr="00F15D14">
        <w:rPr>
          <w:vanish/>
        </w:rPr>
        <w:t>Kumitat għas-Suq Intern u l-Ħarsien tal-Konsumatur</w:t>
      </w:r>
      <w:bookmarkEnd w:id="3"/>
    </w:p>
    <w:p w:rsidR="00385ED4" w:rsidRPr="00F15D14" w:rsidRDefault="00385ED4" w:rsidP="00385ED4">
      <w:pPr>
        <w:rPr>
          <w:vanish/>
        </w:rPr>
      </w:pPr>
      <w:bookmarkStart w:id="4" w:name="PE"/>
      <w:r w:rsidRPr="00F15D14">
        <w:rPr>
          <w:vanish/>
        </w:rPr>
        <w:t>PE751.902</w:t>
      </w:r>
      <w:bookmarkEnd w:id="4"/>
    </w:p>
    <w:p w:rsidR="00385ED4" w:rsidRPr="00F15D14" w:rsidRDefault="00385ED4" w:rsidP="00385ED4">
      <w:pPr>
        <w:pStyle w:val="ATHeading3"/>
      </w:pPr>
      <w:bookmarkStart w:id="5" w:name="Sujet"/>
      <w:r w:rsidRPr="00F15D14">
        <w:t xml:space="preserve">Riżoluzzjoni tal-Parlament Ewropew </w:t>
      </w:r>
      <w:r w:rsidR="00B678C0">
        <w:t>tas-17 ta’ Jannar</w:t>
      </w:r>
      <w:r w:rsidRPr="00F15D14">
        <w:t xml:space="preserve"> 2024 dwar id-dinjiet virtwali – opportunitajiet, riskji u implikazzjonijiet politiċi għas-suq uniku</w:t>
      </w:r>
      <w:bookmarkEnd w:id="5"/>
      <w:r w:rsidRPr="00F15D14">
        <w:t xml:space="preserve"> </w:t>
      </w:r>
      <w:bookmarkStart w:id="6" w:name="References"/>
      <w:r w:rsidRPr="00F15D14">
        <w:t>(2022/2198(INI))</w:t>
      </w:r>
      <w:bookmarkEnd w:id="6"/>
    </w:p>
    <w:p w:rsidR="00BC378B" w:rsidRPr="00F15D14" w:rsidRDefault="00BC378B" w:rsidP="00BC378B">
      <w:pPr>
        <w:pStyle w:val="EPComma"/>
      </w:pPr>
      <w:bookmarkStart w:id="7" w:name="TextBodyBegin"/>
      <w:bookmarkEnd w:id="7"/>
      <w:r w:rsidRPr="00F15D14">
        <w:rPr>
          <w:rStyle w:val="Italic"/>
        </w:rPr>
        <w:t>Il-Parlament Ewropew</w:t>
      </w:r>
      <w:r w:rsidRPr="00F15D14">
        <w:t>,</w:t>
      </w:r>
    </w:p>
    <w:p w:rsidR="00BC378B" w:rsidRPr="00F15D14" w:rsidRDefault="00BC378B" w:rsidP="00E73216">
      <w:pPr>
        <w:pStyle w:val="NormalHanging12a"/>
      </w:pPr>
      <w:r w:rsidRPr="00F15D14">
        <w:t>–</w:t>
      </w:r>
      <w:r w:rsidRPr="00F15D14">
        <w:tab/>
        <w:t>wara li kkunsidra l-Artikolu 24 tal-Karta tad-Drittijiet Fundamentali tal-UE u l-Konvenzjoni tan-Nazzjonijiet Uniti dwar id-Drittijiet tat-Tfal kif elaborati fil-Kumment Ġenerali Nru 25 tagħha dwar id-drittijiet tat-tfal fir-rigward tal-ambjent diġitali,</w:t>
      </w:r>
    </w:p>
    <w:p w:rsidR="00BC378B" w:rsidRPr="00F15D14" w:rsidRDefault="00BC378B" w:rsidP="00E73216">
      <w:pPr>
        <w:pStyle w:val="NormalHanging12a"/>
      </w:pPr>
      <w:r w:rsidRPr="00F15D14">
        <w:t>–</w:t>
      </w:r>
      <w:r w:rsidRPr="00F15D14">
        <w:tab/>
        <w:t>wara li kkunsidra l-Artikolu 54 tar-Regoli ta’ Proċedura tiegħu,</w:t>
      </w:r>
    </w:p>
    <w:p w:rsidR="00BC378B" w:rsidRPr="00F15D14" w:rsidRDefault="00BC378B" w:rsidP="00E73216">
      <w:pPr>
        <w:pStyle w:val="NormalHanging12a"/>
      </w:pPr>
      <w:r w:rsidRPr="00F15D14">
        <w:t>–</w:t>
      </w:r>
      <w:r w:rsidRPr="00F15D14">
        <w:tab/>
        <w:t>wara li kkunsidra l-opinjoni tal-Kumitat għall-Kultura u l-Edukazzjoni,</w:t>
      </w:r>
    </w:p>
    <w:p w:rsidR="00BC378B" w:rsidRPr="00F15D14" w:rsidRDefault="00BC378B" w:rsidP="00E73216">
      <w:pPr>
        <w:pStyle w:val="NormalHanging12a"/>
      </w:pPr>
      <w:r w:rsidRPr="00F15D14">
        <w:t>–</w:t>
      </w:r>
      <w:r w:rsidRPr="00F15D14">
        <w:tab/>
        <w:t>wara li kkunsidra r-rapport tal-Kumitat għas-Suq Intern u l-Ħarsien tal-Konsumatur (A9-0397/2023),</w:t>
      </w:r>
    </w:p>
    <w:p w:rsidR="00BC378B" w:rsidRPr="00F15D14" w:rsidRDefault="00BC378B" w:rsidP="00E73216">
      <w:pPr>
        <w:pStyle w:val="NormalHanging12a"/>
      </w:pPr>
      <w:r w:rsidRPr="00F15D14">
        <w:t>A.</w:t>
      </w:r>
      <w:r w:rsidRPr="00F15D14">
        <w:tab/>
        <w:t>billi d-dinja tinsab għaddejja minn trasformazzjoni bla preċedent ikkaratterizzata mid-diġitalizzazzjoni, li qed tħalli bidliet profondi fl-isferi kollha tal-ħajja ekonomika, politika u soċjali tagħna;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B.</w:t>
      </w:r>
      <w:r w:rsidRPr="00F15D14">
        <w:tab/>
        <w:t>billi d-diġitalizzazzjoni ġġib magħha abbundanza ta’ opportunitajiet f’oqsma bħall-mediċina, il-kultura, l-edukazzjoni, l-ekonomija, is-sigurtà u l-infurzar tal-liġi, u għandha l-potenzjal li tikkontribwixxi biex jissolvew problemi globali relatati mal-faqar u l-inugwaljanza, is-sostenibbiltà kif ukoll li tiddemokratizza l-proċessi u l-aċċess għall-edukazzjoni u l-għarfien; billi toffri wkoll possibbiltajiet ġodda biex tavvanza l-proċess ta’ tranżizzjoni lejn soċjetajiet aktar sostenibbli u ġusti, jekk tkun iggwidata fid-direzzjoni t-tajba minn politiki xierqa; billi l-indirizzar tad-distakk diġitali, li bħalissa jaffettwa 46 % tal-Ewropej, għadu jirrikjedi investiment sinifikanti;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C.</w:t>
      </w:r>
      <w:r w:rsidRPr="00F15D14">
        <w:tab/>
        <w:t xml:space="preserve">billi t-trasformazzjoni diġitali tinvolvi wkoll sfidi sinifikanti li jaf iwassluna nirrieżaminaw ħafna mill-kunċetti u n-normi li s’issa sostnew il-progress ekonomiku u soċjali tagħna filwaqt li nżommu intatti l-prinċipji u l-valuri fundamentali ewlenin tagħna, bħal pereżempju l-politiki kulturali u l-liġi dwar id-drittijiet tal-awtur; billi ġiet </w:t>
      </w:r>
      <w:r w:rsidRPr="00F15D14">
        <w:lastRenderedPageBreak/>
        <w:t>osservata konċentrazzjoni eċċessiva tas-suq fl-ekonomija diġitali; jisħaq fuq il-ħtieġa li jitnaqqsu d-dipendenzi teknoloġiċi fuq pajjiżi mhux tal-UE billi nimxu lejn approċċ Ewropew għad-dinjiet virtwali Ewropej, li jinkludi kemm lil operaturi ikbar kif ukoll dawk iżgħar f’diversi livelli tal-katina tal-valur;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D.</w:t>
      </w:r>
      <w:r w:rsidRPr="00F15D14">
        <w:tab/>
        <w:t>billi fl-UE, is-sensibilizzazzjoni kemm dwar il-potenzjal ta’ teknoloġiji emerġenti kif ukoll dwar l-isfidi ppreżentati mill-akkumulazzjoni tal-poter minn ġganti diġitali skattat il-ħtieġa li jiġu stabbiliti mill-ġdid kundizzjonijiet ekwi fis-suq diġitali, li jwasslu għal azzjoni politika u leġiżlattiva; billi l-istituzzjonijiet tal-UE għamlu t-tranżizzjoni ekoloġika u diġitali bħala qasam ta’ prijorità tal-azzjoni u tat-tfassil tal-politiki, u stabbilew regoli f’konformità mal-valuri tal-UE, il-prinċipji tal-ekwità u tal-kompetizzjoni ġusta, u d-drittijiet fundamentali, filwaqt li żguraw awtonomija u indipendenza strateġiċi;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E.</w:t>
      </w:r>
      <w:r w:rsidRPr="00F15D14">
        <w:tab/>
        <w:t>billi t-tranżizzjoni għall-Web 4.0 u l-iżvilupp ta’ dinjiet virtwali jistgħu jkunu parti sinifikattiva mill-futur tad-diġitalizzazzjoni u jistgħu jkunu wieħed mill-elementi kostruttivi sinifikattivi potenzjali għat-tlestija tas-suq uniku diġitali; iqis li d-diġitalizzazzjoni, li hija integrali għall-Web 4.0, għandha tiġi integrata b’mod armonjuż fis-Suq Uniku Diġitali mingħajr ma jinħolqu ostakli; jirrikonoxxi li filwaqt li d-dinjiet virtwali jistgħu jikkomplementaw id-dinja reali bħala għodda addizzjonali, huma m’għandhomx jeħdulha postha u m’għandhomx iwasslu għall-esklużjoni tal-konsumaturi;</w:t>
      </w:r>
    </w:p>
    <w:p w:rsidR="00BC378B" w:rsidRPr="00F15D14" w:rsidRDefault="00BC378B" w:rsidP="00E73216">
      <w:pPr>
        <w:pStyle w:val="NormalHanging12a"/>
      </w:pPr>
      <w:r w:rsidRPr="00F15D14">
        <w:t>F.</w:t>
      </w:r>
      <w:r w:rsidRPr="00F15D14">
        <w:tab/>
        <w:t>billi d-dinjiet virtwali jippreżentaw riskji sinifikanti f’diversi oqsma, bħas-saħħa mentali, il-kompetizzjoni, il-protezzjoni tad-data, u l-protezzjoni tal-konsumatur, inkluż għal gruppi vulnerabbli bħall-minorenni, l-anzjani, u l-persuni b’diżabbiltà; billi hija meħtieġa wkoll aktar riċerka f’dan il-qasam; billi d-dinjiet virtwali jippreżentaw ukoll sfidi multidimensjonali li jinkludu, iżda mhumiex limitati għal: il-kontenut iġġenerat mill-utenti, id-drittijiet tal-proprjetà intellettwali, miżuri taċ-ċibersigurtà u d-drittijiet fundamentali tal-bniedem; billi l-esperjenza tad-dinjiet virtwali tista’ tippreżenta sfidi għan-nisa; skont l-Istitut Ewropew għall-Ugwaljanza bejn is-Sessi (EIGE), mara minn kull għaxra esperjenzat xi forma ta’ vjolenza ċibernetika mill-età ta’ 15-il sena; billi r-Rapporteur Speċjali tan-NU dwar il-Vjolenza kontra n-Nisa ddikjarat li t-teknoloġiji l-ġodda inevitabbilment se jwasslu għal manifestazzjonijiet differenti u ġodda ta’ vjolenza online kontra n-nisa; iqis li l-iżbilanċ bejn il-konsumatur u n-negozjant online jista’ jiġi aggravat fid-dinjiet virtwali; jissottolinja li t-teknoloġiji ma jridux jitfasslu biex jimmanipulaw l-imġiba tal-konsumaturi; jinnota l-għadd u l-varjetà dejjem jikbru ta’ prodotti, inklużi prodotti finanzjarji, marbuta ma’ dinjiet virtwali, bħal pereżempju x-xiri ta’ assi virtwali, avatars u oħrajn; jenfasizza l-ħtieġa li jkun hemm studji mmirati u konsultazzjoni estiża mal-esperti f’oqsma differenti, mill-ekonomija sal-psikoloġija san-newrospeċjalisti, sabiex jiġi żviluppat qafas leġiżlattiv adattat għal dan l-iskop; jilqa’ l-ħidma tal-industrija f’dan ir-rigward filwaqt li jissottolinja li jista’ jsir aktar;</w:t>
      </w:r>
    </w:p>
    <w:p w:rsidR="00BC378B" w:rsidRPr="00F15D14" w:rsidRDefault="00BC378B" w:rsidP="00E73216">
      <w:pPr>
        <w:pStyle w:val="Normal12a24b"/>
        <w:widowControl/>
        <w:spacing w:before="0"/>
        <w:ind w:left="567" w:hanging="567"/>
      </w:pPr>
      <w:r w:rsidRPr="00F15D14">
        <w:rPr>
          <w:rStyle w:val="BoldItalic"/>
        </w:rPr>
        <w:t>Prinċipji ġenerali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1.</w:t>
      </w:r>
      <w:r w:rsidRPr="00F15D14">
        <w:tab/>
        <w:t>Jilqa’ l-komunikazzjoni tal-Kummissjoni tal-11 ta’ Lulju 2023 bit-titolu “Inizjattiva tal-UE dwar il-Web 4.0 u d-dinjiet virtwali: vantaġġ inizjali fit-tranżizzjoni teknoloġika li jmiss” (COM(2023)0442); jissottolinja li kwalunkwe strateġija trid tkun sostenibbli u ċċentrata fuq il-bniedem, filwaqt li tipproteġi l-valuri tal-Unjoni Ewropea;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lastRenderedPageBreak/>
        <w:t>2.</w:t>
      </w:r>
      <w:r w:rsidRPr="00F15D14">
        <w:tab/>
        <w:t>Jinnota l-isfidi assoċjati man-nuqqas ta’ definizzjoni rikonoxxuta jew maqbula b’mod universali ta’ dinjiet virtwali, li jwasslu wkoll għal nuqqas ta’ koordinazzjoni tal-politiki fil-livell nazzjonali u ogħla; jirrikonoxxi l-isforzi tal-Kummissjoni biex tiddefinixxi d-dinjiet virtwali b’mod li jkun allinjat ma’ karatteristiċi konsenswali bħall-immersività, is-sinkroniċità u l-persistenza;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3.</w:t>
      </w:r>
      <w:r w:rsidRPr="00F15D14">
        <w:tab/>
        <w:t>Jissottolinja l-ħtieġa li ssir differenza ċara bejn l-istrumenti diġitali eżistenti u teknoloġiji emerġenti possibbli oħra, abbażi tar-riċerka, studji xjentifiċi u speċifiċitajiet tekniċi sodi, filwaqt li tiġi esplorata l-ħtieġa għal standardizzazzjoni tas-settur;</w:t>
      </w:r>
    </w:p>
    <w:p w:rsidR="00BC378B" w:rsidRPr="00F15D14" w:rsidRDefault="00BC378B" w:rsidP="00E73216">
      <w:pPr>
        <w:pStyle w:val="Normal12a24b"/>
        <w:widowControl/>
        <w:spacing w:before="0"/>
        <w:ind w:left="567" w:hanging="567"/>
      </w:pPr>
      <w:r w:rsidRPr="00F15D14">
        <w:rPr>
          <w:rStyle w:val="BoldItalic"/>
        </w:rPr>
        <w:t>Is-suq intern u l-ħarsien tal-konsumatur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4.</w:t>
      </w:r>
      <w:r w:rsidRPr="00F15D14">
        <w:tab/>
        <w:t>Josserva li, għalkemm il-komunikazzjoni tal-Kummissjoni Ewropea għadha ma tindikax il-ħtieġa għal azzjoni leġiżlattiva preċiża, huwa madankollu importanti li ssir valutazzjoni bir-reqqa tal-kwistjonijiet kollha relatati mal-iżvilupp tad-dinjiet virtwali u l-kopertura effettiva tagħhom mil-leġiżlazzjoni eżistenti; jissottolinja li suq uniku diġitali reali jista’ jikkontribwixxi b’mod deċiżiv għall-iżvilupp ta’ dinjiet virtwali u jsaħħaħ il-ħila tal-UE li tikkompeti fil-livell dinji; iqis li qafas regolatorju ċar u komprensiv hu ta’ importanza vitali, b’mod partikolari meta t-teknoloġija tilħaq il-maturità, biex jiġu żgurati kundizzjonijiet ekwi li jisfruttaw il-potenzjal sħiħ tad-dinjiet virtwali u jippermettu t-tkabbir ekonomiku tagħhom;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5.</w:t>
      </w:r>
      <w:r w:rsidRPr="00F15D14">
        <w:tab/>
        <w:t>Jilqa’ l-aħħar żviluppi regolatorji f’dan ir-rigward, bħall-Att dwar is-Servizzi Diġitali (ir-Regolament (UE) 2022/2065</w:t>
      </w:r>
      <w:r w:rsidRPr="00F15D14">
        <w:rPr>
          <w:rStyle w:val="FootnoteReference"/>
        </w:rPr>
        <w:footnoteReference w:id="1"/>
      </w:r>
      <w:r w:rsidRPr="00F15D14">
        <w:t>), l-Att dwar is-Swieq Diġitali (ir-Regolament (UE) 2022/1925</w:t>
      </w:r>
      <w:r w:rsidRPr="00F15D14">
        <w:rPr>
          <w:rStyle w:val="FootnoteReference"/>
        </w:rPr>
        <w:footnoteReference w:id="2"/>
      </w:r>
      <w:r w:rsidRPr="00F15D14">
        <w:t>), u l-Att dwar id-Data (2022/0047(COD) li daqt se jiġi approvat mill-Kunsill u mill-Parlament Ewropew); jinnota wkoll il-proposta għal att dwar l-intelliġenza artifiċjali, u l-att dwar ir-reżiljenza ċibernetika u n-negozjati li jinsabu għaddejjin dwaru; iqis li l-Kummissjoni għandha twettaq kontrolli regolari dwar l-adegwatezza u l-konsistenza tal-qafas leġiżlattiv tas-suq uniku diġitali, biex tindirizza l-opportunitajiet ġodda, ir-riskji u kwistjonijiet oħra li jistgħu jinqalgħu mad-dinjiet virtwali u, fejn meħtieġ, tressaq proposti leġiżlattivi; jemmen li l-eżitu ta’ tali kontrolli għandu jsir pubbliku;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6.</w:t>
      </w:r>
      <w:r w:rsidRPr="00F15D14">
        <w:tab/>
        <w:t xml:space="preserve">Jilqa’ l-impenn tal-Kummissjoni li timmonitorja l-iżvilupp tad-dinjiet virtwali; jistieden lill-Kummissjoni tabbozza rapport dwar dan is-suġġett kull sentejn u tgħaddih lill-Parlament u lill-Kunsill; jitlob lill-Kummissjoni tagħti attenzjoni lill-emerġenza potenzjali ta’ problemi fil-Web 4.0 li diġà jeżistu fil-Web 3.0, bħall-proliferazzjoni tad-diżinformazzjoni, it-tixrid ta’ kontenut illegali, is-serq tal-identità diġitali, iċ-ċiberkriminalità, il-ksur tad-drittijiet tal-proprjetà intellettwali, iċ-ċiberterroriżmu, l-użu ħażin tad-data personali, imġiba manipulattiva jew disinn li joħloq dipendenza tas-servizzi diġitali, il-frodi, il-kontenut terroristiku online, l-abbuż sesswali tal-minorenni u l-bullying ċibernetiku, fost l-oħrajn, u tqis il-leġazzjoni rilevanti eżistenti, bħall-Att </w:t>
      </w:r>
      <w:r w:rsidRPr="00F15D14">
        <w:lastRenderedPageBreak/>
        <w:t>dwar is-Servizzi Diġitali, u l-leġiżlazzjoni futura li għandha l-għan li tindirizza dawn il-kwistjonijiet;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7.</w:t>
      </w:r>
      <w:r w:rsidRPr="00F15D14">
        <w:tab/>
        <w:t>Jindika l-potenzjal ekonomiku sinifikattiv tad-dinjiet virtwali, u l-ħtiġijiet dejjem jikbru għal investiment fl-infrastruttura meħtieġa u fir-riċerka, l-innovazzjoni u t-taħriġ mill-ġdid u t-titjib tal-ħiliet relatati; jisħaq li l-kostijiet globali ta’ tali investimenti għandhom jimmiraw li jkollhom impatt newtrali fuq il-prezzijiet finali għall-konsumaturi; jirrikonoxxi l-ħtieġa li jiżdiedu r-riżorsi disponibbli fil-livell tal-UE biex jintlaħqu dawn l-objettivi; jenfasizza r-rwol tar-realtà virtwali (VR), ir-realtà awmentata (AR) u r-realtà mħallta (XR) bħala teknoloġiji kruċjali għall-iżvilupp u t-tkabbir tad-dinjiet virtwali, li jipprovdu lill-utenti b’esperjenzi immersivi u interattivi, filwaqt li jinnota wkoll li l-applikazzjonijiet industrijali l-użu mill-konsumaturi jippreżentaw sfidi differenti u jeħtieġu approċċi differenzjati; jinnota wkoll li l-iżvilupp ta’ xi mudelli tal-intelliġenza artifiċjali, bħall-intelliġenza artifiċjali ġenerattiva, jista’ jkollu rwol kruċjali fil-ħolqien u t-tisħiħ tal-ambjenti virtwali; f’dan ir-rigward, jistieden lill-Kummissjoni timmonitorja mill-qrib anke l-iżvilupp rapidu ta’ din it-teknoloġija u l-impatt tagħha fl-ekosistema diġitali;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8.</w:t>
      </w:r>
      <w:r w:rsidRPr="00F15D14">
        <w:tab/>
        <w:t>Jindika wkoll l-impatt pożittiv potenzjali li dawn l-iżviluppi jista’ jkollhom fuq l-impjiegi, inkluż il-ħolqien ta’ impjiegi ġodda f’oqsma bħall-arkitettura tad-dinjiet virtwali jew il-ħolqien tal-kontenut; jisħaq fuq il-ħtieġa li jsir investiment f’inizjattivi ta’ taħriġ mill-ġdid biex tiġi edukata l-forza tax-xogħol eżistenti fl-UE, filwaqt li tingħata attenzjoni speċifika lill-gruppi sottorappreżentati f’dan is-settur; jenfasizza l-importanza li jsir investiment fl-iżvilupp ta’ ħiliet xierqa u li dan jiġi promoss biex tiġi żgurata l-provvista ta’ ħaddiema li jkollhom talenti u ħiliet adatti għal dawn l-impjiegi fl-UE, kif ukoll li jinħolqu kundizzjonijiet attraenti biex it-talent tal-UE jinżamm, jiġi attirat talent barrani u jiġu promossi l-intraprenditorija u l-innovazzjoni fit-territorju tal-UE;</w:t>
      </w:r>
    </w:p>
    <w:p w:rsidR="00BC378B" w:rsidRPr="00F15D14" w:rsidRDefault="00D0681C" w:rsidP="00E73216">
      <w:pPr>
        <w:pStyle w:val="NormalHanging12a"/>
        <w:rPr>
          <w:szCs w:val="24"/>
        </w:rPr>
      </w:pPr>
      <w:r w:rsidRPr="00B678C0">
        <w:t>9.</w:t>
      </w:r>
      <w:r w:rsidRPr="00B678C0">
        <w:tab/>
      </w:r>
      <w:r w:rsidR="00BC378B" w:rsidRPr="00D0681C">
        <w:t>Jindika l-impatt</w:t>
      </w:r>
      <w:r w:rsidR="00BC378B" w:rsidRPr="00F15D14">
        <w:t xml:space="preserve"> potenzjali pożittiv kif ukoll negattiv tat-teknoloġiji u l-prodotti l-ġodda fuq il-konsumaturi, fuq saħħithom, u fuq il-ħajja soċjali u ekonomika tagħhom; Jenfasizza l-potenzjal tad-dinjiet virtwali f’ambjenti industrijali u professjonali, b’mod partikolari għat-taħriġ u l-ħolqien ta’ prototipi, filwaqt li jenfasizza l-impatti usa’ fuq il-ħaddiema; jenfasizza l-ħtieġa li tiġi żgurata l-konformità mad-drittijiet tal-ħaddiema u livell għoli ta’ protezzjoni tal-ħaddiema;</w:t>
      </w:r>
    </w:p>
    <w:p w:rsidR="00BC378B" w:rsidRPr="00F15D14" w:rsidRDefault="00D0681C" w:rsidP="00E73216">
      <w:pPr>
        <w:pStyle w:val="NormalHanging12a"/>
        <w:rPr>
          <w:szCs w:val="24"/>
        </w:rPr>
      </w:pPr>
      <w:r>
        <w:t>10</w:t>
      </w:r>
      <w:r w:rsidR="00BC378B" w:rsidRPr="00F15D14">
        <w:t>.</w:t>
      </w:r>
      <w:r w:rsidR="00BC378B" w:rsidRPr="00F15D14">
        <w:tab/>
        <w:t xml:space="preserve">Ifakkar li filwaqt li l-biċċa l-kbira tal-kumpaniji li qed imexxu l-iżvilupp ta’ dinjiet virtwali huma stabbiliti barra mill-UE, teżisti ekosistema vibranti u li qed tevolvi fl-UE; jenfasizza l-ħtieġa li l-UE tkun minn ta’ quddiem fit-tfassil ta’ dinjiet virtwali bħala ekosistemi li jirrispettaw u jippromwovu l-valuri tal-UE, id-drittijiet fundamentali, u l-ogħla livell ta’ protezzjoni tal-konsumatur; jindika l-importanza li jitrawmu kundizzjonijiet ekwi li jippromwovu l-espansjoni tal-intrapriżi żgħar u ta’ daqs medju Ewropej u l-emerġenza ta’ kumpaniji Ewropej kompetittivi, kif ukoll ekosistemi deċentralizzati u interoperabbli; </w:t>
      </w:r>
    </w:p>
    <w:p w:rsidR="00BC378B" w:rsidRPr="00F15D14" w:rsidRDefault="00D0681C" w:rsidP="00E73216">
      <w:pPr>
        <w:pStyle w:val="NormalHanging12a"/>
        <w:rPr>
          <w:szCs w:val="24"/>
        </w:rPr>
      </w:pPr>
      <w:r w:rsidRPr="00B678C0">
        <w:t>11.</w:t>
      </w:r>
      <w:r w:rsidRPr="00B678C0">
        <w:tab/>
      </w:r>
      <w:r w:rsidR="00BC378B" w:rsidRPr="00D0681C">
        <w:t>Jissottolinja l-</w:t>
      </w:r>
      <w:r w:rsidR="00BC378B" w:rsidRPr="00F15D14">
        <w:t>ħtieġa li jinħoloq qafas ta’ politika xieraq u li jkun hemm parteċipazzjoni fi djalogi internazzjonali, b’mod partikolari ma’ pajjiżi mhux tal-UE iżda huma tal-istess fehma, għal approċċi kkoordinati għad-dinjiet virtwali; jisħaq fuq l-importanza li tiżdied is-sensibilizzazzjoni taċ-ċittadini Ewropej dwar l-użu responsabbli ta’ dawn id-dominji diġitali;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lastRenderedPageBreak/>
        <w:t>1</w:t>
      </w:r>
      <w:r w:rsidR="00D0681C">
        <w:t>2</w:t>
      </w:r>
      <w:r w:rsidRPr="00F15D14">
        <w:t>.</w:t>
      </w:r>
      <w:r w:rsidRPr="00F15D14">
        <w:tab/>
        <w:t>Jirrikonoxxi li ġew żviluppati dinjiet virtwali multipli minn impriżi differenti fl-assenza ta’ standards, regolamenti u pjattaformi interoperabbli miftuħa u komuni; jissottolinja li dawn id-dinjiet virtwali bħalissa qed jiġu żviluppati minn għadd limitat ta’ impriżi li għandhom ir-riżorsi u l-fondi meħtieġa biex jiżviluppawhom; iqis li l-interoperabbiltà u l-istandards miftuħa jistgħu jikkontribwixxu għall-prevenzjoni ta’ kważimonopolji jew ta’ abbużi ta’ pożizzjoni dominanti għad-detriment tal-konsumaturi u tan-negozji Ewropej, b’mod speċjali l-SMEs;</w:t>
      </w:r>
    </w:p>
    <w:p w:rsidR="00BC378B" w:rsidRPr="00F15D14" w:rsidRDefault="00D0681C" w:rsidP="00E73216">
      <w:pPr>
        <w:pStyle w:val="NormalHanging12a"/>
        <w:rPr>
          <w:szCs w:val="24"/>
        </w:rPr>
      </w:pPr>
      <w:r w:rsidRPr="00B678C0">
        <w:t>13.</w:t>
      </w:r>
      <w:r w:rsidRPr="00B678C0">
        <w:tab/>
      </w:r>
      <w:r w:rsidR="00BC378B" w:rsidRPr="00D0681C">
        <w:t>Jilqa’ l-impenn</w:t>
      </w:r>
      <w:r w:rsidR="00BC378B" w:rsidRPr="00F15D14">
        <w:t xml:space="preserve"> tal-Kummissjoni li tinvolvi ruħha mal-istituzzjonijiet eżistenti ta’ governanza tal-internet b’diversi partijiet ikkonċernati biex jiġu żviluppati standards u regoli ta’ governanza komuni; iħeġġeġ lill-Kummissjoni tappoġġja l-inizjattivi li għaddejjin ta’ diversi partijiet ikkonċernati li bħalissa qed jiżviluppaw standards, inklużi dawk tal-assoċjazzjonijiet tal-konsumaturi u organizzazzjonijiet oħra tas-soċjetà ċivili; jirrakkomanda studju komprensiv dwar dinjiet virtwali interoperabbli; jenfasizza l-potenzjal li jirrappreżenta l-ħolqien tal-spazji Ewropej tad-data għall-iżvilupp ta’ dinjiet virtwali;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1</w:t>
      </w:r>
      <w:r w:rsidR="00D0681C">
        <w:t>4</w:t>
      </w:r>
      <w:r w:rsidRPr="00F15D14">
        <w:t>.</w:t>
      </w:r>
      <w:r w:rsidRPr="00F15D14">
        <w:tab/>
        <w:t>Jisħaq fuq il-ħtieġa li jiġi żgurat li d-dinjiet virtwali jkunu miftuħa, inklużivi u aċċessibbli, li jikkontribwixxu għal parteċipazzjoni akbar ta’ persuni b’diżabbiltà fl-ambjent diġitali l-ġdid; jindika l-potenzjal tad-dinjiet virtwali biex tiżdied il-parteċipazzjoni ta’ persuni b’diżabbiltà f’attivitajiet differenti bħat-turiżmu virtwali; iwissi dwar l-isfidi potenzjali li l-utenti b’diżabbiltà se jiffaċċjaw meta jinteraġixxu ma’ dinjiet virtwali, li jirriżultaw minn karatteristiki jew disinji ta’ aċċessibbiltà inadegwati li ma jissodisfawx il-ħtiġijiet speċifiċi tagħhom; jistieden lill-Kummissjoni timmonitorja l-idoneità tal-Att Ewropew dwar l-Aċċessibbiltà</w:t>
      </w:r>
      <w:r w:rsidRPr="00F15D14">
        <w:rPr>
          <w:rStyle w:val="FootnoteReference"/>
        </w:rPr>
        <w:footnoteReference w:id="3"/>
      </w:r>
      <w:r w:rsidRPr="00F15D14">
        <w:t xml:space="preserve"> u d-Direttiva dwar l-Aċċessibbiltà għall-Web</w:t>
      </w:r>
      <w:r w:rsidRPr="00F15D14">
        <w:rPr>
          <w:rStyle w:val="FootnoteReference"/>
        </w:rPr>
        <w:footnoteReference w:id="4"/>
      </w:r>
      <w:r w:rsidRPr="00F15D14">
        <w:t xml:space="preserve"> għall-iżgurar tal-aċċessibbiltà f’dinjiet virtwali; jisħaq ukoll fuq il-ħtieġa li jiġu rikonoxxuti l-ħtiġijiet u d-drittijiet speċifiċi tat-tfal;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1</w:t>
      </w:r>
      <w:r w:rsidR="00D0681C">
        <w:t>5</w:t>
      </w:r>
      <w:r w:rsidRPr="00F15D14">
        <w:t>.</w:t>
      </w:r>
      <w:r w:rsidRPr="00F15D14">
        <w:tab/>
        <w:t>Jemmen li d-dibattitu dwar il-ħtieġa għall-identifikazzjoni tal-utenti f’dinjiet virtwali għandu jkun qasam ta’ prijorità fl-iżvilupp ta’ dinjiet virtwali u li għandu jkun hemm riflessjoni profonda dwar il-konfigurazzjoni possibbli ta’ dan l-ambjent diġitali, filwaqt li wieħed iżomm f’moħħu li, f’xi każijiet, l-anonimità taf tkun preferibbli; jirrimarka li l-anonimità fl-ambjent diġitali hija dejjem possibbli permezz ta’ isem l-utent (psewdonimu), u jistieden lill-Kummissjoni tivvaluta l-użu potenzjali tal-Identità Diġitali Ewropea (eID) u tal-Kartiera Ewropea tal-Identità Diġitali fid-dinjiet virtwali;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1</w:t>
      </w:r>
      <w:r w:rsidR="00D0681C">
        <w:t>6</w:t>
      </w:r>
      <w:r w:rsidRPr="00F15D14">
        <w:t>.</w:t>
      </w:r>
      <w:r w:rsidRPr="00F15D14">
        <w:tab/>
        <w:t>Itenni l-importanza li d-data personali u l-privatezza tal-utenti jiġu protetti; jirrimarka li r-Regolament Ġenerali dwar il-Protezzjoni tad-Data</w:t>
      </w:r>
      <w:r w:rsidRPr="00F15D14">
        <w:rPr>
          <w:vertAlign w:val="superscript"/>
        </w:rPr>
        <w:footnoteReference w:id="5"/>
      </w:r>
      <w:r w:rsidRPr="00F15D14">
        <w:t xml:space="preserve"> jaf mhuwiex biżżejjed biex jindirizza l-isfidi kollha għall-protezzjoni tad-data f’dinjiet virtwali; jitlob, filwaqt li jiġi żgurat ambjent favorevoli għall-innovazzjoni, li tingħata attenzjoni speċjali lill-</w:t>
      </w:r>
      <w:r w:rsidRPr="00F15D14">
        <w:lastRenderedPageBreak/>
        <w:t>implikazzjonijiet għall-protezzjoni tad-data ta’ kontenut iġġenerat mill-utenti, kif ukoll lill-ipproċessar ta’ data sensittiva bħal data bijometrika u data dwar l-imġiba, reazzjonijiet emozzjonali u informazzjoni tattili;</w:t>
      </w:r>
    </w:p>
    <w:p w:rsidR="00BC378B" w:rsidRPr="00F15D14" w:rsidRDefault="00BC378B" w:rsidP="00E73216">
      <w:pPr>
        <w:pStyle w:val="NormalHanging12a"/>
      </w:pPr>
      <w:r w:rsidRPr="00F15D14">
        <w:t>1</w:t>
      </w:r>
      <w:r w:rsidR="00D0681C">
        <w:t>7</w:t>
      </w:r>
      <w:r w:rsidRPr="00F15D14">
        <w:t>.</w:t>
      </w:r>
      <w:r w:rsidRPr="00F15D14">
        <w:tab/>
        <w:t>Jissottolinja li l-parteċipazzjoni fid-dinja virtwali hija volontarja u jistieden lill-Kummissjoni tikkunsidra li tinstalla d-dritt għal tħassir permanenti sabiex il-konsumaturi jkunu jistgħu jitolbu li d-data u l-profil tagħhom jitħassru minn kwalunkwe applikazzjoni, logħob online u ambjent virtwali;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1</w:t>
      </w:r>
      <w:r w:rsidR="00D0681C">
        <w:t>8</w:t>
      </w:r>
      <w:r w:rsidRPr="00F15D14">
        <w:t>.</w:t>
      </w:r>
      <w:r w:rsidRPr="00F15D14">
        <w:tab/>
        <w:t>Iqis li għandha tingħata attenzjoni partikolari lid-disinn li joħloq dipendenza u lill-elementi qarrieqa (dark patterns) f’dawn l-ambjenti virtwali; iwissi dwar il-problemi potenzjali għas-saħħa li jistgħu jirriżultaw mill-interazzjoni mad-dinjiet virtwali, bħal dipendenza, mard ċibernetiku jew disturbi fiċ-ċikli tal-irqad; jenfasizza l-vulnerabbiltà speċjali tal-minorenni u ż-żgħażagħ għal dawn il-problemi tas-saħħa, inkluż l-impatti potenzjali fuq l-iżvilupp konjittiv tagħhom, u jissottolinja l-ħtieġa ta’ disinn adattat għall-età u miżuri ta’ kontroll mill-ġenituri biex jiġu ssalvagwardjati l-minorenni u ż-żgħażagħ; iqis ukoll li hija meħtieġa riċerka dwar l-impatt tat-teknoloġiji li jimplikaw modifiki diretti u permanenti għall-ġisem;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1</w:t>
      </w:r>
      <w:r w:rsidR="00D0681C">
        <w:t>9</w:t>
      </w:r>
      <w:r w:rsidRPr="00F15D14">
        <w:t>.</w:t>
      </w:r>
      <w:r w:rsidRPr="00F15D14">
        <w:tab/>
        <w:t>Ifakkar fil-potenzjal tad-dinjiet virtwali u l-edukazzjoni immersiva li jippromwovu d-drittijiet tat-tfal online fir-rigward tal-edukazzjoni, l-awtonomizzazzjoni, il-parteċipazzjoni u l-logħob tagħhom, u li jistgħu joffru esperjenzi uniċi li jistgħu jgħinu lill-minorenni jiżviluppaw il-ħajra tagħhom għat-tagħlim permezz ta’, pereżempju, it-tagħlim permezz tal-logħob; jinnota li dan l-impenn jista’ jgħinhom jiżviluppaw ħiliet fil-kollaborazzjoni, il-komunikazzjoni, il-ħsieb kritiku, l-innovazzjoni u l-fiduċja fihom infushom; jisħaq fuq l-opportunità li tiġi indirizzata d-diskrepanza fil-ħiliet fl-UE u li jitħarreġ it-talent futur; jissottolinja l-ħtieġa ta’ programmi edukattivi biex jgħinu lit-tfal u liż-żgħażagħ jadattaw għall-bidliet teknoloġiċi u jadottaw approċċ tajjeb u bbilanċjat li jikkombina l-interazzjoni soċjali tradizzjonali mal-ħin imqatta’ fl-ambjent virtwali, filwaqt li jagħtu wkoll lill-ġenituri l-għodod meħtieġa biex jissorveljaw u jieħdu deċiżjonijiet infurmati meta jippermettu jew jinvolvu lit-tfal tagħhom fl-ambjent virtwali;</w:t>
      </w:r>
    </w:p>
    <w:p w:rsidR="00BC378B" w:rsidRPr="00F15D14" w:rsidRDefault="00D0681C" w:rsidP="00E73216">
      <w:pPr>
        <w:pStyle w:val="NormalHanging12a"/>
        <w:rPr>
          <w:szCs w:val="24"/>
        </w:rPr>
      </w:pPr>
      <w:r w:rsidRPr="00B678C0">
        <w:t>20.</w:t>
      </w:r>
      <w:r w:rsidRPr="00B678C0">
        <w:tab/>
      </w:r>
      <w:r w:rsidR="00BC378B" w:rsidRPr="00D0681C">
        <w:t>Jinnota</w:t>
      </w:r>
      <w:r w:rsidR="00BC378B" w:rsidRPr="00F15D14">
        <w:t xml:space="preserve"> l-ħtieġa ta’ riċerka dwar l-impatt tar-realtà virtwali u teknoloġiji oħra fuq l-iżvilupp konjittiv u tal-imġiba; jissottolinja r-riskji inerenti possibbli tal-esponiment bikri għall-iskrins u l-użu eċċessiv tagħhom, li jistgħu jaffettwaw il-benesseri tagħhom u l-iżvilupp konjittiv, fiżiku, mentali u soċjali tajjeb tagħhom; jinsisti fuq l-implimentazzjoni ta’ kampanji ta’ informazzjoni dwar l-użu responsabbli tal-iskrin; jenfasizza l-ħtieġa li l-edukaturi jitħarrġu b’mod xieraq biex jiżguraw li jkollhom il-ħiliet u l-litteriżmu diġitali meħtieġa; jistieden lill-Kummissjoni tinkoraġġixxi inizjattivi fejn l-universitajiet, l-iskejjel tal-inġinerija u l-atturi tal-industrija jissieħbu biex jivvalutaw id-diskrepanzi fil-ħiliet, ifasslu pjanijiet direzzjonali b’mod konġunt u jsaħħu l-kooperazzjoni pubblika-privata għall-benefiċċju taż-żgħażagħ tal-UE; jissottolinja l-importanza li l-ogħla livell ta’ protezzjoni mogħti lill-minorenni f’ambjenti oħra offline u online jiġi estiż għad-dinjiet virtwali kontra diversi riskji, inkluż iżda mhux limitat għal: abbuż, fastidju, bullying u esponiment għal kontenut vjolenti, sessist, razzist jew pornografiku; jenfasizza l-ħtieġa li jiġu rikonoxxuti l-ħtiġijiet speċifiċi, il-vulnerabbiltajiet u d-drittijiet tat-tfal fid-dinjiet virtwali; jissottolinja l-importanza tat-tfassil u t-tħaddim ta’ servizzi u prodotti online aċċessati l-aktar minn tfal li jkunu sikuri għat-tfal, mid-disinn u b’mod awtomatiku;</w:t>
      </w:r>
    </w:p>
    <w:p w:rsidR="00BC378B" w:rsidRPr="00F15D14" w:rsidRDefault="00D0681C" w:rsidP="00E73216">
      <w:pPr>
        <w:pStyle w:val="NormalHanging12a"/>
        <w:rPr>
          <w:szCs w:val="24"/>
        </w:rPr>
      </w:pPr>
      <w:r>
        <w:lastRenderedPageBreak/>
        <w:t>21</w:t>
      </w:r>
      <w:r w:rsidR="00BC378B" w:rsidRPr="00F15D14">
        <w:t>.</w:t>
      </w:r>
      <w:r w:rsidR="00BC378B" w:rsidRPr="00F15D14">
        <w:tab/>
        <w:t>Jinnota li d-dinjiet virtwali se jiġġeneraw immaġnijiet, grafika u vidjos b’riżoluzzjoni għolja biex jippermettu esperjenzi immersivi għall-utenti, u dawn se jirrikjedu infrastruttura bi prestazzjoni għolja; jinnota li, b’mod partikolari, in-networks mobbli tal-ġenerazzjoni li jmiss, kifi ukoll konnessjonijiet effiċjenti tal-Wifi, bħall-Wifi 6, b’latenza baxxa u b’ħafna wisa’ tal-banda, se jkunu kruċjali, bħalma se jkunu wkoll it-teknoloġiji bħall-edge computing; ifakkar fir-rapport tal-Qorti Ewropea tal-Awdituri ta’ Jannar 2022 li jistma li l-ispiża totali tal-implimentazzjoni tal-5G fl-Istati Membri kollha tal-UE hija ta’ bejn EUR 281 u EUR 391 biljun sal-2025, inkluż il-bini ta’ infrastruttura ġdida tal-5G u l-modernizzazzjoni tal-infrastruttura eżistenti;</w:t>
      </w:r>
    </w:p>
    <w:p w:rsidR="00BC378B" w:rsidRPr="00F15D14" w:rsidRDefault="00D0681C" w:rsidP="00E73216">
      <w:pPr>
        <w:pStyle w:val="NormalHanging12a"/>
        <w:rPr>
          <w:szCs w:val="24"/>
        </w:rPr>
      </w:pPr>
      <w:r>
        <w:t>22</w:t>
      </w:r>
      <w:r w:rsidR="00BC378B" w:rsidRPr="00F15D14">
        <w:t>.</w:t>
      </w:r>
      <w:r w:rsidR="00BC378B" w:rsidRPr="00F15D14">
        <w:tab/>
        <w:t>Jinnota bi tħassib li l-użu dejjem jikber tad-dinjiet virtwali jista’ jeskludi wkoll ċerti gruppi ta’ persuni li m’għandhomx ħiliet jew riżorsi bażiċi biex jipparteċipaw f’dan l-ambjent, iżda wkoll persuni li jgħixu f’żoni rurali u remoti, bħal pereżempju r-reġjuni ultraperiferiċi; jenfasizza li t-trawwim tal-litteriżmu diġitali u l-aċċess għal internet ta’ kwalità u affordabbli huwa prekundizzjoni għal kwalunkwe qafas fil-livell tal-UE dwar id-dinjiet virtwali; jistieden lill-Kummissjoni twettaq valutazzjoni msejsa fuq l-evidenza dwar kif jiġi żgurat li l-infrastruttura u l-apparat meħtieġa biex jiġu appoġjati l-iżvilupp u t-tħaddim tad-dinjiet virtwali, u t-tranżizzjoni minn Web 3.0 għal Web 4.0 jiġu offruti lill-konsumaturi, inkluż dawk f’żoni remoti u dawk li jagħmlu parti minn unitajiet domestiċi b’introjtu aktar baxx; jenfasizza li suq uniku reali għat-telekomunikazzjoni huwa kruċjali f’dan ir-rigward; iwissi dwar il-perikli tat-tranżazzjonijiet finanzjarji li jinvolvu l-kriptovaluti, b’mod partikolari l-frodi u l-iscams, li jaf ikunu aggravati fid-dinjiet virtwali; ifakkar ukoll li l-irriversibbiltà ta’ ħafna tranżazzjonijiet kriptovalutarji tfisser ukoll kanali ġodda għall-ekonomija parallela, fejn il-vittmi ta’ frodi jkollhom ftit jew l-ebda rikors għall-possibbiltà li jirkupraw il-fondi mitlufa; jilqa’ r-regolament dwar is-Swieq tal-Kriptoassi tal-Unjoni Ewropea (MiCA)</w:t>
      </w:r>
      <w:r w:rsidR="00BC378B" w:rsidRPr="00F15D14">
        <w:rPr>
          <w:rStyle w:val="FootnoteReference"/>
        </w:rPr>
        <w:footnoteReference w:id="6"/>
      </w:r>
      <w:r w:rsidR="00BC378B" w:rsidRPr="00F15D14">
        <w:t>, li għandu l-għan li jistabbilixxi qafas legali għall-kriptovaluti u l-assi diġitali;</w:t>
      </w:r>
    </w:p>
    <w:p w:rsidR="00BC378B" w:rsidRPr="00F15D14" w:rsidRDefault="00BC378B" w:rsidP="00E73216">
      <w:pPr>
        <w:pStyle w:val="Normal12a24b"/>
        <w:widowControl/>
        <w:spacing w:before="0"/>
        <w:ind w:left="567" w:hanging="567"/>
      </w:pPr>
      <w:r w:rsidRPr="00F15D14">
        <w:rPr>
          <w:rStyle w:val="BoldItalic"/>
        </w:rPr>
        <w:t>Is-sostenibbiltà</w:t>
      </w:r>
    </w:p>
    <w:p w:rsidR="00BC378B" w:rsidRPr="00F15D14" w:rsidRDefault="00D0681C" w:rsidP="00E73216">
      <w:pPr>
        <w:pStyle w:val="NormalHanging12a"/>
      </w:pPr>
      <w:r>
        <w:t>23</w:t>
      </w:r>
      <w:r w:rsidR="00BC378B" w:rsidRPr="00F15D14">
        <w:t>.</w:t>
      </w:r>
      <w:r w:rsidR="00BC378B" w:rsidRPr="00F15D14">
        <w:tab/>
        <w:t>Jirrimarka li l-produzzjoni tal-apparati meħtieġa għall-aċċess ta’ dinjiet virtwali tirrikjedi riżorsi bħal elementi tal-materjali tal-art rari u materja prima minerali oħra; jilqa’, f’dan ir-rigward, il-preżentazzjoni tal-proposta tal-Kummissjoni għal regolament li jistabbilixxi qafas li jiżgura provvista sigura u sostenibbli tal-materja prima kritika (COM(2023)0160);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2</w:t>
      </w:r>
      <w:r w:rsidR="00D0681C">
        <w:t>4</w:t>
      </w:r>
      <w:r w:rsidRPr="00F15D14">
        <w:t>.</w:t>
      </w:r>
      <w:r w:rsidRPr="00F15D14">
        <w:tab/>
        <w:t>Jinnota l-potenzjal li għandhom id-dinjiet virtwali u l-Web 4.0 biex jikkontribwixxu b’mod pożittiv fil-ġlieda kontra t-tibdil fil-klima u favur is-sostenibbiltà ambjentali, pereżempju billi jiffaċilitaw ix-xogħol mill-bogħod, u b’hekk inaqqsu l-ivvjaġġar u l-emissjonijiet tal-karbonju assoċjati; jinnota li l-infrastrutturi tan-networks li jippermettu soluzzjonijiet diġitali u mudelli ta’ negozju ġodda għandhom rwol kruċjali;</w:t>
      </w:r>
    </w:p>
    <w:p w:rsidR="00BC378B" w:rsidRPr="00F15D14" w:rsidRDefault="00BC378B" w:rsidP="00E73216">
      <w:pPr>
        <w:pStyle w:val="NormalHanging12a"/>
        <w:rPr>
          <w:szCs w:val="24"/>
        </w:rPr>
      </w:pPr>
      <w:r w:rsidRPr="00F15D14">
        <w:t>2</w:t>
      </w:r>
      <w:r w:rsidR="00D0681C">
        <w:t>5</w:t>
      </w:r>
      <w:r w:rsidRPr="00F15D14">
        <w:t>.</w:t>
      </w:r>
      <w:r w:rsidRPr="00F15D14">
        <w:tab/>
        <w:t xml:space="preserve">Iqis li l-iżvilupp u l-użu ta’ dinjiet virtwali għandhom iqisu l-impatt fuq l-ambjent; jenfasizza l-importanza li tiżdied is-sensibilizzazzjoni tal-konsumaturi dwar l-impatt ambjentali u s-sostenibbiltà ta’ dawn it-teknoloġiji ġodda, inkluż l-iskart elettroniku; jinnota li, skont l-Aġenzija Internazzjonali tal-Enerġija, il-konsum tal-elettriku miċ-ċentri tad-data kbar bħalissa jammonta għal bejn 1% u 1,5 % tal-użu globali tal-elettriku, u jindika li l-konsum tal-elettriku miċ-ċentri tad-data jista’ jiżdied fil-każ ta’ adozzjoni fuq skala kbira ta’ teknoloġiji tad-dinjiet virtwali; ifakkar fil-ħtieġa li </w:t>
      </w:r>
      <w:r w:rsidRPr="00F15D14">
        <w:lastRenderedPageBreak/>
        <w:t>jintużaw, jiġu aċċellerati u inċentivizzati l-avvanzi teknoloġiċi biex jitnaqqsu l-konsum tal-enerġija u l-impronta ambjentali tal-attivitajiet relatati mal-produzzjoni, l-użu u l-iżvilupp tad-dinjiet virtwali, bħal tekniki avvanzati ta’ riċiklaġġ u sors ta’ enerġija rinnovabbli;</w:t>
      </w:r>
    </w:p>
    <w:p w:rsidR="00BC378B" w:rsidRPr="00F15D14" w:rsidRDefault="00BC378B" w:rsidP="00E73216">
      <w:pPr>
        <w:pStyle w:val="NormalCenter12a"/>
        <w:widowControl/>
        <w:ind w:left="567" w:hanging="567"/>
      </w:pPr>
      <w:r w:rsidRPr="00F15D14">
        <w:t>°</w:t>
      </w:r>
    </w:p>
    <w:p w:rsidR="00BC378B" w:rsidRPr="00F15D14" w:rsidRDefault="00BC378B" w:rsidP="00E73216">
      <w:pPr>
        <w:pStyle w:val="NormalCenter12a"/>
        <w:widowControl/>
        <w:ind w:left="567" w:hanging="567"/>
      </w:pPr>
      <w:r w:rsidRPr="00F15D14">
        <w:t>°</w:t>
      </w:r>
      <w:r w:rsidRPr="00F15D14">
        <w:tab/>
        <w:t>°</w:t>
      </w:r>
    </w:p>
    <w:p w:rsidR="00BC378B" w:rsidRPr="00F15D14" w:rsidRDefault="00BC378B" w:rsidP="00E73216">
      <w:pPr>
        <w:pStyle w:val="NormalHanging12a"/>
      </w:pPr>
      <w:r w:rsidRPr="00F15D14">
        <w:t>2</w:t>
      </w:r>
      <w:r w:rsidR="00D0681C">
        <w:t>6</w:t>
      </w:r>
      <w:r w:rsidRPr="00F15D14">
        <w:t>.</w:t>
      </w:r>
      <w:r w:rsidRPr="00F15D14">
        <w:tab/>
        <w:t>Jagħti istruzzjonijiet lill-President tiegħu biex tgħaddi din ir-riżoluzzjoni lill-Kummissjoni u lill-Kunsill, kif ukoll lill-gvernijiet u lill-parlamenti tal-Istati Membri.</w:t>
      </w:r>
    </w:p>
    <w:p w:rsidR="00E365E1" w:rsidRPr="00F15D14" w:rsidRDefault="00E365E1" w:rsidP="00E73216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F15D14" w:rsidSect="00F15D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ED4" w:rsidRPr="00F15D14" w:rsidRDefault="00385ED4">
      <w:r w:rsidRPr="00F15D14">
        <w:separator/>
      </w:r>
    </w:p>
  </w:endnote>
  <w:endnote w:type="continuationSeparator" w:id="0">
    <w:p w:rsidR="00385ED4" w:rsidRPr="00F15D14" w:rsidRDefault="00385ED4">
      <w:r w:rsidRPr="00F15D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5D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5D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5D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ED4" w:rsidRPr="00F15D14" w:rsidRDefault="00385ED4">
      <w:r w:rsidRPr="00F15D14">
        <w:separator/>
      </w:r>
    </w:p>
  </w:footnote>
  <w:footnote w:type="continuationSeparator" w:id="0">
    <w:p w:rsidR="00385ED4" w:rsidRPr="00F15D14" w:rsidRDefault="00385ED4">
      <w:r w:rsidRPr="00F15D14">
        <w:continuationSeparator/>
      </w:r>
    </w:p>
  </w:footnote>
  <w:footnote w:id="1">
    <w:p w:rsidR="00BC378B" w:rsidRPr="00B678C0" w:rsidRDefault="00BC378B" w:rsidP="00F15D14">
      <w:pPr>
        <w:pStyle w:val="FootnoteText"/>
        <w:ind w:left="567" w:hanging="567"/>
        <w:rPr>
          <w:sz w:val="24"/>
          <w:szCs w:val="24"/>
          <w:lang w:val="mt-MT"/>
        </w:rPr>
      </w:pPr>
      <w:r w:rsidRPr="00E73216">
        <w:rPr>
          <w:rStyle w:val="FootnoteReference"/>
          <w:sz w:val="24"/>
          <w:szCs w:val="24"/>
          <w:lang w:val="mt-MT"/>
        </w:rPr>
        <w:footnoteRef/>
      </w:r>
      <w:r w:rsidR="00F15D14" w:rsidRPr="00E73216">
        <w:rPr>
          <w:sz w:val="24"/>
          <w:szCs w:val="24"/>
          <w:lang w:val="mt-MT"/>
        </w:rPr>
        <w:t xml:space="preserve"> </w:t>
      </w:r>
      <w:r w:rsidR="00F15D14" w:rsidRPr="00E73216">
        <w:rPr>
          <w:sz w:val="24"/>
          <w:szCs w:val="24"/>
          <w:lang w:val="mt-MT"/>
        </w:rPr>
        <w:tab/>
      </w:r>
      <w:hyperlink r:id="rId1" w:history="1">
        <w:r w:rsidRPr="00B678C0">
          <w:rPr>
            <w:szCs w:val="24"/>
          </w:rPr>
          <w:t>Ir-Regolament (UE) 2022/2065 tal-Parlament Ewropew u tal-Kunsill tad-19 ta’ Ottubru 2022 dwar Suq Uniku għas-Servizzi Diġitali u li jemenda d-Direttiva 2000/31/KE (l-Att dwar is-Servizzi Diġitali)</w:t>
        </w:r>
        <w:r w:rsidR="00E73216">
          <w:rPr>
            <w:sz w:val="24"/>
            <w:szCs w:val="24"/>
            <w:lang w:val="hu-HU"/>
          </w:rPr>
          <w:t xml:space="preserve"> (</w:t>
        </w:r>
        <w:r w:rsidRPr="00B678C0">
          <w:rPr>
            <w:szCs w:val="24"/>
          </w:rPr>
          <w:t>ĠU L 277, 27.10.2022, p. 1</w:t>
        </w:r>
        <w:r w:rsidR="00E73216">
          <w:rPr>
            <w:sz w:val="24"/>
            <w:szCs w:val="24"/>
          </w:rPr>
          <w:t>)</w:t>
        </w:r>
        <w:r w:rsidRPr="00B678C0">
          <w:rPr>
            <w:szCs w:val="24"/>
          </w:rPr>
          <w:t>.</w:t>
        </w:r>
      </w:hyperlink>
    </w:p>
  </w:footnote>
  <w:footnote w:id="2">
    <w:p w:rsidR="00BC378B" w:rsidRPr="00B678C0" w:rsidRDefault="00BC378B" w:rsidP="00F15D14">
      <w:pPr>
        <w:pStyle w:val="FootnoteText"/>
        <w:ind w:left="567" w:hanging="567"/>
        <w:rPr>
          <w:sz w:val="24"/>
          <w:szCs w:val="24"/>
          <w:lang w:val="mt-MT"/>
        </w:rPr>
      </w:pPr>
      <w:r w:rsidRPr="00E73216">
        <w:rPr>
          <w:rStyle w:val="FootnoteReference"/>
          <w:sz w:val="24"/>
          <w:szCs w:val="24"/>
          <w:lang w:val="mt-MT"/>
        </w:rPr>
        <w:footnoteRef/>
      </w:r>
      <w:r w:rsidR="00F15D14" w:rsidRPr="00E73216">
        <w:rPr>
          <w:sz w:val="24"/>
          <w:szCs w:val="24"/>
          <w:lang w:val="mt-MT"/>
        </w:rPr>
        <w:t xml:space="preserve"> </w:t>
      </w:r>
      <w:r w:rsidR="00F15D14" w:rsidRPr="00E73216">
        <w:rPr>
          <w:sz w:val="24"/>
          <w:szCs w:val="24"/>
          <w:lang w:val="mt-MT"/>
        </w:rPr>
        <w:tab/>
      </w:r>
      <w:hyperlink r:id="rId2" w:history="1">
        <w:r w:rsidRPr="00B678C0">
          <w:rPr>
            <w:szCs w:val="24"/>
            <w:lang w:val="mt-MT"/>
          </w:rPr>
          <w:t>Ir-Regolament (UE) 2022/1925 tal-Parlament Ewropew u tal-Kunsill tal-14 ta’ Settembru 2022 dwar swieq kontestabbli u ġusti fis-settur diġitali u li jemenda d-Direttivi (UE) 2019/1937 u (UE) 2020/1828 (l-Att dwar is-Swieq Diġitali)</w:t>
        </w:r>
        <w:r w:rsidR="00E73216" w:rsidRPr="00B678C0">
          <w:rPr>
            <w:sz w:val="24"/>
            <w:szCs w:val="24"/>
            <w:lang w:val="mt-MT"/>
          </w:rPr>
          <w:t xml:space="preserve"> (</w:t>
        </w:r>
        <w:r w:rsidRPr="00B678C0">
          <w:rPr>
            <w:szCs w:val="24"/>
            <w:lang w:val="mt-MT"/>
          </w:rPr>
          <w:t>ĠU L 265, 12.10.2022, p. 1</w:t>
        </w:r>
        <w:r w:rsidR="00E73216" w:rsidRPr="00B678C0">
          <w:rPr>
            <w:sz w:val="24"/>
            <w:szCs w:val="24"/>
            <w:lang w:val="mt-MT"/>
          </w:rPr>
          <w:t>)</w:t>
        </w:r>
        <w:r w:rsidRPr="00B678C0">
          <w:rPr>
            <w:szCs w:val="24"/>
            <w:lang w:val="mt-MT"/>
          </w:rPr>
          <w:t>.</w:t>
        </w:r>
      </w:hyperlink>
    </w:p>
  </w:footnote>
  <w:footnote w:id="3">
    <w:p w:rsidR="00BC378B" w:rsidRPr="00E73216" w:rsidRDefault="00BC378B" w:rsidP="00F15D14">
      <w:pPr>
        <w:pStyle w:val="FootnoteText"/>
        <w:ind w:left="567" w:hanging="567"/>
        <w:rPr>
          <w:sz w:val="24"/>
          <w:szCs w:val="24"/>
          <w:lang w:val="mt-MT"/>
        </w:rPr>
      </w:pPr>
      <w:r w:rsidRPr="00E73216">
        <w:rPr>
          <w:rStyle w:val="FootnoteReference"/>
          <w:sz w:val="24"/>
          <w:szCs w:val="24"/>
          <w:lang w:val="mt-MT"/>
        </w:rPr>
        <w:footnoteRef/>
      </w:r>
      <w:r w:rsidR="00F15D14" w:rsidRPr="00E73216">
        <w:rPr>
          <w:sz w:val="24"/>
          <w:szCs w:val="24"/>
          <w:lang w:val="mt-MT"/>
        </w:rPr>
        <w:t xml:space="preserve"> </w:t>
      </w:r>
      <w:r w:rsidR="00F15D14" w:rsidRPr="00E73216">
        <w:rPr>
          <w:sz w:val="24"/>
          <w:szCs w:val="24"/>
          <w:lang w:val="mt-MT"/>
        </w:rPr>
        <w:tab/>
      </w:r>
      <w:r w:rsidRPr="00E73216">
        <w:rPr>
          <w:sz w:val="24"/>
          <w:szCs w:val="24"/>
          <w:lang w:val="mt-MT"/>
        </w:rPr>
        <w:t xml:space="preserve">Id-Direttiva (UE) 2019/882 tal-Parlament Ewropew u tal-Kunsill tas-17 ta’ April 2019 dwar ir-rekwiżiti ta’ aċċessibbiltà għall-prodotti u għas-servizzi </w:t>
      </w:r>
      <w:r w:rsidR="00E73216">
        <w:rPr>
          <w:sz w:val="24"/>
          <w:szCs w:val="24"/>
          <w:lang w:val="hu-HU"/>
        </w:rPr>
        <w:t>(</w:t>
      </w:r>
      <w:r w:rsidRPr="00E73216">
        <w:rPr>
          <w:sz w:val="24"/>
          <w:szCs w:val="24"/>
          <w:lang w:val="mt-MT"/>
        </w:rPr>
        <w:t>ĠU L 151, 7.6.2019, p. 70</w:t>
      </w:r>
      <w:r w:rsidR="00E73216">
        <w:rPr>
          <w:sz w:val="24"/>
          <w:szCs w:val="24"/>
          <w:lang w:val="hu-HU"/>
        </w:rPr>
        <w:t>)</w:t>
      </w:r>
      <w:r w:rsidRPr="00E73216">
        <w:rPr>
          <w:sz w:val="24"/>
          <w:szCs w:val="24"/>
          <w:lang w:val="mt-MT"/>
        </w:rPr>
        <w:t>.</w:t>
      </w:r>
    </w:p>
  </w:footnote>
  <w:footnote w:id="4">
    <w:p w:rsidR="00BC378B" w:rsidRPr="00E73216" w:rsidRDefault="00BC378B" w:rsidP="00F15D14">
      <w:pPr>
        <w:pStyle w:val="FootnoteText"/>
        <w:ind w:left="567" w:hanging="567"/>
        <w:rPr>
          <w:sz w:val="24"/>
          <w:szCs w:val="24"/>
          <w:lang w:val="mt-MT"/>
        </w:rPr>
      </w:pPr>
      <w:r w:rsidRPr="00E73216">
        <w:rPr>
          <w:rStyle w:val="FootnoteReference"/>
          <w:sz w:val="24"/>
          <w:szCs w:val="24"/>
          <w:lang w:val="mt-MT"/>
        </w:rPr>
        <w:footnoteRef/>
      </w:r>
      <w:r w:rsidR="00F15D14" w:rsidRPr="00E73216">
        <w:rPr>
          <w:sz w:val="24"/>
          <w:szCs w:val="24"/>
          <w:lang w:val="mt-MT"/>
        </w:rPr>
        <w:t xml:space="preserve"> </w:t>
      </w:r>
      <w:r w:rsidR="00F15D14" w:rsidRPr="00E73216">
        <w:rPr>
          <w:sz w:val="24"/>
          <w:szCs w:val="24"/>
          <w:lang w:val="mt-MT"/>
        </w:rPr>
        <w:tab/>
      </w:r>
      <w:r w:rsidRPr="00E73216">
        <w:rPr>
          <w:sz w:val="24"/>
          <w:szCs w:val="24"/>
          <w:lang w:val="mt-MT"/>
        </w:rPr>
        <w:t>Id-Direttiva (UE) 2016/2102 tal-Parlament Ewropew u tal-Kunsill tas-26 ta’ Ottubru 2016 dwar l-aċċessibbiltà tas-siti elettroniċi u tal-applikazzjonijiet mobbli tal-korpi tas-settur pubbliku</w:t>
      </w:r>
      <w:r w:rsidR="00E73216">
        <w:rPr>
          <w:sz w:val="24"/>
          <w:szCs w:val="24"/>
          <w:lang w:val="hu-HU"/>
        </w:rPr>
        <w:t xml:space="preserve"> (</w:t>
      </w:r>
      <w:r w:rsidRPr="00E73216">
        <w:rPr>
          <w:sz w:val="24"/>
          <w:szCs w:val="24"/>
          <w:lang w:val="mt-MT"/>
        </w:rPr>
        <w:t>ĠU L 327, 2.12.2016, p. 1</w:t>
      </w:r>
      <w:r w:rsidR="00E73216">
        <w:rPr>
          <w:sz w:val="24"/>
          <w:szCs w:val="24"/>
          <w:lang w:val="hu-HU"/>
        </w:rPr>
        <w:t>)</w:t>
      </w:r>
      <w:r w:rsidRPr="00E73216">
        <w:rPr>
          <w:sz w:val="24"/>
          <w:szCs w:val="24"/>
          <w:lang w:val="mt-MT"/>
        </w:rPr>
        <w:t>.</w:t>
      </w:r>
    </w:p>
  </w:footnote>
  <w:footnote w:id="5">
    <w:p w:rsidR="00BC378B" w:rsidRPr="00E73216" w:rsidRDefault="00BC378B" w:rsidP="00F15D14">
      <w:pPr>
        <w:pStyle w:val="FootnoteText"/>
        <w:ind w:left="567" w:hanging="567"/>
        <w:rPr>
          <w:sz w:val="24"/>
          <w:szCs w:val="24"/>
          <w:lang w:val="mt-MT"/>
        </w:rPr>
      </w:pPr>
      <w:r w:rsidRPr="00E73216">
        <w:rPr>
          <w:rStyle w:val="FootnoteReference"/>
          <w:sz w:val="24"/>
          <w:szCs w:val="24"/>
          <w:lang w:val="mt-MT"/>
        </w:rPr>
        <w:footnoteRef/>
      </w:r>
      <w:r w:rsidR="00F15D14" w:rsidRPr="00E73216">
        <w:rPr>
          <w:sz w:val="24"/>
          <w:szCs w:val="24"/>
          <w:lang w:val="mt-MT"/>
        </w:rPr>
        <w:t xml:space="preserve"> </w:t>
      </w:r>
      <w:r w:rsidR="00F15D14" w:rsidRPr="00E73216">
        <w:rPr>
          <w:sz w:val="24"/>
          <w:szCs w:val="24"/>
          <w:lang w:val="mt-MT"/>
        </w:rPr>
        <w:tab/>
      </w:r>
      <w:r w:rsidRPr="00E73216">
        <w:rPr>
          <w:sz w:val="24"/>
          <w:szCs w:val="24"/>
          <w:lang w:val="mt-MT"/>
        </w:rPr>
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</w:t>
      </w:r>
      <w:r w:rsidRPr="00B678C0">
        <w:rPr>
          <w:sz w:val="24"/>
          <w:szCs w:val="24"/>
          <w:lang w:val="mt-MT"/>
        </w:rPr>
        <w:t xml:space="preserve"> </w:t>
      </w:r>
      <w:r w:rsidR="00E73216">
        <w:rPr>
          <w:sz w:val="24"/>
          <w:szCs w:val="24"/>
          <w:lang w:val="hu-HU"/>
        </w:rPr>
        <w:t>(</w:t>
      </w:r>
      <w:r w:rsidRPr="00E73216">
        <w:rPr>
          <w:sz w:val="24"/>
          <w:szCs w:val="24"/>
          <w:lang w:val="mt-MT"/>
        </w:rPr>
        <w:t>ĠU L 119, 4.5.2016, p.</w:t>
      </w:r>
      <w:r w:rsidR="00E73216">
        <w:rPr>
          <w:sz w:val="24"/>
          <w:szCs w:val="24"/>
          <w:lang w:val="hu-HU"/>
        </w:rPr>
        <w:t xml:space="preserve"> </w:t>
      </w:r>
      <w:r w:rsidRPr="00E73216">
        <w:rPr>
          <w:sz w:val="24"/>
          <w:szCs w:val="24"/>
          <w:lang w:val="mt-MT"/>
        </w:rPr>
        <w:t>1</w:t>
      </w:r>
      <w:r w:rsidR="00E73216">
        <w:rPr>
          <w:sz w:val="24"/>
          <w:szCs w:val="24"/>
          <w:lang w:val="hu-HU"/>
        </w:rPr>
        <w:t>)</w:t>
      </w:r>
      <w:r w:rsidRPr="00E73216">
        <w:rPr>
          <w:sz w:val="24"/>
          <w:szCs w:val="24"/>
          <w:lang w:val="mt-MT"/>
        </w:rPr>
        <w:t>.</w:t>
      </w:r>
    </w:p>
  </w:footnote>
  <w:footnote w:id="6">
    <w:p w:rsidR="00BC378B" w:rsidRPr="00B678C0" w:rsidRDefault="00BC378B" w:rsidP="00F15D14">
      <w:pPr>
        <w:pStyle w:val="FootnoteText"/>
        <w:ind w:left="567" w:hanging="567"/>
        <w:rPr>
          <w:sz w:val="24"/>
          <w:szCs w:val="24"/>
          <w:lang w:val="mt-MT"/>
        </w:rPr>
      </w:pPr>
      <w:r w:rsidRPr="00E73216">
        <w:rPr>
          <w:rStyle w:val="FootnoteReference"/>
          <w:sz w:val="24"/>
          <w:szCs w:val="24"/>
          <w:lang w:val="mt-MT"/>
        </w:rPr>
        <w:footnoteRef/>
      </w:r>
      <w:r w:rsidR="00F15D14" w:rsidRPr="00E73216">
        <w:rPr>
          <w:sz w:val="24"/>
          <w:szCs w:val="24"/>
          <w:lang w:val="mt-MT"/>
        </w:rPr>
        <w:t xml:space="preserve"> </w:t>
      </w:r>
      <w:r w:rsidR="00F15D14" w:rsidRPr="00E73216">
        <w:rPr>
          <w:sz w:val="24"/>
          <w:szCs w:val="24"/>
          <w:lang w:val="mt-MT"/>
        </w:rPr>
        <w:tab/>
      </w:r>
      <w:hyperlink r:id="rId3" w:history="1">
        <w:r w:rsidR="003F3029">
          <w:rPr>
            <w:rStyle w:val="Hyperlink"/>
            <w:sz w:val="24"/>
            <w:szCs w:val="24"/>
            <w:lang w:val="mt-MT"/>
          </w:rPr>
          <w:t>ĠU L 150, 9.6.2023, p. 40</w:t>
        </w:r>
      </w:hyperlink>
      <w:r w:rsidR="003F3029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5D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5D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5D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7/2023"/>
    <w:docVar w:name="dvlangue" w:val="MT"/>
    <w:docVar w:name="dvnumam" w:val="0"/>
    <w:docVar w:name="dvpe" w:val="751.902"/>
    <w:docVar w:name="dvrapporteur" w:val="Rapporteur: "/>
    <w:docVar w:name="dvtitre" w:val="Riżoluzzjoni tal-Parlament Ewropew ... 2024 dwar id-dinjiet virtwali – opportunitajiet, riskji u implikazzjonijiet politiċi għas-suq uniku(2022/2198(INI))"/>
  </w:docVars>
  <w:rsids>
    <w:rsidRoot w:val="00385E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ED4"/>
    <w:rsid w:val="00395FA1"/>
    <w:rsid w:val="003E15D4"/>
    <w:rsid w:val="003F302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8C0"/>
    <w:rsid w:val="00BC378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81C"/>
    <w:rsid w:val="00D56C11"/>
    <w:rsid w:val="00D834A0"/>
    <w:rsid w:val="00D872DF"/>
    <w:rsid w:val="00D91E21"/>
    <w:rsid w:val="00DA7FCD"/>
    <w:rsid w:val="00E365E1"/>
    <w:rsid w:val="00E73216"/>
    <w:rsid w:val="00E820A4"/>
    <w:rsid w:val="00EB006A"/>
    <w:rsid w:val="00EB4772"/>
    <w:rsid w:val="00ED169E"/>
    <w:rsid w:val="00ED4235"/>
    <w:rsid w:val="00F04346"/>
    <w:rsid w:val="00F075DC"/>
    <w:rsid w:val="00F149E9"/>
    <w:rsid w:val="00F15D1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116FC"/>
  <w15:chartTrackingRefBased/>
  <w15:docId w15:val="{704DBCB2-02D6-484B-ADD5-518EA7A3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378B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BC378B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BC378B"/>
    <w:pPr>
      <w:spacing w:after="240"/>
      <w:jc w:val="center"/>
    </w:pPr>
  </w:style>
  <w:style w:type="character" w:customStyle="1" w:styleId="BoldItalic">
    <w:name w:val="BoldItalic"/>
    <w:uiPriority w:val="1"/>
    <w:rsid w:val="00BC378B"/>
    <w:rPr>
      <w:b/>
      <w:i/>
      <w:u w:val="none"/>
    </w:rPr>
  </w:style>
  <w:style w:type="character" w:customStyle="1" w:styleId="Italic">
    <w:name w:val="Italic"/>
    <w:uiPriority w:val="1"/>
    <w:rsid w:val="00BC378B"/>
    <w:rPr>
      <w:i/>
    </w:rPr>
  </w:style>
  <w:style w:type="paragraph" w:customStyle="1" w:styleId="Normal12a24b">
    <w:name w:val="Normal12a24b"/>
    <w:basedOn w:val="Normal"/>
    <w:rsid w:val="00BC378B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C378B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iPriority w:val="99"/>
    <w:unhideWhenUsed/>
    <w:rsid w:val="00BC378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732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321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3/1114/oj" TargetMode="External"/><Relationship Id="rId2" Type="http://schemas.openxmlformats.org/officeDocument/2006/relationships/hyperlink" Target="https://eur-lex.europa.eu/legal-content/MT/TXT/?uri=CELEX:32022R1925" TargetMode="External"/><Relationship Id="rId1" Type="http://schemas.openxmlformats.org/officeDocument/2006/relationships/hyperlink" Target="https://eur-lex.europa.eu/legal-content/MT/TXT/?uri=CELEX:32022R20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2EF8F-E045-417B-9596-EAB481D13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3516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2024-01-17T12:38:00Z</dcterms:created>
  <dcterms:modified xsi:type="dcterms:W3CDTF">2024-01-17T12:38:00Z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A9-0397/2023</vt:lpwstr>
  </property>
  <property fmtid="{D5CDD505-2E9C-101B-9397-08002B2CF9AE}" pid="4" name="&lt;Type&gt;">
    <vt:lpwstr>RR</vt:lpwstr>
  </property>
</Properties>
</file>