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7C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7C78" w:rsidRDefault="00B27CEC" w:rsidP="0010095E">
            <w:pPr>
              <w:pStyle w:val="EPName"/>
            </w:pPr>
            <w:bookmarkStart w:id="0" w:name="_GoBack" w:colFirst="0" w:colLast="0"/>
            <w:r w:rsidRPr="00FB7C78">
              <w:t>Parlament Europejski</w:t>
            </w:r>
          </w:p>
          <w:p w:rsidR="00751A4A" w:rsidRPr="00FB7C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7C7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B7C78" w:rsidRDefault="00187494" w:rsidP="0010095E">
            <w:pPr>
              <w:pStyle w:val="EPLogo"/>
            </w:pPr>
            <w:r w:rsidRPr="00FB7C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D058B8" w:rsidRPr="00FB7C78" w:rsidRDefault="00D058B8" w:rsidP="004C5D52">
      <w:pPr>
        <w:pStyle w:val="LineTop"/>
      </w:pPr>
    </w:p>
    <w:p w:rsidR="00680577" w:rsidRPr="00FB7C78" w:rsidRDefault="00B27CEC" w:rsidP="00680577">
      <w:pPr>
        <w:pStyle w:val="EPBodyTA1"/>
      </w:pPr>
      <w:r w:rsidRPr="00FB7C78">
        <w:t>TEKSTY PRZYJĘTE</w:t>
      </w:r>
    </w:p>
    <w:p w:rsidR="00D058B8" w:rsidRPr="00FB7C78" w:rsidRDefault="00D058B8" w:rsidP="00D058B8">
      <w:pPr>
        <w:pStyle w:val="LineBottom"/>
      </w:pPr>
    </w:p>
    <w:p w:rsidR="00B27CEC" w:rsidRPr="00FB7C78" w:rsidRDefault="00B27CEC" w:rsidP="00B27CEC">
      <w:pPr>
        <w:pStyle w:val="ATHeading1"/>
      </w:pPr>
      <w:bookmarkStart w:id="1" w:name="TANumber"/>
      <w:r w:rsidRPr="00FB7C78">
        <w:t>P9_TA(2024)00</w:t>
      </w:r>
      <w:bookmarkEnd w:id="1"/>
      <w:r w:rsidR="000C79B6">
        <w:t>32</w:t>
      </w:r>
    </w:p>
    <w:p w:rsidR="00B27CEC" w:rsidRPr="00FB7C78" w:rsidRDefault="00B27CEC" w:rsidP="00B27CEC">
      <w:pPr>
        <w:pStyle w:val="ATHeading2"/>
      </w:pPr>
      <w:bookmarkStart w:id="2" w:name="title"/>
      <w:r w:rsidRPr="00FB7C78">
        <w:t>Światy wirtualne – szanse, zagrożenia i skutki polityczne dla jednolitego rynku</w:t>
      </w:r>
      <w:bookmarkEnd w:id="2"/>
    </w:p>
    <w:p w:rsidR="00B27CEC" w:rsidRPr="00FB7C78" w:rsidRDefault="00B27CEC" w:rsidP="00B27CEC">
      <w:pPr>
        <w:rPr>
          <w:i/>
          <w:vanish/>
        </w:rPr>
      </w:pPr>
      <w:r w:rsidRPr="00FB7C78">
        <w:rPr>
          <w:i/>
        </w:rPr>
        <w:fldChar w:fldCharType="begin"/>
      </w:r>
      <w:r w:rsidRPr="00FB7C78">
        <w:rPr>
          <w:i/>
        </w:rPr>
        <w:instrText xml:space="preserve"> TC"(</w:instrText>
      </w:r>
      <w:bookmarkStart w:id="3" w:name="DocNumber"/>
      <w:r w:rsidRPr="00FB7C78">
        <w:rPr>
          <w:i/>
        </w:rPr>
        <w:instrText>A9-0397/2023</w:instrText>
      </w:r>
      <w:bookmarkEnd w:id="3"/>
      <w:r w:rsidRPr="00FB7C78">
        <w:rPr>
          <w:i/>
        </w:rPr>
        <w:instrText xml:space="preserve"> - Sprawozdawca: Pablo Arias Echeverría)"\l3 \n&gt; \* MERGEFORMAT </w:instrText>
      </w:r>
      <w:r w:rsidRPr="00FB7C78">
        <w:rPr>
          <w:i/>
        </w:rPr>
        <w:fldChar w:fldCharType="end"/>
      </w:r>
    </w:p>
    <w:p w:rsidR="00B27CEC" w:rsidRPr="00FB7C78" w:rsidRDefault="00B27CEC" w:rsidP="00B27CEC">
      <w:pPr>
        <w:rPr>
          <w:vanish/>
        </w:rPr>
      </w:pPr>
      <w:bookmarkStart w:id="4" w:name="Commission"/>
      <w:r w:rsidRPr="00FB7C78">
        <w:rPr>
          <w:vanish/>
        </w:rPr>
        <w:t>Komisja Rynku Wewnętrznego i Ochrony Konsumentów</w:t>
      </w:r>
      <w:bookmarkEnd w:id="4"/>
    </w:p>
    <w:p w:rsidR="00B27CEC" w:rsidRPr="00FB7C78" w:rsidRDefault="00B27CEC" w:rsidP="00B27CEC">
      <w:pPr>
        <w:rPr>
          <w:vanish/>
        </w:rPr>
      </w:pPr>
      <w:bookmarkStart w:id="5" w:name="PE"/>
      <w:r w:rsidRPr="00FB7C78">
        <w:rPr>
          <w:vanish/>
        </w:rPr>
        <w:t>PE751.902</w:t>
      </w:r>
      <w:bookmarkEnd w:id="5"/>
    </w:p>
    <w:p w:rsidR="00B27CEC" w:rsidRPr="00FB7C78" w:rsidRDefault="00B27CEC" w:rsidP="00B27CEC">
      <w:pPr>
        <w:pStyle w:val="ATHeading3"/>
      </w:pPr>
      <w:bookmarkStart w:id="6" w:name="Sujet"/>
      <w:r w:rsidRPr="00FB7C78">
        <w:t xml:space="preserve">Rezolucja Parlamentu Europejskiego z dnia </w:t>
      </w:r>
      <w:r w:rsidR="00455B7F">
        <w:t>17</w:t>
      </w:r>
      <w:r w:rsidRPr="00FB7C78">
        <w:t xml:space="preserve"> </w:t>
      </w:r>
      <w:r w:rsidR="00455B7F">
        <w:t xml:space="preserve">stycznia </w:t>
      </w:r>
      <w:r w:rsidRPr="00FB7C78">
        <w:t>2024 r. w sprawie światów wirtualnych – szanse, zagrożenia i skutki polityczne dla jednolitego rynku</w:t>
      </w:r>
      <w:bookmarkEnd w:id="6"/>
      <w:r w:rsidRPr="00FB7C78">
        <w:t xml:space="preserve"> </w:t>
      </w:r>
      <w:bookmarkStart w:id="7" w:name="References"/>
      <w:r w:rsidRPr="00FB7C78">
        <w:t>(2022/2198(INI))</w:t>
      </w:r>
      <w:bookmarkEnd w:id="7"/>
    </w:p>
    <w:p w:rsidR="00017E66" w:rsidRPr="00FB7C78" w:rsidRDefault="00017E66" w:rsidP="00017E66">
      <w:pPr>
        <w:pStyle w:val="EPComma"/>
      </w:pPr>
      <w:bookmarkStart w:id="8" w:name="TextBodyBegin"/>
      <w:bookmarkEnd w:id="8"/>
      <w:r w:rsidRPr="00FB7C78">
        <w:rPr>
          <w:rStyle w:val="Italic"/>
        </w:rPr>
        <w:t>Parlament Europejski</w:t>
      </w:r>
      <w:r w:rsidRPr="00FB7C78">
        <w:t>,</w:t>
      </w:r>
    </w:p>
    <w:p w:rsidR="00017E66" w:rsidRPr="00FB7C78" w:rsidRDefault="00017E66" w:rsidP="00017E66">
      <w:pPr>
        <w:pStyle w:val="NormalHanging12a"/>
      </w:pPr>
      <w:r w:rsidRPr="00FB7C78">
        <w:t>–</w:t>
      </w:r>
      <w:r w:rsidRPr="00FB7C78">
        <w:tab/>
        <w:t>uwzględniając art. 24 Karty praw podstawowych UE i Konwencję ONZ o prawach dziecka wraz z komentarzem ogólnym nr 25 dotyczącym praw dziecka w odniesieniu do środowiska cyfrowego,</w:t>
      </w:r>
    </w:p>
    <w:p w:rsidR="00017E66" w:rsidRPr="00FB7C78" w:rsidRDefault="00017E66" w:rsidP="00017E66">
      <w:pPr>
        <w:pStyle w:val="NormalHanging12a"/>
      </w:pPr>
      <w:r w:rsidRPr="00FB7C78">
        <w:t>–</w:t>
      </w:r>
      <w:r w:rsidRPr="00FB7C78">
        <w:tab/>
        <w:t>uwzględniając art. 54 Regulaminu,</w:t>
      </w:r>
    </w:p>
    <w:p w:rsidR="00017E66" w:rsidRPr="00FB7C78" w:rsidRDefault="00017E66" w:rsidP="00017E66">
      <w:pPr>
        <w:pStyle w:val="NormalHanging12a"/>
      </w:pPr>
      <w:r w:rsidRPr="00FB7C78">
        <w:t>–</w:t>
      </w:r>
      <w:r w:rsidRPr="00FB7C78">
        <w:tab/>
        <w:t>uwzględniając opinię Komisji Kultury i Edukacji,</w:t>
      </w:r>
    </w:p>
    <w:p w:rsidR="00017E66" w:rsidRPr="00FB7C78" w:rsidRDefault="00017E66" w:rsidP="00017E66">
      <w:pPr>
        <w:pStyle w:val="NormalHanging12a"/>
      </w:pPr>
      <w:r w:rsidRPr="00FB7C78">
        <w:t>–</w:t>
      </w:r>
      <w:r w:rsidRPr="00FB7C78">
        <w:tab/>
        <w:t>uwzględniając sprawozdanie Komisji Rynku Wewnętrznego i Ochrony Konsumentów (A9-0397/2023),</w:t>
      </w:r>
    </w:p>
    <w:p w:rsidR="00017E66" w:rsidRPr="00FB7C78" w:rsidRDefault="00017E66" w:rsidP="00017E66">
      <w:pPr>
        <w:pStyle w:val="NormalHanging12a"/>
      </w:pPr>
      <w:r w:rsidRPr="00FB7C78">
        <w:t>A.</w:t>
      </w:r>
      <w:r w:rsidRPr="00FB7C78">
        <w:tab/>
        <w:t>mając na uwadze, że świat przechodzi bezprecedensową transformację naznaczoną cyfryzacją, która powoduje głębokie zmiany we wszystkich sferach naszego życia gospodarczego, politycznego i społecznego;</w:t>
      </w:r>
    </w:p>
    <w:p w:rsidR="00017E66" w:rsidRPr="00FB7C78" w:rsidRDefault="00017E66" w:rsidP="00017E66">
      <w:pPr>
        <w:pStyle w:val="NormalHanging12a"/>
        <w:rPr>
          <w:szCs w:val="24"/>
        </w:rPr>
      </w:pPr>
      <w:r w:rsidRPr="00FB7C78">
        <w:t>B.</w:t>
      </w:r>
      <w:r w:rsidRPr="00FB7C78">
        <w:tab/>
        <w:t>mając na uwadze, że cyfryzacja oferuje wiele możliwości w dziedzinach takich jak medycyna, kultura, edukacja, gospodarka, bezpieczeństwo i egzekwowanie prawa oraz ma potencjał rozwiązywania globalnych problemów związanych z ubóstwem i nierównością, zrównoważonym rozwojem, a także demokratyzacji procesów i dostępu do edukacji i wiedzy; mając na uwadze, że daje również nowe możliwości przyspieszenia procesu transformacji w kierunku bardziej zrównoważonych i sprawiedliwych społeczeństw, jeśli nada się jej właściwy kierunek za pomocą odpowiednich strategii politycznych; mając na uwadze, że aby rozwiązać problem przepaści cyfrowej, która dotyka obecnie 46 % Europejczyków, nadal potrzebne są znaczne inwestycje;</w:t>
      </w:r>
    </w:p>
    <w:p w:rsidR="00017E66" w:rsidRPr="00FB7C78" w:rsidRDefault="00017E66" w:rsidP="00017E66">
      <w:pPr>
        <w:pStyle w:val="NormalHanging12a"/>
        <w:rPr>
          <w:szCs w:val="24"/>
        </w:rPr>
      </w:pPr>
      <w:r w:rsidRPr="00FB7C78">
        <w:lastRenderedPageBreak/>
        <w:t>C.</w:t>
      </w:r>
      <w:r w:rsidRPr="00FB7C78">
        <w:tab/>
        <w:t>mając na uwadze, że transformacja cyfrowa wiąże się również z poważnymi wyzwaniami, które mogą zmusić nas do zweryfikowania koncepcji i norm będących dotychczas podstawą naszego postępu gospodarczego i społecznego, z zachowaniem jednocześnie naszych podstawowych zasad i wartości takich jak polityka kulturalna i prawo autorskie; mając na uwadze, że w gospodarce cyfrowej zaobserwowano nadmierną koncentrację rynku; podkreśla, że należy ograniczyć zależność technologiczną od państw trzecich i przejść na europejskie podejście do światów wirtualnych, obejmujących zarówno większe, jak i mniejsze podmioty na różnych poziomach łańcucha wartości;</w:t>
      </w:r>
    </w:p>
    <w:p w:rsidR="00017E66" w:rsidRPr="00FB7C78" w:rsidRDefault="00017E66" w:rsidP="00017E66">
      <w:pPr>
        <w:pStyle w:val="NormalHanging12a"/>
        <w:rPr>
          <w:szCs w:val="24"/>
        </w:rPr>
      </w:pPr>
      <w:r w:rsidRPr="00FB7C78">
        <w:t>D.</w:t>
      </w:r>
      <w:r w:rsidRPr="00FB7C78">
        <w:tab/>
        <w:t>mając na uwadze, że w UE świadomość zarówno potencjału nowych technologii, jak i wyzwań związanych z koncentracją potęgi przez gigantów cyfrowych spowodowała potrzebę przywrócenia równych warunków działania na rynku cyfrowym, a to prowadzi do działań politycznych i legislacyjnych; mając na uwadze, że instytucje UE traktują transformację ekologiczną i cyfrową jako jeden z priorytetowych obszarów działania i kształtowania polityki, dlatego przyjmują przepisy zgodne z wartościami UE, zasadami sprawiedliwości i uczciwej konkurencji oraz prawami podstawowymi, a jednocześnie zapewniają autonomię strategiczną i niezależność;</w:t>
      </w:r>
    </w:p>
    <w:p w:rsidR="00017E66" w:rsidRPr="00FB7C78" w:rsidRDefault="00017E66" w:rsidP="00017E66">
      <w:pPr>
        <w:pStyle w:val="NormalHanging12a"/>
        <w:rPr>
          <w:szCs w:val="24"/>
        </w:rPr>
      </w:pPr>
      <w:r w:rsidRPr="00FB7C78">
        <w:t>E.</w:t>
      </w:r>
      <w:r w:rsidRPr="00FB7C78">
        <w:tab/>
        <w:t>mając na uwadze, że przejście na sieć 4.0 i rozwój światów wirtualnych może stanowić istotny element przyszłości cyfryzacji i być jednym z ważnych potencjalnych elementów tworzenia jednolitego rynku cyfrowego; uważa, że cyfryzację, która jest integralną częścią sieci 4.0, należy harmonijnie zintegrować z jednolitym rynkiem cyfrowym bez tworzenia barier; przyznaje, że choć światy wirtualne mogą uzupełniać świat rzeczywisty jako dodatkowe narzędzie, nie powinny go zastępować i nie powinny prowadzić do wykluczenia konsumentów;</w:t>
      </w:r>
    </w:p>
    <w:p w:rsidR="00017E66" w:rsidRPr="00FB7C78" w:rsidRDefault="00017E66" w:rsidP="00017E66">
      <w:pPr>
        <w:pStyle w:val="NormalHanging12a"/>
      </w:pPr>
      <w:r w:rsidRPr="00FB7C78">
        <w:t>F.</w:t>
      </w:r>
      <w:r w:rsidRPr="00FB7C78">
        <w:tab/>
        <w:t>mając na uwadze, że światy wirtualne stwarzają poważne zagrożenia w różnych dziedzinach, takich jak zdrowie psychiczne, konkurencja, ochrona danych i ochrona konsumentów, w tym dla grup szczególnie wrażliwych, np. małoletnich, osób starszych i osób z niepełnosprawnościami; mając na uwadze, że potrzebne są również dalsze badania w tej dziedzinie; mając na uwadze, że światy wirtualne wiążą się również z wieloaspektowymi wyzwaniami, takimi jak m.in. treści tworzone przez użytkowników, prawa własności intelektualnej, środki cyberbezpieczeństwa i podstawowe prawa człowieka; mając na uwadze, że doświadczenia związane ze światami wirtualnymi mogą stwarzać wyzwania dla kobiet; mając na uwadze, że według Europejskiego Instytutu ds. Równości Kobiet i Mężczyzn (EIGE) co dziesiąta kobieta w wieku powyżej 15 lat doświadczyła jakiejś formy cyberprzemocy; mając na uwadze, że zdaniem specjalnego sprawozdawcy ONZ ds. przemocy wobec kobiet nowe technologie „nieuchronnie spowodują różne nowe przejawy przemocy wobec kobiet w internecie”; uważa, że brak równowagi między konsumentem a przedsiębiorcą internetowym może pogłębić się w światach wirtualnych; podkreśla, że technologii nie należy projektować tak, by manipulować zachowaniami konsumentów; zauważa coraz większą liczbę i różnorodność produktów, np. produktów finansowych, powiązanych ze światami wirtualnymi, takich jak nabywanie wirtualnych aktywów, awatarów itp.; podkreśla, że konieczne jest przeprowadzenie ukierunkowanych badań i szeroko zakrojonych konsultacji z ekspertami z różnych dziedzin, od gospodarki po neurobiologię, aby opracować funkcjonalne ramy regulacyjne; z zadowoleniem przyjmuje działania przemysłu w tym zakresie i podkreśla, że można zrobić więcej;</w:t>
      </w:r>
    </w:p>
    <w:p w:rsidR="00017E66" w:rsidRPr="00FB7C78" w:rsidRDefault="00017E66" w:rsidP="00017E66">
      <w:pPr>
        <w:pStyle w:val="Normal12a24b"/>
      </w:pPr>
      <w:r w:rsidRPr="00FB7C78">
        <w:rPr>
          <w:rStyle w:val="BoldItalic"/>
        </w:rPr>
        <w:lastRenderedPageBreak/>
        <w:t>Zasady ogólne</w:t>
      </w:r>
    </w:p>
    <w:p w:rsidR="00017E66" w:rsidRPr="00FB7C78" w:rsidRDefault="00017E66" w:rsidP="00017E66">
      <w:pPr>
        <w:pStyle w:val="NormalHanging12a"/>
        <w:rPr>
          <w:szCs w:val="24"/>
        </w:rPr>
      </w:pPr>
      <w:r w:rsidRPr="00FB7C78">
        <w:t>1.</w:t>
      </w:r>
      <w:r w:rsidRPr="00FB7C78">
        <w:tab/>
        <w:t>z zadowoleniem przyjmuje komunikat Komisji z 11 lipca 2023 r. pt. „Inicjatywa UE w sprawie technologii Web 4.0 i światów wirtualnych: dobra pozycja wyjściowa na drodze ku kolejnej transformacji technologicznej” (COM(2023)0442); podkreśla, że każda strategia musi być zrównoważona i ukierunkowana na człowieka, a jednocześnie musi chronić unijne wartości;</w:t>
      </w:r>
    </w:p>
    <w:p w:rsidR="00017E66" w:rsidRPr="00FB7C78" w:rsidRDefault="00017E66" w:rsidP="00017E66">
      <w:pPr>
        <w:pStyle w:val="NormalHanging12a"/>
        <w:rPr>
          <w:szCs w:val="24"/>
        </w:rPr>
      </w:pPr>
      <w:r w:rsidRPr="00FB7C78">
        <w:t>2.</w:t>
      </w:r>
      <w:r w:rsidRPr="00FB7C78">
        <w:tab/>
        <w:t>zwraca uwagę na wyzwania związane z brakiem powszechnie uznawanej lub uzgodnionej definicji światów wirtualnych, co prowadzi również do braku koordynacji polityki na szczeblu krajowym i wyższym; dostrzega starania Komisji, by zdefiniować światy wirtualne w sposób zgodny z uznanymi cechami takimi jak immersywność, synchroniczność i trwałość;</w:t>
      </w:r>
    </w:p>
    <w:p w:rsidR="00017E66" w:rsidRPr="00FB7C78" w:rsidRDefault="00017E66" w:rsidP="00017E66">
      <w:pPr>
        <w:pStyle w:val="NormalHanging12a"/>
        <w:rPr>
          <w:szCs w:val="24"/>
        </w:rPr>
      </w:pPr>
      <w:r w:rsidRPr="00FB7C78">
        <w:t>3.</w:t>
      </w:r>
      <w:r w:rsidRPr="00FB7C78">
        <w:tab/>
        <w:t>podkreśla, że w oparciu o wyniki, solidne badania naukowe i aspekty techniczne należy wyraźnie rozróżnić istniejące narzędzia cyfrowe i inne możliwe powstające technologie, a jednocześnie zbadać potrzebę normalizacji sektora;</w:t>
      </w:r>
    </w:p>
    <w:p w:rsidR="00017E66" w:rsidRPr="00FB7C78" w:rsidRDefault="00017E66" w:rsidP="00017E66">
      <w:pPr>
        <w:pStyle w:val="Normal12a24b"/>
      </w:pPr>
      <w:r w:rsidRPr="00FB7C78">
        <w:rPr>
          <w:rStyle w:val="BoldItalic"/>
        </w:rPr>
        <w:t>Rynek wewnętrzny i ochrona konsumentów</w:t>
      </w:r>
    </w:p>
    <w:p w:rsidR="00017E66" w:rsidRPr="00FB7C78" w:rsidRDefault="00017E66" w:rsidP="00017E66">
      <w:pPr>
        <w:pStyle w:val="NormalHanging12a"/>
        <w:rPr>
          <w:szCs w:val="24"/>
        </w:rPr>
      </w:pPr>
      <w:r w:rsidRPr="00FB7C78">
        <w:t>4.</w:t>
      </w:r>
      <w:r w:rsidRPr="00FB7C78">
        <w:tab/>
        <w:t>zauważa, że choć w komunikacie Komisji nie wskazano jeszcze na potrzebę podjęcia precyzyjnych działań legislacyjnych, ważne jest jednak, aby przeprowadzić staranną ocenę wszystkich kwestii związanych z rozwojem światów wirtualnych i ich skutecznego uwzględnienia w obowiązującym prawodawstwie; podkreśla, że prawdziwy jednolity rynek cyfrowy może znacznie przyczynić się do rozwoju światów wirtualnych i ułatwić UE konkurowanie na skalę światową; uważa, że jasne, kompleksowe ramy regulacyjne mają zasadnicze znaczenie, zwłaszcza gdy technologia osiągnie wysoki poziom zaawansowania, by zapewnić równe warunki działania, które w pełni wykorzystują potencjał światów wirtualnych i umożliwiają ich wzrost gospodarczy;</w:t>
      </w:r>
    </w:p>
    <w:p w:rsidR="00017E66" w:rsidRPr="00FB7C78" w:rsidRDefault="00017E66" w:rsidP="00017E66">
      <w:pPr>
        <w:pStyle w:val="NormalHanging12a"/>
        <w:rPr>
          <w:szCs w:val="24"/>
        </w:rPr>
      </w:pPr>
      <w:r w:rsidRPr="00FB7C78">
        <w:t>5.</w:t>
      </w:r>
      <w:r w:rsidRPr="00FB7C78">
        <w:tab/>
        <w:t>z zadowoleniem przyjmuje najnowsze akty prawne w tej dziedzinie, takie jak akt o usługach cyfrowych (rozporządzenie (UE) 2022/2065</w:t>
      </w:r>
      <w:r w:rsidRPr="00FB7C78">
        <w:rPr>
          <w:rStyle w:val="FootnoteReference"/>
        </w:rPr>
        <w:footnoteReference w:id="1"/>
      </w:r>
      <w:r w:rsidRPr="00FB7C78">
        <w:t>), akt o rynkach cyfrowych (rozporządzenie (UE) 2022/1925</w:t>
      </w:r>
      <w:r w:rsidRPr="00FB7C78">
        <w:rPr>
          <w:rStyle w:val="FootnoteReference"/>
        </w:rPr>
        <w:footnoteReference w:id="2"/>
      </w:r>
      <w:r w:rsidRPr="00FB7C78">
        <w:t>) i akt w sprawie danych (2022/0047(COD)), który ma być wkrótce przyjęty przez Radę i Parlament Europejski; odnotowuje również wniosek dotyczący aktu w sprawie sztucznej inteligencji i aktu dotyczącego cyberodporności oraz trwające negocjacje w tej sprawie; uważa, że Komisja powinna regularnie kontrolować adekwatność i spójność ram legislacyjnych jednolitego rynku cyfrowego, aby reagować na nowe możliwości, zagrożenia lub inne kwestie, które mogą wystąpić w wirtualnych światach, oraz w razie potrzeby przedstawiać wnioski ustawodawcze; uważa, że wyniki takich kontroli powinny być podawane do wiadomości publicznej;</w:t>
      </w:r>
    </w:p>
    <w:p w:rsidR="00017E66" w:rsidRPr="00FB7C78" w:rsidRDefault="00017E66" w:rsidP="00017E66">
      <w:pPr>
        <w:pStyle w:val="NormalHanging12a"/>
        <w:rPr>
          <w:szCs w:val="24"/>
        </w:rPr>
      </w:pPr>
      <w:r w:rsidRPr="00FB7C78">
        <w:lastRenderedPageBreak/>
        <w:t>6.</w:t>
      </w:r>
      <w:r w:rsidRPr="00FB7C78">
        <w:tab/>
        <w:t>przyjmuje z zadowoleniem zaangażowanie Komisji w monitorowanie rozwoju światów wirtualnych; zwraca się do Komisji, aby co dwa lata sporządzała sprawozdanie na ten temat oraz przekazywała je Parlamentowi i Radzie; zwraca się do Komisji, by zwróciła uwagę na potencjalne problemy w sieci 4.0, które już istnieją w sieci 3.0, takie jak m.in. rozpowszechnianie dezinformacji i nielegalnych treści, kradzież tożsamości cyfrowej, cyberprzestępczość, naruszanie praw własności intelektualnej, cyberterroryzm, niewłaściwe wykorzystywanie danych osobowych, manipulacyjne projektowanie usług cyfrowych, tak aby wywołać pewne zachowania lub spowodować uzależnienie, oszustwa, treści o charakterze terrorystycznym w internecie, wykorzystywanie seksualne małoletnich i cyberprzemoc, a także by uwzględniła odpowiednie istniejące i przyszłe przepisy, takie jak akt o usługach cyfrowych, które pozwolą rozwiązać te kwestie;</w:t>
      </w:r>
    </w:p>
    <w:p w:rsidR="00017E66" w:rsidRPr="00FB7C78" w:rsidRDefault="00017E66" w:rsidP="00017E66">
      <w:pPr>
        <w:pStyle w:val="NormalHanging12a"/>
        <w:rPr>
          <w:szCs w:val="24"/>
        </w:rPr>
      </w:pPr>
      <w:r w:rsidRPr="00FB7C78">
        <w:t>7.</w:t>
      </w:r>
      <w:r w:rsidRPr="00FB7C78">
        <w:tab/>
        <w:t>zwraca uwagę na znaczny potencjał światów wirtualnych i rosnącą potrzebę inwestycji w niezbędną infrastrukturę oraz w powiązane badania naukowe, innowacje oraz zmianę i podnoszenie kwalifikacji pracowników; podkreśla, że ogólne koszty takich inwestycji powinny mieć neutralny wpływ na końcowe ceny konsumpcyjne; przyznaje, że aby osiągnąć te cele konieczne jest zwiększenie zasobów dostępnych na szczeblu UE; podkreśla, że rzeczywistość wirtualna, rzeczywistość rozszerzona i rzeczywistość mieszana odgrywają kluczową rolę w rozwoju światów wirtualnych i dostarczają użytkownikom immersyjnych i interaktywnych doświadczeń, oraz zauważa, że zastosowania przemysłowe i konsumenckie wiążą się z różnymi wyzwaniami i wymagają zróżnicowanego podejścia; odnotowuje również, że rozwój niektórych modeli sztucznej inteligencji takich jak generatywna sztuczna inteligencja również może odegrać kluczową rolę w tworzeniu i wzbogacaniu środowisk wirtualnych; w związku z tym wzywa Komisję, by ściśle monitorowała również szybki rozwój tej technologii i jej wpływ na ekosystem cyfrowy;</w:t>
      </w:r>
    </w:p>
    <w:p w:rsidR="00017E66" w:rsidRPr="00FB7C78" w:rsidRDefault="00017E66" w:rsidP="00017E66">
      <w:pPr>
        <w:pStyle w:val="NormalHanging12a"/>
        <w:rPr>
          <w:szCs w:val="24"/>
        </w:rPr>
      </w:pPr>
      <w:r w:rsidRPr="00FB7C78">
        <w:t>8.</w:t>
      </w:r>
      <w:r w:rsidRPr="00FB7C78">
        <w:tab/>
        <w:t>sygnalizuje również potencjalny pozytywny wpływ tych rozwiązań na zatrudnienie, w tym na tworzenie nowych miejsc pracy w dziedzinach takich jak architektura lub tworzenie treści w świecie wirtualnym; podkreśla, że trzeba inwestować w inicjatywy zmiany kwalifikacji, aby dokształcić obecnych pracowników w UE, ze zwróceniem szczególnej uwagi na grupy niedostatecznie reprezentowane w tym sektorze; podkreśla, że trzeba inwestować w rozwój odpowiednich umiejętności i wspierać go, by zapewnić w UE dostateczną liczbę utalentowanych i wykwalifikowanych pracowników mogących wykonywać te prace, a także tworzyć atrakcyjne warunki, by zatrzymać utalentowanych pracowników w UE, przyciągać talenty zagraniczne oraz promować przedsiębiorczość i innowacyjność w UE;</w:t>
      </w:r>
    </w:p>
    <w:p w:rsidR="00017E66" w:rsidRPr="00FB7C78" w:rsidRDefault="00455B7F" w:rsidP="00455B7F">
      <w:pPr>
        <w:pStyle w:val="NormalHanging12a"/>
        <w:rPr>
          <w:szCs w:val="24"/>
        </w:rPr>
      </w:pPr>
      <w:r w:rsidRPr="00FB7C78">
        <w:t>9.</w:t>
      </w:r>
      <w:r w:rsidRPr="00FB7C78">
        <w:tab/>
      </w:r>
      <w:r w:rsidR="00017E66" w:rsidRPr="00FB7C78">
        <w:t>sygnalizuje zarówno pozytywny, jak i negatywny potencjalny wpływ nowych technologii i produktów na konsumentów, ich zdrowie i życie społeczne oraz sytuację ekonomiczną; podkreśla potencjał światów wirtualnych w środowisku przemysłowym i zawodowym, w szczególności w zakresie szkoleń i budowania prototypów, przy jednoczesnym uznaniu ich szerszego oddziaływania na pracowników; podkreśla, że należy zapewnić przestrzeganie praw pracowniczych i wysoki poziom ochrony pracowników;</w:t>
      </w:r>
    </w:p>
    <w:p w:rsidR="00017E66" w:rsidRPr="00FB7C78" w:rsidRDefault="00455B7F" w:rsidP="00017E66">
      <w:pPr>
        <w:pStyle w:val="NormalHanging12a"/>
        <w:rPr>
          <w:szCs w:val="24"/>
        </w:rPr>
      </w:pPr>
      <w:r>
        <w:t>10</w:t>
      </w:r>
      <w:r w:rsidR="00017E66" w:rsidRPr="00FB7C78">
        <w:t>.</w:t>
      </w:r>
      <w:r w:rsidR="00017E66" w:rsidRPr="00FB7C78">
        <w:tab/>
        <w:t xml:space="preserve">przypomina, że chociaż większość przedsiębiorstw, które są liderami w rozwoju światów wirtualnych, ma siedzibę poza UE, w UE również istnieje prężny i dynamicznie rozwijający się ekosystem; podkreśla, że UE powinna odgrywać wiodącą rolę w kształtowaniu światów wirtualnych jako ekosystemów, które szanują i propagują </w:t>
      </w:r>
      <w:r w:rsidR="00017E66" w:rsidRPr="00FB7C78">
        <w:lastRenderedPageBreak/>
        <w:t xml:space="preserve">unijne wartości, prawa podstawowe i najwyższy poziom ochrony konsumentów; podkreśla, że trzeba wspierać równe warunki działania sprzyjające ekspansji europejskich małych i średnich przedsiębiorstw oraz rozwojowi konkurencyjnych przedsiębiorstw europejskich, a także zdecentralizowane i interoperacyjne ekosystemy; </w:t>
      </w:r>
    </w:p>
    <w:p w:rsidR="00017E66" w:rsidRPr="00FB7C78" w:rsidRDefault="00455B7F" w:rsidP="00455B7F">
      <w:pPr>
        <w:pStyle w:val="NormalHanging12a"/>
        <w:rPr>
          <w:szCs w:val="24"/>
        </w:rPr>
      </w:pPr>
      <w:r>
        <w:t>11.</w:t>
      </w:r>
      <w:r>
        <w:tab/>
      </w:r>
      <w:r w:rsidR="00017E66" w:rsidRPr="00FB7C78">
        <w:t>podkreśla, że trzeba stworzyć odpowiednie ramy polityczne i zaangażować się w dialog międzynarodowy, w szczególności z państwami spoza UE o podobnych poglądach, by osiągnąć skoordynowane podejście do światów wirtualnych; podkreśla, że należy pogłębiać świadomość obywateli Europy na temat odpowiedzialnego korzystania ze świata cyfrowego;</w:t>
      </w:r>
    </w:p>
    <w:p w:rsidR="00017E66" w:rsidRPr="00FB7C78" w:rsidRDefault="00455B7F" w:rsidP="00017E66">
      <w:pPr>
        <w:pStyle w:val="NormalHanging12a"/>
        <w:rPr>
          <w:szCs w:val="24"/>
        </w:rPr>
      </w:pPr>
      <w:r>
        <w:t>12</w:t>
      </w:r>
      <w:r w:rsidR="00017E66" w:rsidRPr="00FB7C78">
        <w:t>.</w:t>
      </w:r>
      <w:r w:rsidR="00017E66" w:rsidRPr="00FB7C78">
        <w:tab/>
        <w:t>przyznaje, że wiele światów wirtualnych zostało opracowanych przez różne przedsiębiorstwa ze względu na brak otwartych wspólnych standardów, regulacji i platform interoperacyjnych; podkreśla, że światy wirtualne opracowuje obecnie kilka podmiotów dysponujących niezbędnymi zasobami i środkami finansowymi; uważa, że interoperacyjność i otwarte standardy mogą przyczynić się do zapobiegania quasi-monopolom lub nadużyciom pozycji dominującej przynoszącym szkodę konsumentom i unijnym przedsiębiorstwom, w szczególności MŚP;</w:t>
      </w:r>
    </w:p>
    <w:p w:rsidR="00017E66" w:rsidRPr="00FB7C78" w:rsidRDefault="00455B7F" w:rsidP="00455B7F">
      <w:pPr>
        <w:pStyle w:val="NormalHanging12a"/>
        <w:rPr>
          <w:szCs w:val="24"/>
        </w:rPr>
      </w:pPr>
      <w:r>
        <w:t>13.</w:t>
      </w:r>
      <w:r>
        <w:tab/>
      </w:r>
      <w:r w:rsidR="00017E66" w:rsidRPr="00FB7C78">
        <w:t>z zadowoleniem przyjmuje zobowiązanie Komisji do współpracy z istniejącymi wielostronnymi instytucjami zarządzającymi internetem w celu opracowania wspólnych zasad i standardów zarządzania; zachęca Komisję, by wspierała bieżące wielostronne inicjatywy z udziałem wielu zainteresowanych stron, które obecnie opracowują normy, w tym normy stowarzyszeń konsumenckich i innych organizacji społeczeństwa obywatelskiego; zaleca, by przeprowadzić kompleksowe badanie na temat interoperacyjnych światów wirtualnych; podkreśla potencjał, jaki dla rozwoju wirtualnych światów stanowi stworzenie europejskich przestrzeni danych;</w:t>
      </w:r>
    </w:p>
    <w:p w:rsidR="00017E66" w:rsidRPr="00FB7C78" w:rsidRDefault="00455B7F" w:rsidP="00017E66">
      <w:pPr>
        <w:pStyle w:val="NormalHanging12a"/>
        <w:rPr>
          <w:szCs w:val="24"/>
        </w:rPr>
      </w:pPr>
      <w:r>
        <w:t>14</w:t>
      </w:r>
      <w:r w:rsidR="00017E66" w:rsidRPr="00FB7C78">
        <w:t>.</w:t>
      </w:r>
      <w:r w:rsidR="00017E66" w:rsidRPr="00FB7C78">
        <w:tab/>
        <w:t>podkreśla, że należy zapewnić, aby światy wirtualne były otwarte, sprzyjające włączeniu społecznemu i dostępne, dzięki czemu zwiększy się udział osób z niepełnosprawnościami w nowym środowisku cyfrowym; sygnalizuje, że dzięki światom wirtualnym zwiększy się udział osób z niepełnosprawnościami w różnych dziedzinach, takich jak turystyka wirtualna; ostrzega przed potencjalnymi wyzwaniami, z jakimi będą się mierzyć użytkownicy z niepełnosprawnościami korzystający ze światów wirtualnych, z powodu nieodpowiednich funkcji dostępności lub rozwiązań niezaspokajających ich szczególnych potrzeb; wzywa Komisję do monitorowania adekwatności europejskiego aktu w sprawie dostępności</w:t>
      </w:r>
      <w:r w:rsidR="00017E66" w:rsidRPr="00FB7C78">
        <w:rPr>
          <w:rStyle w:val="FootnoteReference"/>
        </w:rPr>
        <w:footnoteReference w:id="3"/>
      </w:r>
      <w:r w:rsidR="00017E66" w:rsidRPr="00FB7C78">
        <w:t xml:space="preserve"> i dyrektywy w sprawie dostępności stron internetowych</w:t>
      </w:r>
      <w:r w:rsidR="00017E66" w:rsidRPr="00FB7C78">
        <w:rPr>
          <w:rStyle w:val="FootnoteReference"/>
        </w:rPr>
        <w:footnoteReference w:id="4"/>
      </w:r>
      <w:r w:rsidR="00017E66" w:rsidRPr="00FB7C78">
        <w:t xml:space="preserve"> pod względem zapewnienia dostępności w światach wirtualnych; podkreśla również, że należy zwrócić uwagę na szczególne potrzeby i prawa dzieci;</w:t>
      </w:r>
    </w:p>
    <w:p w:rsidR="00017E66" w:rsidRPr="00FB7C78" w:rsidRDefault="00455B7F" w:rsidP="00017E66">
      <w:pPr>
        <w:pStyle w:val="NormalHanging12a"/>
        <w:rPr>
          <w:szCs w:val="24"/>
        </w:rPr>
      </w:pPr>
      <w:r>
        <w:t>15</w:t>
      </w:r>
      <w:r w:rsidR="00017E66" w:rsidRPr="00FB7C78">
        <w:t>.</w:t>
      </w:r>
      <w:r w:rsidR="00017E66" w:rsidRPr="00FB7C78">
        <w:tab/>
        <w:t xml:space="preserve">uważa, że debata o konieczności identyfikacji użytkowników w światach wirtualnych powinna być obszarem priorytetowym w rozwoju światów wirtualnych oraz że należy się zastanowić nad możliwą konfiguracją tego środowiska cyfrowego, mając na uwadze, że w niektórych przypadkach preferowana może być anonimowość; zwraca </w:t>
      </w:r>
      <w:r w:rsidR="00017E66" w:rsidRPr="00FB7C78">
        <w:lastRenderedPageBreak/>
        <w:t>uwagę, że anonimowość w środowisku cyfrowym jest zawsze możliwa pod nazwą użytkownika (pseudonimem), i wzywa Komisję, by oceniła potencjalne wykorzystanie europejskiej tożsamości cyfrowej (eID) i cyfrowego portfela w światach wirtualnych;</w:t>
      </w:r>
    </w:p>
    <w:p w:rsidR="00017E66" w:rsidRPr="00FB7C78" w:rsidRDefault="00455B7F" w:rsidP="00017E66">
      <w:pPr>
        <w:pStyle w:val="NormalHanging12a"/>
        <w:rPr>
          <w:szCs w:val="24"/>
        </w:rPr>
      </w:pPr>
      <w:r>
        <w:t>16</w:t>
      </w:r>
      <w:r w:rsidR="00017E66" w:rsidRPr="00FB7C78">
        <w:t>.</w:t>
      </w:r>
      <w:r w:rsidR="00017E66" w:rsidRPr="00FB7C78">
        <w:tab/>
        <w:t>podkreśla znaczenie ochrony danych osobowych i prywatności użytkowników; zwraca uwagę, że ogólne rozporządzenie o ochronie danych</w:t>
      </w:r>
      <w:r w:rsidR="00017E66" w:rsidRPr="00FB7C78">
        <w:rPr>
          <w:vertAlign w:val="superscript"/>
        </w:rPr>
        <w:footnoteReference w:id="5"/>
      </w:r>
      <w:r w:rsidR="00017E66" w:rsidRPr="00FB7C78">
        <w:t xml:space="preserve"> może nie wystarczyć, by sprostać wyzwaniom związanym z ochroną danych we wzajemnie połączonych wirtualnych światach; wzywa, aby zwrócić szczególną uwagę na wpływ treści tworzonych przez użytkowników na ochronę danych, przy jednoczesnym zapewnieniu środowiska sprzyjającego innowacjom, a także na przetwarzanie danych wrażliwych, takich jak dane biometryczne i behawioralne, reakcje emocjonalne i informacje haptyczne;</w:t>
      </w:r>
    </w:p>
    <w:p w:rsidR="00017E66" w:rsidRPr="00FB7C78" w:rsidRDefault="00455B7F" w:rsidP="00017E66">
      <w:pPr>
        <w:pStyle w:val="NormalHanging12a"/>
      </w:pPr>
      <w:r>
        <w:t>17</w:t>
      </w:r>
      <w:r w:rsidR="00017E66" w:rsidRPr="00FB7C78">
        <w:t>.</w:t>
      </w:r>
      <w:r w:rsidR="00017E66" w:rsidRPr="00FB7C78">
        <w:tab/>
        <w:t>podkreśla, że uczestnictwo w wirtualnym świecie jest dobrowolne, i wzywa Komisję, by rozważyła ustanowienie prawa do trwałego usunięcia, tak aby konsumenci mogli zażądać usunięcia swoich danych i profilu ze wszelkich aplikacji, gier online i środowisk wirtualnych;</w:t>
      </w:r>
    </w:p>
    <w:p w:rsidR="00017E66" w:rsidRPr="00FB7C78" w:rsidRDefault="00455B7F" w:rsidP="00017E66">
      <w:pPr>
        <w:pStyle w:val="NormalHanging12a"/>
        <w:rPr>
          <w:szCs w:val="24"/>
        </w:rPr>
      </w:pPr>
      <w:r>
        <w:t>18</w:t>
      </w:r>
      <w:r w:rsidR="00017E66" w:rsidRPr="00FB7C78">
        <w:t>.</w:t>
      </w:r>
      <w:r w:rsidR="00017E66" w:rsidRPr="00FB7C78">
        <w:tab/>
        <w:t>uważa, że szczególną uwagę należy zwrócić na uzależniające interfejsy i ciemne grafiki w tych środowiskach wirtualnych; ostrzega przed potencjalnymi problemami zdrowotnymi, które mogą wynikać z korzystania ze światów wirtualnych, np. uzależnienia, cyberchoroby lub zaburzenia snu; podkreśla szczególną podatność dzieci i młodzieży na te problemy zdrowotne, w tym potencjalny wpływ na ich rozwój poznawczy, oraz podkreśla, że projektowanie światów wirtualnych musi być dostosowane do wieku oraz że potrzebne są środki kontroli rodzicielskiej, by chronić te młode osoby; uważa również, że konieczne są badania nad wpływem technologii, które wiążą się z bezpośrednimi i trwałymi zmianami w organizmie;</w:t>
      </w:r>
    </w:p>
    <w:p w:rsidR="00017E66" w:rsidRPr="00FB7C78" w:rsidRDefault="00455B7F" w:rsidP="00017E66">
      <w:pPr>
        <w:pStyle w:val="NormalHanging12a"/>
        <w:rPr>
          <w:szCs w:val="24"/>
        </w:rPr>
      </w:pPr>
      <w:r>
        <w:t>19</w:t>
      </w:r>
      <w:r w:rsidR="00017E66" w:rsidRPr="00FB7C78">
        <w:t>.</w:t>
      </w:r>
      <w:r w:rsidR="00017E66" w:rsidRPr="00FB7C78">
        <w:tab/>
        <w:t>przypomina, że światy wirtualne i edukacja immersyjna mogą propagować prawa dzieci w internecie w odniesieniu do ich edukacji, wzmacniania ich pozycji, uczestnictwa i zabawy oraz oferować unikalne doświadczenia, które zachęcą małoletnich do nauki, na przykład przez zabawę; zauważa, że zaangażowanie to może pomóc im w rozwijaniu umiejętności w zakresie współpracy, komunikacji, krytycznego myślenia, innowacji i zaufania; podkreśla, że dzięki temu można zająć się problemem niedoboru umiejętności cyfrowych w UE i szkolić przyszłe talenty; podkreśla, że konieczne są programy edukacyjne, które pomogą dzieciom i młodzieży dostosować się do zmian technologicznych oraz przyjąć zdrowe i zrównoważone podejście łączące tradycyjne interakcje społeczne z czasem spędzanym w środowisku wirtualnym oraz wyposażą rodziców w niezbędne narzędzia do nadzorowania i podejmowania świadomych decyzji, gdy pozwalają swoim dzieciom korzystać ze środowiska wirtualnego lub angażują je w to środowisko;</w:t>
      </w:r>
    </w:p>
    <w:p w:rsidR="00017E66" w:rsidRPr="00FB7C78" w:rsidRDefault="00455B7F" w:rsidP="00455B7F">
      <w:pPr>
        <w:pStyle w:val="NormalHanging12a"/>
        <w:rPr>
          <w:szCs w:val="24"/>
        </w:rPr>
      </w:pPr>
      <w:r>
        <w:t>20.</w:t>
      </w:r>
      <w:r>
        <w:tab/>
      </w:r>
      <w:r w:rsidR="00017E66" w:rsidRPr="00FB7C78">
        <w:t xml:space="preserve">zauważa potrzebę badań nad wpływem rzeczywistości wirtualnej i innych technologii na rozwój poznawczy i behawioralny; podkreśla ewentualne ryzyko związane z przedwczesnym i nadmiernym korzystaniem z ekranów, które może negatywnie wpływać na dobrostan oraz prawidłowy rozwój poznawczy, fizyczny, psychiczny i </w:t>
      </w:r>
      <w:r w:rsidR="00017E66" w:rsidRPr="00FB7C78">
        <w:lastRenderedPageBreak/>
        <w:t>społeczny; nalega, by prowadzić kampanie informacyjne na temat odpowiedzialnego korzystania z ekranów; podkreśla, że należy odpowiednio przeszkolić nauczycieli, aby posiadali niezbędne umiejętności cyfrowe; wzywa Komisję, by zachęcała do inicjatyw, w ramach których uniwersytety, szkoły kształcące inżynierów i podmioty branżowe współpracują w celu oceny luki kompetencyjnej, współtworzą plany działania i zacieśniają współpracę publiczno-prywatną z korzyścią dla młodzieży w UE; podkreśla, jak ważne jest, by rozszerzyć na światy wirtualne najwyższy poziom ochrony zapewnianej małoletnim w innych środowiskach offline i online przed różnymi zagrożeniami, m.in. nadużyciami, nękaniem, zastraszaniem, narażeniem na treści pełne przemocy, treści seksistowskie, rasistowskie lub pornograficzne; podkreśla również, że należy zwrócić uwagę na szczególne potrzeby i prawa dzieci oraz zagrożenia dla nich w światach wirtualnych; podkreśla znaczenie projektowania i obsługi usług i produktów online, do których dostęp mają głównie dzieci, tak by z założenia były dla nich bezpieczne;</w:t>
      </w:r>
    </w:p>
    <w:p w:rsidR="00017E66" w:rsidRPr="00FB7C78" w:rsidRDefault="00455B7F" w:rsidP="00017E66">
      <w:pPr>
        <w:pStyle w:val="NormalHanging12a"/>
        <w:rPr>
          <w:szCs w:val="24"/>
        </w:rPr>
      </w:pPr>
      <w:r>
        <w:t>21</w:t>
      </w:r>
      <w:r w:rsidR="00017E66" w:rsidRPr="00FB7C78">
        <w:t>.</w:t>
      </w:r>
      <w:r w:rsidR="00017E66" w:rsidRPr="00FB7C78">
        <w:tab/>
        <w:t>zauważa, że światy wirtualne będą generować obrazy, grafikę i wideo o wysokiej rozdzielczości, aby zapewnić użytkownikom immersyjne doświadczenia, co dodatkowo wymaga wysokowydajnej infrastruktury; zauważa, że kluczowe znaczenie będą miały w szczególności sieci mobilne nowej generacji oraz wydajne połączenia Wi-Fi, takie jak Wi-Fi 6, o niskim opóźnieniu i dużej przepustowości, podobnie jak technologie takie jak przetwarzanie brzegowe; przypomina o sprawozdaniu Europejskiego Trybunału Obrachunkowego ze stycznia 2022 r., w którym oszacowano, że do 2025 r. całkowity koszt wdrożenia sieci 5G we wszystkich państwach członkowskich UE wyniesie 281–391 mld EUR, w tym koszt budowy nowej infrastruktury 5G i modernizacji istniejącej infrastruktury;</w:t>
      </w:r>
    </w:p>
    <w:p w:rsidR="00017E66" w:rsidRPr="00FB7C78" w:rsidRDefault="00455B7F" w:rsidP="00017E66">
      <w:pPr>
        <w:pStyle w:val="NormalHanging12a"/>
        <w:rPr>
          <w:szCs w:val="24"/>
        </w:rPr>
      </w:pPr>
      <w:r>
        <w:t>22</w:t>
      </w:r>
      <w:r w:rsidR="00017E66" w:rsidRPr="00FB7C78">
        <w:t>.</w:t>
      </w:r>
      <w:r w:rsidR="00017E66" w:rsidRPr="00FB7C78">
        <w:tab/>
        <w:t>z zaniepokojeniem odnotowuje, że wzrost popularności światów wirtualnych może również wykluczać pewne grupy osób, które nie posiadają podstawowych umiejętności lub zasobów, aby uczestniczyć w tym środowisku, a także osoby mieszkające na obszarach wiejskich i w regionach oddalonych; podkreśla, że wspieranie umiejętności cyfrowych i dostępu do wysokiej jakości i przystępnego cenowo internetu jest warunkiem wstępnym wszelkich unijnych ram dotyczących światów wirtualnych; wzywa Komisję, aby przeprowadziła opartą na dowodach ocenę tego, jak zapewnić infranstrukturę i urządzenia potrzebne do wspierania i funkcjonowania światów wirtualnych oraz przejście z sieci 3.0 na sieć 4.0 dla konsumentów, również na obszarach oddalonych i w gospodarstwach domowych o niższych dochodach; podkreśla, że kluczowe znaczenie ma prawdziwy jednolity rynek telekomunikacyjny. ostrzega przed niebezpieczeństwami związanymi z transakcjami finansowymi obejmującymi kryptowaluty, w szczególności oszustwami i wyłudzeniami, które mogą nasilać się w światach wirtualnych; przypomina również, że nieodwracalność wielu transakcji kryptowalutowych oznacza również nowe kanały dla gospodarki równoległej, przy czym ofiary oszustw mają niewielkie możliwości odzyskania utraconych środków lub w ogóle ich nie mają; z zadowoleniem przyjmuje rozporządzenie w sprawie rynków kryptoaktywów w Unii Europejskiej</w:t>
      </w:r>
      <w:r w:rsidR="00017E66" w:rsidRPr="00FB7C78">
        <w:rPr>
          <w:rStyle w:val="FootnoteReference"/>
        </w:rPr>
        <w:footnoteReference w:id="6"/>
      </w:r>
      <w:r w:rsidR="00017E66" w:rsidRPr="00FB7C78">
        <w:t>, którego celem jest ustanowienie ram prawnych dla kryptowalut i aktywów cyfrowych;</w:t>
      </w:r>
    </w:p>
    <w:p w:rsidR="00017E66" w:rsidRPr="00FB7C78" w:rsidRDefault="00017E66" w:rsidP="00017E66">
      <w:pPr>
        <w:pStyle w:val="Normal12a24b"/>
      </w:pPr>
      <w:r w:rsidRPr="00FB7C78">
        <w:rPr>
          <w:rStyle w:val="BoldItalic"/>
        </w:rPr>
        <w:t>Zrównoważony rozwój</w:t>
      </w:r>
    </w:p>
    <w:p w:rsidR="00017E66" w:rsidRPr="00FB7C78" w:rsidRDefault="00455B7F" w:rsidP="00017E66">
      <w:pPr>
        <w:pStyle w:val="NormalHanging12a"/>
      </w:pPr>
      <w:r>
        <w:lastRenderedPageBreak/>
        <w:t>23</w:t>
      </w:r>
      <w:r w:rsidR="00017E66" w:rsidRPr="00FB7C78">
        <w:t>.</w:t>
      </w:r>
      <w:r w:rsidR="00017E66" w:rsidRPr="00FB7C78">
        <w:tab/>
        <w:t>zwraca uwagę, że produkcja urządzeń niezbędnych do korzystania ze światów wirtualnych wymaga takich zasobów jak metale ziem rzadkich i inne surowce mineralne; z zadowoleniem przyjmuje wniosek Komisji dotyczący rozporządzenia ustanawiającego ramy na potrzeby zapewnienia bezpiecznych i zrównoważonych dostaw surowców krytycznych (COM(2023)0160);</w:t>
      </w:r>
    </w:p>
    <w:p w:rsidR="00017E66" w:rsidRPr="00FB7C78" w:rsidRDefault="00455B7F" w:rsidP="00017E66">
      <w:pPr>
        <w:pStyle w:val="NormalHanging12a"/>
        <w:rPr>
          <w:szCs w:val="24"/>
        </w:rPr>
      </w:pPr>
      <w:r>
        <w:t>24</w:t>
      </w:r>
      <w:r w:rsidR="00017E66" w:rsidRPr="00FB7C78">
        <w:t>.</w:t>
      </w:r>
      <w:r w:rsidR="00017E66" w:rsidRPr="00FB7C78">
        <w:tab/>
        <w:t>odnotowuje potencjał światów wirtualnych i sieci 4.0 w walce ze zmianą klimatu i przyczynianiu się do zrównoważenia środowiskowego, np. dzięki umożliwianiu pracy zdalnej, co ogranicza dojazdy do pracy i związane z tym emisje dwutlenku węgla; zauważa, że kluczową rolę odgrywa infrastruktura sieciowa, która umożliwia rozwiązania cyfrowe i nowe modele biznesowe;</w:t>
      </w:r>
    </w:p>
    <w:p w:rsidR="00017E66" w:rsidRPr="00FB7C78" w:rsidRDefault="00455B7F" w:rsidP="00017E66">
      <w:pPr>
        <w:pStyle w:val="NormalHanging12a"/>
        <w:rPr>
          <w:szCs w:val="24"/>
        </w:rPr>
      </w:pPr>
      <w:r>
        <w:t>25</w:t>
      </w:r>
      <w:r w:rsidR="00017E66" w:rsidRPr="00FB7C78">
        <w:t>.</w:t>
      </w:r>
      <w:r w:rsidR="00017E66" w:rsidRPr="00FB7C78">
        <w:tab/>
        <w:t>uważa, że przy opracowywaniu i wdrażaniu światów wirtualnych należy uwzględnić wpływ na środowisko; podkreśla, jak ważne jest, by podnosić świadomość konsumentów na temat wpływu na środowisko i zrównoważonego rozwoju tych nowych technologii, np. odpadów elektronicznych; zauważa, że według Międzynarodowej Agencji Energetycznej zużycie energii elektrycznej przez duże ośrodki przetwarzania danych stanowi obecnie 1–1,5 % światowego zużycia energii elektrycznej; zwraca uwagę, że zużycie energii elektrycznej przez ośrodki przetwarzania danych może wzrosnąć wraz z przyjęciem na szeroką skalę technologii światów wirtualnych; przypomina, że należy wykorzystać i przyspieszyć postęp technologiczny oraz zachęcać do tego postępu, by zmniejszyć zużycie energii i śladu środowiskowego działań związanych z produkcją, wykorzystywaniem i rozwojem światów wirtualnych, na przykład przez zaawansowane techniki recyklingu i odnawialne źródła energii;</w:t>
      </w:r>
    </w:p>
    <w:p w:rsidR="00017E66" w:rsidRPr="00FB7C78" w:rsidRDefault="00017E66" w:rsidP="00017E66">
      <w:pPr>
        <w:pStyle w:val="NormalCenter12a"/>
      </w:pPr>
      <w:r w:rsidRPr="00FB7C78">
        <w:t>°</w:t>
      </w:r>
    </w:p>
    <w:p w:rsidR="00017E66" w:rsidRPr="00FB7C78" w:rsidRDefault="00017E66" w:rsidP="00017E66">
      <w:pPr>
        <w:pStyle w:val="NormalCenter12a"/>
      </w:pPr>
      <w:r w:rsidRPr="00FB7C78">
        <w:t>°</w:t>
      </w:r>
      <w:r w:rsidRPr="00FB7C78">
        <w:tab/>
        <w:t>°</w:t>
      </w:r>
    </w:p>
    <w:p w:rsidR="00017E66" w:rsidRPr="00FB7C78" w:rsidRDefault="00455B7F" w:rsidP="00017E66">
      <w:pPr>
        <w:pStyle w:val="NormalHanging12a"/>
      </w:pPr>
      <w:r>
        <w:t>26</w:t>
      </w:r>
      <w:r w:rsidR="00017E66" w:rsidRPr="00FB7C78">
        <w:t>.</w:t>
      </w:r>
      <w:r w:rsidR="00017E66" w:rsidRPr="00FB7C78">
        <w:tab/>
        <w:t>zobowiązuje swoją przewodniczącą do przekazania niniejszej rezolucji Komisji, Radzie oraz rządom i parlamentom państw członkowskich.</w:t>
      </w:r>
    </w:p>
    <w:p w:rsidR="00E365E1" w:rsidRPr="00FB7C78" w:rsidRDefault="00E365E1" w:rsidP="00B27CEC">
      <w:bookmarkStart w:id="9" w:name="TextBodyEnd"/>
      <w:bookmarkEnd w:id="9"/>
    </w:p>
    <w:sectPr w:rsidR="00E365E1" w:rsidRPr="00FB7C78" w:rsidSect="00FB7C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CEC" w:rsidRPr="00FB7C78" w:rsidRDefault="00B27CEC">
      <w:r w:rsidRPr="00FB7C78">
        <w:separator/>
      </w:r>
    </w:p>
  </w:endnote>
  <w:endnote w:type="continuationSeparator" w:id="0">
    <w:p w:rsidR="00B27CEC" w:rsidRPr="00FB7C78" w:rsidRDefault="00B27CEC">
      <w:r w:rsidRPr="00FB7C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C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C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C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CEC" w:rsidRPr="00FB7C78" w:rsidRDefault="00B27CEC">
      <w:r w:rsidRPr="00FB7C78">
        <w:separator/>
      </w:r>
    </w:p>
  </w:footnote>
  <w:footnote w:type="continuationSeparator" w:id="0">
    <w:p w:rsidR="00B27CEC" w:rsidRPr="00FB7C78" w:rsidRDefault="00B27CEC">
      <w:r w:rsidRPr="00FB7C78">
        <w:continuationSeparator/>
      </w:r>
    </w:p>
  </w:footnote>
  <w:footnote w:id="1">
    <w:p w:rsidR="00017E66" w:rsidRPr="00FB7C78" w:rsidRDefault="00017E66" w:rsidP="00FB7C78">
      <w:pPr>
        <w:pStyle w:val="FootnoteText"/>
        <w:ind w:left="567" w:hanging="567"/>
        <w:rPr>
          <w:color w:val="0000FF"/>
          <w:sz w:val="24"/>
          <w:u w:val="single" w:color="0000FF"/>
          <w:lang w:val="pl-PL"/>
        </w:rPr>
      </w:pPr>
      <w:r w:rsidRPr="00FB7C78">
        <w:rPr>
          <w:rStyle w:val="FootnoteReference"/>
          <w:sz w:val="24"/>
          <w:lang w:val="pl-PL"/>
        </w:rPr>
        <w:footnoteRef/>
      </w:r>
      <w:r w:rsidR="00FB7C78" w:rsidRPr="00FB7C78">
        <w:rPr>
          <w:sz w:val="24"/>
          <w:lang w:val="pl-PL"/>
        </w:rPr>
        <w:t xml:space="preserve"> </w:t>
      </w:r>
      <w:r w:rsidR="00FB7C78" w:rsidRPr="00FB7C78">
        <w:rPr>
          <w:sz w:val="24"/>
          <w:lang w:val="pl-PL"/>
        </w:rPr>
        <w:tab/>
      </w:r>
      <w:hyperlink r:id="rId1" w:history="1">
        <w:r w:rsidRPr="00FB7C78">
          <w:rPr>
            <w:rStyle w:val="Hyperlink"/>
            <w:sz w:val="24"/>
            <w:lang w:val="pl-PL"/>
          </w:rPr>
          <w:t>Rozporządzenie Parlamentu Europejskiego i Rady (UE) 2022/2065 z dnia 19 października 2022 r. w sprawie jednolitego rynku usług cyfrowych i zmieniające dyrektywę 2000/31/WE (akt o usługach cyfrowych), Dz.U. L 277 z 27.10.2022, s. 1.</w:t>
        </w:r>
      </w:hyperlink>
    </w:p>
  </w:footnote>
  <w:footnote w:id="2">
    <w:p w:rsidR="00017E66" w:rsidRPr="00FB7C78" w:rsidRDefault="00017E66" w:rsidP="00FB7C78">
      <w:pPr>
        <w:pStyle w:val="FootnoteText"/>
        <w:ind w:left="567" w:hanging="567"/>
        <w:rPr>
          <w:sz w:val="24"/>
          <w:lang w:val="pl-PL"/>
        </w:rPr>
      </w:pPr>
      <w:r w:rsidRPr="00FB7C78">
        <w:rPr>
          <w:rStyle w:val="FootnoteReference"/>
          <w:sz w:val="24"/>
          <w:lang w:val="pl-PL"/>
        </w:rPr>
        <w:footnoteRef/>
      </w:r>
      <w:r w:rsidR="00FB7C78" w:rsidRPr="00FB7C78">
        <w:rPr>
          <w:sz w:val="24"/>
          <w:lang w:val="pl-PL"/>
        </w:rPr>
        <w:t xml:space="preserve"> </w:t>
      </w:r>
      <w:r w:rsidR="00FB7C78" w:rsidRPr="00FB7C78">
        <w:rPr>
          <w:sz w:val="24"/>
          <w:lang w:val="pl-PL"/>
        </w:rPr>
        <w:tab/>
      </w:r>
      <w:hyperlink r:id="rId2" w:history="1">
        <w:r w:rsidRPr="00FB7C78">
          <w:rPr>
            <w:rStyle w:val="Hyperlink"/>
            <w:sz w:val="24"/>
            <w:lang w:val="pl-PL"/>
          </w:rPr>
          <w:t>Rozporządzenie Parlamentu Europejskiego i Rady (UE) 2022/1925 z dnia 14 września 2022 r. w sprawie kontestowalnych i uczciwych rynków w sektorze cyfrowym oraz zmiany dyrektyw (UE) 2019/1937 i (UE) 2020/1828 (akt o rynkach cyfrowych), Dz.U. L 265 z 12.10.2022, s. 1.</w:t>
        </w:r>
      </w:hyperlink>
    </w:p>
  </w:footnote>
  <w:footnote w:id="3">
    <w:p w:rsidR="00017E66" w:rsidRPr="00FB7C78" w:rsidRDefault="00017E66" w:rsidP="00FB7C78">
      <w:pPr>
        <w:pStyle w:val="FootnoteText"/>
        <w:ind w:left="567" w:hanging="567"/>
        <w:rPr>
          <w:sz w:val="24"/>
          <w:lang w:val="pl-PL"/>
        </w:rPr>
      </w:pPr>
      <w:r w:rsidRPr="00FB7C78">
        <w:rPr>
          <w:rStyle w:val="FootnoteReference"/>
          <w:sz w:val="24"/>
          <w:lang w:val="pl-PL"/>
        </w:rPr>
        <w:footnoteRef/>
      </w:r>
      <w:r w:rsidR="00FB7C78" w:rsidRPr="00FB7C78">
        <w:rPr>
          <w:sz w:val="24"/>
          <w:lang w:val="pl-PL"/>
        </w:rPr>
        <w:t xml:space="preserve"> </w:t>
      </w:r>
      <w:r w:rsidR="00FB7C78" w:rsidRPr="00FB7C78">
        <w:rPr>
          <w:sz w:val="24"/>
          <w:lang w:val="pl-PL"/>
        </w:rPr>
        <w:tab/>
      </w:r>
      <w:r w:rsidRPr="00FB7C78">
        <w:rPr>
          <w:sz w:val="24"/>
          <w:lang w:val="pl-PL"/>
        </w:rPr>
        <w:t>Dyrektywa Parlamentu Europejskiego i Rady (UE) 2019/882 z dnia 17 kwietnia 2019 r. w sprawie wymogów dostępności produktów i usług (Dz.U. L 151 z 7.6.2019, s. 70).</w:t>
      </w:r>
    </w:p>
  </w:footnote>
  <w:footnote w:id="4">
    <w:p w:rsidR="00017E66" w:rsidRPr="00FB7C78" w:rsidRDefault="00017E66" w:rsidP="00FB7C78">
      <w:pPr>
        <w:pStyle w:val="FootnoteText"/>
        <w:ind w:left="567" w:hanging="567"/>
        <w:rPr>
          <w:sz w:val="24"/>
          <w:lang w:val="pl-PL"/>
        </w:rPr>
      </w:pPr>
      <w:r w:rsidRPr="00FB7C78">
        <w:rPr>
          <w:rStyle w:val="FootnoteReference"/>
          <w:sz w:val="24"/>
          <w:lang w:val="pl-PL"/>
        </w:rPr>
        <w:footnoteRef/>
      </w:r>
      <w:r w:rsidR="00FB7C78" w:rsidRPr="00FB7C78">
        <w:rPr>
          <w:sz w:val="24"/>
          <w:lang w:val="pl-PL"/>
        </w:rPr>
        <w:t xml:space="preserve"> </w:t>
      </w:r>
      <w:r w:rsidR="00FB7C78" w:rsidRPr="00FB7C78">
        <w:rPr>
          <w:sz w:val="24"/>
          <w:lang w:val="pl-PL"/>
        </w:rPr>
        <w:tab/>
      </w:r>
      <w:r w:rsidRPr="00FB7C78">
        <w:rPr>
          <w:sz w:val="24"/>
          <w:lang w:val="pl-PL"/>
        </w:rPr>
        <w:t>Dyrektywa Parlamentu Europejskiego i Rady (UE) 2016/2102 z dnia 26 października 2016 r. w sprawie dostępności stron internetowych i mobilnych aplikacji organów sektora publicznego (Dz.U. L 327 z 2.12.2016, s. 1).</w:t>
      </w:r>
    </w:p>
  </w:footnote>
  <w:footnote w:id="5">
    <w:p w:rsidR="00017E66" w:rsidRPr="00FB7C78" w:rsidRDefault="00017E66" w:rsidP="00FB7C78">
      <w:pPr>
        <w:pStyle w:val="FootnoteText"/>
        <w:ind w:left="567" w:hanging="567"/>
        <w:rPr>
          <w:sz w:val="24"/>
          <w:lang w:val="pl-PL"/>
        </w:rPr>
      </w:pPr>
      <w:r w:rsidRPr="00FB7C78">
        <w:rPr>
          <w:rStyle w:val="FootnoteReference"/>
          <w:sz w:val="24"/>
          <w:lang w:val="pl-PL"/>
        </w:rPr>
        <w:footnoteRef/>
      </w:r>
      <w:r w:rsidR="00FB7C78" w:rsidRPr="00FB7C78">
        <w:rPr>
          <w:sz w:val="24"/>
          <w:lang w:val="pl-PL"/>
        </w:rPr>
        <w:t xml:space="preserve"> </w:t>
      </w:r>
      <w:r w:rsidR="00FB7C78" w:rsidRPr="00FB7C78">
        <w:rPr>
          <w:sz w:val="24"/>
          <w:lang w:val="pl-PL"/>
        </w:rPr>
        <w:tab/>
      </w:r>
      <w:r w:rsidRPr="00FB7C78">
        <w:rPr>
          <w:sz w:val="24"/>
          <w:lang w:val="pl-PL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Dz.U. L 119 z 4.5.2016, s. 1.</w:t>
      </w:r>
    </w:p>
  </w:footnote>
  <w:footnote w:id="6">
    <w:p w:rsidR="00017E66" w:rsidRPr="00FB7C78" w:rsidRDefault="00017E66" w:rsidP="00FB7C78">
      <w:pPr>
        <w:pStyle w:val="FootnoteText"/>
        <w:ind w:left="567" w:hanging="567"/>
        <w:rPr>
          <w:sz w:val="24"/>
          <w:lang w:val="pl-PL"/>
        </w:rPr>
      </w:pPr>
      <w:r w:rsidRPr="00FB7C78">
        <w:rPr>
          <w:rStyle w:val="FootnoteReference"/>
          <w:sz w:val="24"/>
          <w:lang w:val="pl-PL"/>
        </w:rPr>
        <w:footnoteRef/>
      </w:r>
      <w:r w:rsidR="00FB7C78" w:rsidRPr="00FB7C78">
        <w:rPr>
          <w:sz w:val="24"/>
          <w:lang w:val="pl-PL"/>
        </w:rPr>
        <w:t xml:space="preserve"> </w:t>
      </w:r>
      <w:r w:rsidR="00FB7C78" w:rsidRPr="00FB7C78">
        <w:rPr>
          <w:sz w:val="24"/>
          <w:lang w:val="pl-PL"/>
        </w:rPr>
        <w:tab/>
      </w:r>
      <w:hyperlink r:id="rId3" w:history="1">
        <w:r w:rsidRPr="00FB7C78">
          <w:rPr>
            <w:rStyle w:val="Hyperlink"/>
            <w:sz w:val="24"/>
            <w:u w:color="0000FF"/>
            <w:lang w:val="pl-PL"/>
          </w:rPr>
          <w:t>Dz.U. L 150 z 9.6.2023, s. 40.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C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C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C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7/2023"/>
    <w:docVar w:name="dvlangue" w:val="PL"/>
    <w:docVar w:name="dvnumam" w:val="0"/>
    <w:docVar w:name="dvpe" w:val="751.902"/>
    <w:docVar w:name="dvrapporteur" w:val="Sprawozdawca: "/>
    <w:docVar w:name="dvtitre" w:val="Rezolucja Parlamentu Europejskiego z dnia  2024 r. w sprawie światów wirtualnych – szanse, zagrożenia i skutki polityczne dla jednolitego rynku(2022/2198(INI))"/>
  </w:docVars>
  <w:rsids>
    <w:rsidRoot w:val="00B27CEC"/>
    <w:rsid w:val="00002272"/>
    <w:rsid w:val="00017E66"/>
    <w:rsid w:val="00064002"/>
    <w:rsid w:val="000677B9"/>
    <w:rsid w:val="000831BA"/>
    <w:rsid w:val="000A42CC"/>
    <w:rsid w:val="000C79B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5B7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CE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C7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3A8A9"/>
  <w15:chartTrackingRefBased/>
  <w15:docId w15:val="{C55A8A6C-7CE1-4100-A9A1-69C90113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17E6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017E66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017E66"/>
    <w:pPr>
      <w:spacing w:after="240"/>
      <w:jc w:val="center"/>
    </w:pPr>
  </w:style>
  <w:style w:type="character" w:customStyle="1" w:styleId="BoldItalic">
    <w:name w:val="BoldItalic"/>
    <w:uiPriority w:val="1"/>
    <w:rsid w:val="00017E66"/>
    <w:rPr>
      <w:b/>
      <w:i/>
      <w:u w:val="none"/>
    </w:rPr>
  </w:style>
  <w:style w:type="character" w:customStyle="1" w:styleId="Italic">
    <w:name w:val="Italic"/>
    <w:uiPriority w:val="1"/>
    <w:rsid w:val="00017E66"/>
    <w:rPr>
      <w:i/>
    </w:rPr>
  </w:style>
  <w:style w:type="paragraph" w:customStyle="1" w:styleId="Normal12a24b">
    <w:name w:val="Normal12a24b"/>
    <w:basedOn w:val="Normal"/>
    <w:rsid w:val="00017E66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017E66"/>
    <w:rPr>
      <w:snapToGrid w:val="0"/>
      <w:sz w:val="24"/>
      <w:lang w:val="pl-PL" w:eastAsia="en-US"/>
    </w:rPr>
  </w:style>
  <w:style w:type="character" w:styleId="Hyperlink">
    <w:name w:val="Hyperlink"/>
    <w:basedOn w:val="DefaultParagraphFont"/>
    <w:uiPriority w:val="99"/>
    <w:unhideWhenUsed/>
    <w:rsid w:val="00017E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_impl/2019/1780/oj?locale=pl" TargetMode="External"/><Relationship Id="rId2" Type="http://schemas.openxmlformats.org/officeDocument/2006/relationships/hyperlink" Target="https://eur-lex.europa.eu/eli/reg/2022/1925/oj" TargetMode="External"/><Relationship Id="rId1" Type="http://schemas.openxmlformats.org/officeDocument/2006/relationships/hyperlink" Target="https://eur-lex.europa.eu/legal-content/PL/TXT/?uri=CELEX:32022R20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EA559-A10A-4487-A83B-2A741BFB8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2874</Words>
  <Characters>19697</Characters>
  <Application>Microsoft Office Word</Application>
  <DocSecurity>0</DocSecurity>
  <Lines>164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2024-01-17T15:08:00Z</dcterms:created>
  <dcterms:modified xsi:type="dcterms:W3CDTF">2024-01-17T15:08:00Z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A9-0397/2023</vt:lpwstr>
  </property>
  <property fmtid="{D5CDD505-2E9C-101B-9397-08002B2CF9AE}" pid="4" name="&lt;Type&gt;">
    <vt:lpwstr>RR</vt:lpwstr>
  </property>
</Properties>
</file>