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7116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7116C" w:rsidRDefault="00CE2CCE" w:rsidP="0010095E">
            <w:pPr>
              <w:pStyle w:val="EPName"/>
            </w:pPr>
            <w:r w:rsidRPr="00F7116C">
              <w:t>Parlament Europejski</w:t>
            </w:r>
          </w:p>
          <w:p w:rsidR="00751A4A" w:rsidRPr="00F7116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116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7116C" w:rsidRDefault="00187494" w:rsidP="0010095E">
            <w:pPr>
              <w:pStyle w:val="EPLogo"/>
            </w:pPr>
            <w:r w:rsidRPr="00F7116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7116C" w:rsidRDefault="00D058B8" w:rsidP="004C5D52">
      <w:pPr>
        <w:pStyle w:val="LineTop"/>
      </w:pPr>
    </w:p>
    <w:p w:rsidR="00680577" w:rsidRPr="00F7116C" w:rsidRDefault="00CE2CCE" w:rsidP="00680577">
      <w:pPr>
        <w:pStyle w:val="EPBodyTA1"/>
      </w:pPr>
      <w:r w:rsidRPr="00F7116C">
        <w:t>TEKSTY PRZYJĘTE</w:t>
      </w:r>
    </w:p>
    <w:p w:rsidR="00D058B8" w:rsidRPr="00F7116C" w:rsidRDefault="00D058B8" w:rsidP="00D058B8">
      <w:pPr>
        <w:pStyle w:val="LineBottom"/>
      </w:pPr>
    </w:p>
    <w:p w:rsidR="00CE2CCE" w:rsidRPr="00F7116C" w:rsidRDefault="00CE2CCE" w:rsidP="00CE2CCE">
      <w:pPr>
        <w:pStyle w:val="ATHeading1"/>
      </w:pPr>
      <w:bookmarkStart w:id="0" w:name="TANumber"/>
      <w:r w:rsidRPr="00F7116C">
        <w:t>P9_TA(2024)00</w:t>
      </w:r>
      <w:bookmarkEnd w:id="0"/>
      <w:r w:rsidR="00F10896">
        <w:t>33</w:t>
      </w:r>
    </w:p>
    <w:p w:rsidR="00CE2CCE" w:rsidRPr="00F7116C" w:rsidRDefault="00CE2CCE" w:rsidP="00CE2CCE">
      <w:pPr>
        <w:pStyle w:val="ATHeading2"/>
      </w:pPr>
      <w:bookmarkStart w:id="1" w:name="title"/>
      <w:r w:rsidRPr="00F7116C">
        <w:t>Stosunki między UE a Indiami</w:t>
      </w:r>
      <w:bookmarkEnd w:id="1"/>
    </w:p>
    <w:p w:rsidR="00CE2CCE" w:rsidRPr="00F7116C" w:rsidRDefault="00CE2CCE" w:rsidP="00CE2CCE">
      <w:pPr>
        <w:rPr>
          <w:i/>
          <w:vanish/>
        </w:rPr>
      </w:pPr>
      <w:r w:rsidRPr="00F7116C">
        <w:rPr>
          <w:i/>
        </w:rPr>
        <w:fldChar w:fldCharType="begin"/>
      </w:r>
      <w:r w:rsidRPr="00F7116C">
        <w:rPr>
          <w:i/>
        </w:rPr>
        <w:instrText xml:space="preserve"> TC"(</w:instrText>
      </w:r>
      <w:bookmarkStart w:id="2" w:name="DocNumber"/>
      <w:r w:rsidRPr="00F7116C">
        <w:rPr>
          <w:i/>
        </w:rPr>
        <w:instrText>A9-0435/2023</w:instrText>
      </w:r>
      <w:bookmarkEnd w:id="2"/>
      <w:r w:rsidRPr="00F7116C">
        <w:rPr>
          <w:i/>
        </w:rPr>
        <w:instrText xml:space="preserve"> - Sprawozdawca: </w:instrText>
      </w:r>
      <w:proofErr w:type="spellStart"/>
      <w:r w:rsidRPr="00F7116C">
        <w:rPr>
          <w:i/>
        </w:rPr>
        <w:instrText>Alviina</w:instrText>
      </w:r>
      <w:proofErr w:type="spellEnd"/>
      <w:r w:rsidRPr="00F7116C">
        <w:rPr>
          <w:i/>
        </w:rPr>
        <w:instrText xml:space="preserve"> </w:instrText>
      </w:r>
      <w:proofErr w:type="spellStart"/>
      <w:r w:rsidRPr="00F7116C">
        <w:rPr>
          <w:i/>
        </w:rPr>
        <w:instrText>Alamets</w:instrText>
      </w:r>
      <w:proofErr w:type="gramStart"/>
      <w:r w:rsidRPr="00F7116C">
        <w:rPr>
          <w:i/>
        </w:rPr>
        <w:instrText>ä</w:instrText>
      </w:r>
      <w:proofErr w:type="spellEnd"/>
      <w:r w:rsidRPr="00F7116C">
        <w:rPr>
          <w:i/>
        </w:rPr>
        <w:instrText>)"\l</w:instrText>
      </w:r>
      <w:proofErr w:type="gramEnd"/>
      <w:r w:rsidRPr="00F7116C">
        <w:rPr>
          <w:i/>
        </w:rPr>
        <w:instrText xml:space="preserve">3 \n&gt; \* MERGEFORMAT </w:instrText>
      </w:r>
      <w:r w:rsidRPr="00F7116C">
        <w:rPr>
          <w:i/>
        </w:rPr>
        <w:fldChar w:fldCharType="end"/>
      </w:r>
    </w:p>
    <w:p w:rsidR="00CE2CCE" w:rsidRPr="00F7116C" w:rsidRDefault="00CE2CCE" w:rsidP="00CE2CCE">
      <w:pPr>
        <w:rPr>
          <w:vanish/>
        </w:rPr>
      </w:pPr>
      <w:bookmarkStart w:id="3" w:name="Commission"/>
      <w:r w:rsidRPr="00F7116C">
        <w:rPr>
          <w:vanish/>
        </w:rPr>
        <w:t>Komisja Spraw Zagranicznych</w:t>
      </w:r>
      <w:bookmarkEnd w:id="3"/>
    </w:p>
    <w:p w:rsidR="00CE2CCE" w:rsidRPr="00F7116C" w:rsidRDefault="00CE2CCE" w:rsidP="00CE2CCE">
      <w:pPr>
        <w:rPr>
          <w:vanish/>
        </w:rPr>
      </w:pPr>
      <w:bookmarkStart w:id="4" w:name="PE"/>
      <w:r w:rsidRPr="00F7116C">
        <w:rPr>
          <w:vanish/>
        </w:rPr>
        <w:t>PE753.444</w:t>
      </w:r>
      <w:bookmarkEnd w:id="4"/>
    </w:p>
    <w:p w:rsidR="00CE2CCE" w:rsidRPr="00F7116C" w:rsidRDefault="004022BE" w:rsidP="00CE2CCE">
      <w:pPr>
        <w:pStyle w:val="ATHeading3"/>
      </w:pPr>
      <w:bookmarkStart w:id="5" w:name="Sujet"/>
      <w:r>
        <w:t>Zalecenie</w:t>
      </w:r>
      <w:r w:rsidR="00CE2CCE" w:rsidRPr="00F7116C">
        <w:t xml:space="preserve"> Parlamentu Europejskiego z dnia </w:t>
      </w:r>
      <w:r>
        <w:t>17 stycznia 2024 r.</w:t>
      </w:r>
      <w:r w:rsidR="00CE2CCE" w:rsidRPr="00F7116C">
        <w:t xml:space="preserve"> dla Rady, Komisji oraz wiceprzewodniczącego Komisji / wysokiego przedstawiciela Unii do spraw zagranicznych i polityki bezpieczeństwa w sprawie stosunków między UE a Indiami</w:t>
      </w:r>
      <w:bookmarkEnd w:id="5"/>
      <w:r w:rsidR="00CE2CCE" w:rsidRPr="00F7116C">
        <w:t xml:space="preserve"> </w:t>
      </w:r>
      <w:bookmarkStart w:id="6" w:name="References"/>
      <w:r w:rsidR="00CE2CCE" w:rsidRPr="00F7116C">
        <w:t>(2023/2128(INI))</w:t>
      </w:r>
      <w:bookmarkEnd w:id="6"/>
    </w:p>
    <w:p w:rsidR="00BC7791" w:rsidRPr="00F7116C" w:rsidRDefault="00BC7791" w:rsidP="00BC7791">
      <w:pPr>
        <w:pStyle w:val="EPComma"/>
      </w:pPr>
      <w:bookmarkStart w:id="7" w:name="TextBodyBegin"/>
      <w:bookmarkEnd w:id="7"/>
      <w:r w:rsidRPr="00F7116C">
        <w:rPr>
          <w:i/>
        </w:rPr>
        <w:t>Parlament Europejski,</w:t>
      </w:r>
    </w:p>
    <w:p w:rsidR="00BC7791" w:rsidRPr="00F7116C" w:rsidRDefault="00BC7791" w:rsidP="00BC7791">
      <w:pPr>
        <w:pStyle w:val="NormalHanging12a"/>
      </w:pPr>
      <w:r w:rsidRPr="00F7116C">
        <w:t>–</w:t>
      </w:r>
      <w:r w:rsidRPr="00F7116C">
        <w:tab/>
        <w:t>uwzględniając zapoczątkowane w 2004 r. partnerstwo strategiczne między UE a Indiami,</w:t>
      </w:r>
    </w:p>
    <w:p w:rsidR="00BC7791" w:rsidRPr="00F7116C" w:rsidRDefault="00BC7791" w:rsidP="00BC7791">
      <w:pPr>
        <w:pStyle w:val="NormalHanging12a"/>
      </w:pPr>
      <w:r w:rsidRPr="00F7116C">
        <w:t>–</w:t>
      </w:r>
      <w:r w:rsidRPr="00F7116C">
        <w:tab/>
        <w:t xml:space="preserve">uwzględniając wspólne oświadczenie z 15. </w:t>
      </w:r>
      <w:proofErr w:type="gramStart"/>
      <w:r w:rsidRPr="00F7116C">
        <w:t>szczytu</w:t>
      </w:r>
      <w:proofErr w:type="gramEnd"/>
      <w:r w:rsidRPr="00F7116C">
        <w:t xml:space="preserve"> UE–Indie z 15 lipca 2020 r., dokument zatytułowany „Partnerstwo strategiczne UE–Indie: plan działania na okres do 2025 r.” przyjęty podczas tego szczytu i inne wspólne oświadczenia podpisane ostatnio przez UE i Indie,</w:t>
      </w:r>
    </w:p>
    <w:p w:rsidR="00BC7791" w:rsidRPr="00F7116C" w:rsidRDefault="00BC7791" w:rsidP="00BC7791">
      <w:pPr>
        <w:pStyle w:val="NormalHanging12a"/>
      </w:pPr>
      <w:r w:rsidRPr="00F7116C">
        <w:t>–</w:t>
      </w:r>
      <w:r w:rsidRPr="00F7116C">
        <w:tab/>
        <w:t xml:space="preserve">uwzględniając Umowę o współpracy między Wspólnotą Europejską a Republiką Indii </w:t>
      </w:r>
      <w:proofErr w:type="gramStart"/>
      <w:r w:rsidRPr="00F7116C">
        <w:t>w</w:t>
      </w:r>
      <w:proofErr w:type="gramEnd"/>
      <w:r w:rsidRPr="00F7116C">
        <w:t xml:space="preserve"> sprawie partnerstwa i rozwoju z 1994 r.</w:t>
      </w:r>
      <w:r w:rsidRPr="00F7116C">
        <w:rPr>
          <w:rStyle w:val="FootnoteReference"/>
        </w:rPr>
        <w:footnoteReference w:id="1"/>
      </w:r>
      <w:r w:rsidRPr="00F7116C">
        <w:t>,</w:t>
      </w:r>
    </w:p>
    <w:p w:rsidR="00BC7791" w:rsidRPr="00F7116C" w:rsidRDefault="00BC7791" w:rsidP="00BC7791">
      <w:pPr>
        <w:pStyle w:val="NormalHanging12a"/>
      </w:pPr>
      <w:r w:rsidRPr="00F7116C">
        <w:t>–</w:t>
      </w:r>
      <w:r w:rsidRPr="00F7116C">
        <w:tab/>
        <w:t>uwzględniając wspólny komunikat Komisji i wiceprzewodniczącego Komisji / wysokiego przedstawiciela Unii do spraw zagranicznych i polityki bezpieczeństwa z 20 listopada 2018 r. pt. „Elementy strategii UE wobec Indii” (JOIN</w:t>
      </w:r>
      <w:proofErr w:type="gramStart"/>
      <w:r w:rsidRPr="00F7116C">
        <w:t>(2018)0028) oraz</w:t>
      </w:r>
      <w:proofErr w:type="gramEnd"/>
      <w:r w:rsidRPr="00F7116C">
        <w:t xml:space="preserve"> powiązane konkluzje Rady z 10 grudnia 2018 r. w sprawie strategii UE wobec Indii,</w:t>
      </w:r>
    </w:p>
    <w:p w:rsidR="00BC7791" w:rsidRPr="00F7116C" w:rsidRDefault="00BC7791" w:rsidP="00BC7791">
      <w:pPr>
        <w:pStyle w:val="NormalHanging12a"/>
      </w:pPr>
      <w:r w:rsidRPr="00F7116C">
        <w:t>–</w:t>
      </w:r>
      <w:r w:rsidRPr="00F7116C">
        <w:tab/>
        <w:t xml:space="preserve">uwzględniając wspólny komunikat Komisji i wysokiego przedstawiciela Unii do spraw zagranicznych i polityki bezpieczeństwa z 16 września 2021 r. pt. „Unijna strategia współpracy w regionie </w:t>
      </w:r>
      <w:proofErr w:type="spellStart"/>
      <w:r w:rsidRPr="00F7116C">
        <w:t>Indo</w:t>
      </w:r>
      <w:proofErr w:type="spellEnd"/>
      <w:r w:rsidRPr="00F7116C">
        <w:t>-Pacyfiku” (JOIN(2021)0024),</w:t>
      </w:r>
    </w:p>
    <w:p w:rsidR="00BC7791" w:rsidRPr="00F7116C" w:rsidRDefault="00BC7791" w:rsidP="00BC7791">
      <w:pPr>
        <w:pStyle w:val="NormalHanging12a"/>
      </w:pPr>
      <w:r w:rsidRPr="00F7116C">
        <w:t>–</w:t>
      </w:r>
      <w:r w:rsidRPr="00F7116C">
        <w:tab/>
        <w:t>uwzględniając wspólny komunikat dla Parlamentu Europejskiego i Rady w sprawie aktualizacji strategii Unii Europejskiej w zakresie bezpieczeństwa morskiego i jej planu działania pt. „Udoskonalona strategia Unii Europejskiej w zakresie bezpieczeństwa morskiego w obliczu zmieniających się zagrożeń morskich” z 10 marca 2023 r. (JOIN(2023)0008),</w:t>
      </w:r>
    </w:p>
    <w:p w:rsidR="00BC7791" w:rsidRPr="00F7116C" w:rsidRDefault="00BC7791" w:rsidP="00BC7791">
      <w:pPr>
        <w:pStyle w:val="NormalHanging12a"/>
      </w:pPr>
      <w:r w:rsidRPr="00F7116C">
        <w:lastRenderedPageBreak/>
        <w:t>–</w:t>
      </w:r>
      <w:r w:rsidRPr="00F7116C">
        <w:tab/>
        <w:t>uwzględniając dokument pt. „Wspólna wizja, wspólne działanie: silniejsza Europa – globalna strategia na rzecz polityki zagranicznej i bezpieczeństwa Unii Europejskiej” z czerwca 2016 r.,</w:t>
      </w:r>
    </w:p>
    <w:p w:rsidR="00BC7791" w:rsidRPr="00F7116C" w:rsidRDefault="00BC7791" w:rsidP="00BC7791">
      <w:pPr>
        <w:pStyle w:val="NormalHanging12a"/>
      </w:pPr>
      <w:r w:rsidRPr="00F7116C">
        <w:t>–</w:t>
      </w:r>
      <w:r w:rsidRPr="00F7116C">
        <w:tab/>
        <w:t>uwzględniając rozporządzenie Parlamentu Europejskiego i Rady (UE) 2021/947 z dnia 9 czerwca 2021 r. ustanawiające Instrument Sąsiedztwa oraz Współpracy Międzynarodowej i Rozwojowej – Globalny wymiar Europy</w:t>
      </w:r>
      <w:r w:rsidRPr="00F7116C">
        <w:rPr>
          <w:rStyle w:val="FootnoteReference"/>
        </w:rPr>
        <w:footnoteReference w:id="2"/>
      </w:r>
      <w:r w:rsidRPr="00F7116C">
        <w:t>,</w:t>
      </w:r>
    </w:p>
    <w:p w:rsidR="00BC7791" w:rsidRPr="00F7116C" w:rsidRDefault="00BC7791" w:rsidP="00BC7791">
      <w:pPr>
        <w:pStyle w:val="NormalHanging12a"/>
      </w:pPr>
      <w:r w:rsidRPr="00F7116C">
        <w:t>–</w:t>
      </w:r>
      <w:r w:rsidRPr="00F7116C">
        <w:tab/>
        <w:t>uwzględniając Strategiczny kompas na rzecz bezpieczeństwa i obrony zatwierdzony przez Radę 21 marca 2022 r.,</w:t>
      </w:r>
    </w:p>
    <w:p w:rsidR="00BC7791" w:rsidRPr="00F7116C" w:rsidRDefault="00BC7791" w:rsidP="00BC7791">
      <w:pPr>
        <w:pStyle w:val="NormalHanging12a"/>
      </w:pPr>
      <w:r w:rsidRPr="00F7116C">
        <w:t>–</w:t>
      </w:r>
      <w:r w:rsidRPr="00F7116C">
        <w:tab/>
        <w:t>uwzględniając sankcje UE wobec Rosji w związku z sytuacją w Ukrainie,</w:t>
      </w:r>
    </w:p>
    <w:p w:rsidR="00BC7791" w:rsidRPr="00F7116C" w:rsidRDefault="00BC7791" w:rsidP="00BC7791">
      <w:pPr>
        <w:pStyle w:val="NormalHanging12a"/>
      </w:pPr>
      <w:r w:rsidRPr="00F7116C">
        <w:t>–</w:t>
      </w:r>
      <w:r w:rsidRPr="00F7116C">
        <w:tab/>
        <w:t>uwzględniając konkluzje Rady z 20 lutego 2023 r. w sprawie priorytetów UE na rok 2023 na forach ONZ zajmujących się prawami człowieka,</w:t>
      </w:r>
    </w:p>
    <w:p w:rsidR="00BC7791" w:rsidRPr="00F7116C" w:rsidRDefault="00BC7791" w:rsidP="00BC7791">
      <w:pPr>
        <w:pStyle w:val="NormalHanging12a"/>
      </w:pPr>
      <w:r w:rsidRPr="00F7116C">
        <w:t>–</w:t>
      </w:r>
      <w:r w:rsidRPr="00F7116C">
        <w:tab/>
        <w:t>uwzględniając wytyczne tematyczne UE dotyczące praw człowieka, w tym wytyczne na temat obrońców praw człowieka, dialogów dotyczących praw człowieka oraz propagowania i ochrony wolności wyznania i przekonań,</w:t>
      </w:r>
    </w:p>
    <w:p w:rsidR="00BC7791" w:rsidRPr="00F7116C" w:rsidRDefault="00BC7791" w:rsidP="00BC7791">
      <w:pPr>
        <w:pStyle w:val="NormalHanging12a"/>
      </w:pPr>
      <w:r w:rsidRPr="00F7116C">
        <w:t>–</w:t>
      </w:r>
      <w:r w:rsidRPr="00F7116C">
        <w:tab/>
        <w:t>uwzględniając Układ o nierozprzestrzenianiu broni jądrowej,</w:t>
      </w:r>
    </w:p>
    <w:p w:rsidR="00BC7791" w:rsidRPr="00F7116C" w:rsidRDefault="00BC7791" w:rsidP="00BC7791">
      <w:pPr>
        <w:pStyle w:val="NormalHanging12a"/>
      </w:pPr>
      <w:r w:rsidRPr="00F7116C">
        <w:t>–</w:t>
      </w:r>
      <w:r w:rsidRPr="00F7116C">
        <w:tab/>
        <w:t>uwzględniając rezolucję Zgromadzenia Ogólnego ONZ w sprawie agresji na Ukrainę przyjętą 2 marca 2022 r.,</w:t>
      </w:r>
    </w:p>
    <w:p w:rsidR="00BC7791" w:rsidRPr="00F7116C" w:rsidRDefault="00BC7791" w:rsidP="00BC7791">
      <w:pPr>
        <w:pStyle w:val="NormalHanging12a"/>
      </w:pPr>
      <w:r w:rsidRPr="00F7116C">
        <w:t>–</w:t>
      </w:r>
      <w:r w:rsidRPr="00F7116C">
        <w:tab/>
        <w:t>uwzględniając Ramową konwencję ONZ w sprawie zmian klimatu oraz porozumienie paryskie,</w:t>
      </w:r>
    </w:p>
    <w:p w:rsidR="00BC7791" w:rsidRPr="00F7116C" w:rsidRDefault="00BC7791" w:rsidP="00BC7791">
      <w:pPr>
        <w:pStyle w:val="NormalHanging12a"/>
      </w:pPr>
      <w:r w:rsidRPr="00F7116C">
        <w:t>–</w:t>
      </w:r>
      <w:r w:rsidRPr="00F7116C">
        <w:tab/>
        <w:t>uwzględniając powszechny okresowy przegląd praw człowieka przeprowadzony przez Organizację Narodów Zjednoczonych w Indiach w 2022 r. ,</w:t>
      </w:r>
    </w:p>
    <w:p w:rsidR="00BC7791" w:rsidRPr="00F7116C" w:rsidRDefault="00BC7791" w:rsidP="00BC7791">
      <w:pPr>
        <w:pStyle w:val="NormalHanging12a"/>
      </w:pPr>
      <w:r w:rsidRPr="00F7116C">
        <w:t>–</w:t>
      </w:r>
      <w:r w:rsidRPr="00F7116C">
        <w:tab/>
        <w:t xml:space="preserve">uwzględniając swoją rezolucję z 21 stycznia 2021 r. w sprawie </w:t>
      </w:r>
      <w:proofErr w:type="spellStart"/>
      <w:r w:rsidRPr="00F7116C">
        <w:t>konektywności</w:t>
      </w:r>
      <w:proofErr w:type="spellEnd"/>
      <w:r w:rsidRPr="00F7116C">
        <w:t xml:space="preserve"> i stosunków UE–Azja</w:t>
      </w:r>
      <w:r w:rsidRPr="00F7116C">
        <w:rPr>
          <w:rStyle w:val="FootnoteReference"/>
        </w:rPr>
        <w:footnoteReference w:id="3"/>
      </w:r>
      <w:r w:rsidRPr="00F7116C">
        <w:t>,</w:t>
      </w:r>
    </w:p>
    <w:p w:rsidR="00BC7791" w:rsidRPr="00F7116C" w:rsidRDefault="00BC7791" w:rsidP="00BC7791">
      <w:pPr>
        <w:pStyle w:val="NormalHanging12a"/>
      </w:pPr>
      <w:r w:rsidRPr="00F7116C">
        <w:t>–</w:t>
      </w:r>
      <w:r w:rsidRPr="00F7116C">
        <w:tab/>
        <w:t>uwzględniając swoją rezolucję z 5 lipca 2022 r. w sprawie przyszłej współpracy handlowo-inwestycyjnej między UE a Indiami</w:t>
      </w:r>
      <w:r w:rsidRPr="00F7116C">
        <w:rPr>
          <w:rStyle w:val="FootnoteReference"/>
        </w:rPr>
        <w:footnoteReference w:id="4"/>
      </w:r>
      <w:r w:rsidRPr="00F7116C">
        <w:t>,</w:t>
      </w:r>
    </w:p>
    <w:p w:rsidR="00BC7791" w:rsidRPr="00F7116C" w:rsidRDefault="00BC7791" w:rsidP="00BC7791">
      <w:pPr>
        <w:pStyle w:val="NormalHanging12a"/>
      </w:pPr>
      <w:r w:rsidRPr="00F7116C">
        <w:t>–</w:t>
      </w:r>
      <w:r w:rsidRPr="00F7116C">
        <w:tab/>
        <w:t xml:space="preserve">uwzględniając swoją rezolucję z 7 czerwca 2022 r. w sprawie UE wobec zagrożeń bezpieczeństwa w regionie </w:t>
      </w:r>
      <w:proofErr w:type="spellStart"/>
      <w:r w:rsidRPr="00F7116C">
        <w:t>Indo</w:t>
      </w:r>
      <w:proofErr w:type="spellEnd"/>
      <w:r w:rsidRPr="00F7116C">
        <w:t>-Pacyfiku</w:t>
      </w:r>
      <w:r w:rsidRPr="00F7116C">
        <w:rPr>
          <w:rStyle w:val="FootnoteReference"/>
        </w:rPr>
        <w:footnoteReference w:id="5"/>
      </w:r>
      <w:r w:rsidRPr="00F7116C">
        <w:t>,</w:t>
      </w:r>
    </w:p>
    <w:p w:rsidR="00BC7791" w:rsidRPr="00F7116C" w:rsidRDefault="00BC7791" w:rsidP="00BC7791">
      <w:pPr>
        <w:pStyle w:val="NormalHanging12a"/>
      </w:pPr>
      <w:r w:rsidRPr="00F7116C">
        <w:t>–</w:t>
      </w:r>
      <w:r w:rsidRPr="00F7116C">
        <w:tab/>
        <w:t>uwzględniając swoją rezolucję z 13 września 2017 r. w sprawie stosunków politycznych UE z Indiami</w:t>
      </w:r>
      <w:r w:rsidRPr="00F7116C">
        <w:rPr>
          <w:rStyle w:val="FootnoteReference"/>
        </w:rPr>
        <w:footnoteReference w:id="6"/>
      </w:r>
      <w:r w:rsidRPr="00F7116C">
        <w:t>,</w:t>
      </w:r>
    </w:p>
    <w:p w:rsidR="00BC7791" w:rsidRPr="00F7116C" w:rsidRDefault="00BC7791" w:rsidP="00BC7791">
      <w:pPr>
        <w:pStyle w:val="NormalHanging12a"/>
      </w:pPr>
      <w:r w:rsidRPr="00F7116C">
        <w:t>–</w:t>
      </w:r>
      <w:r w:rsidRPr="00F7116C">
        <w:tab/>
        <w:t>uwzględniając swoją rezolucję z 13 lipca 2023 r. w sprawie Indii: sytuacja w Manipurze</w:t>
      </w:r>
      <w:r w:rsidRPr="00F7116C">
        <w:rPr>
          <w:rStyle w:val="FootnoteReference"/>
        </w:rPr>
        <w:footnoteReference w:id="7"/>
      </w:r>
      <w:r w:rsidRPr="00F7116C">
        <w:t>,</w:t>
      </w:r>
    </w:p>
    <w:p w:rsidR="00BC7791" w:rsidRPr="00F7116C" w:rsidRDefault="00BC7791" w:rsidP="00BC7791">
      <w:pPr>
        <w:pStyle w:val="NormalHanging12a"/>
      </w:pPr>
      <w:r w:rsidRPr="00F7116C">
        <w:lastRenderedPageBreak/>
        <w:t>–</w:t>
      </w:r>
      <w:r w:rsidRPr="00F7116C">
        <w:tab/>
        <w:t>uwzględniając swoje zalecenie z 29 kwietnia 2021 r. dla Rady, Komisji oraz wiceprzewodniczącego Komisji / wysokiego przedstawiciela Unii do spraw zagranicznych i polityki bezpieczeństwa w sprawie stosunków między UE a Indiami</w:t>
      </w:r>
      <w:r w:rsidRPr="00F7116C">
        <w:rPr>
          <w:rStyle w:val="FootnoteReference"/>
        </w:rPr>
        <w:footnoteReference w:id="8"/>
      </w:r>
      <w:r w:rsidRPr="00F7116C">
        <w:t>,</w:t>
      </w:r>
    </w:p>
    <w:p w:rsidR="00BC7791" w:rsidRPr="00F7116C" w:rsidRDefault="00BC7791" w:rsidP="00BC7791">
      <w:pPr>
        <w:pStyle w:val="NormalHanging12a"/>
      </w:pPr>
      <w:r w:rsidRPr="00F7116C">
        <w:t>–</w:t>
      </w:r>
      <w:r w:rsidRPr="00F7116C">
        <w:tab/>
        <w:t xml:space="preserve">uwzględniając oświadczenie prasowe Delegatury w Indiach i Bhutanie w sprawie 10. </w:t>
      </w:r>
      <w:proofErr w:type="gramStart"/>
      <w:r w:rsidRPr="00F7116C">
        <w:t>rundy</w:t>
      </w:r>
      <w:proofErr w:type="gramEnd"/>
      <w:r w:rsidRPr="00F7116C">
        <w:t xml:space="preserve"> dialogu UE–Indie na temat praw człowieka, która odbyła się 15 lipca 2022 r.,</w:t>
      </w:r>
    </w:p>
    <w:p w:rsidR="00BC7791" w:rsidRPr="00F7116C" w:rsidRDefault="00BC7791" w:rsidP="00BC7791">
      <w:pPr>
        <w:pStyle w:val="NormalHanging12a"/>
      </w:pPr>
      <w:r w:rsidRPr="00F7116C">
        <w:t>–</w:t>
      </w:r>
      <w:r w:rsidRPr="00F7116C">
        <w:tab/>
        <w:t>uwzględniając konkluzje ze szczytu grupy G-20, który odbył się w New Delhi 9 i 10 września 2023 r., </w:t>
      </w:r>
    </w:p>
    <w:p w:rsidR="00BC7791" w:rsidRPr="00F7116C" w:rsidRDefault="00BC7791" w:rsidP="00BC7791">
      <w:pPr>
        <w:pStyle w:val="NormalHanging12a"/>
      </w:pPr>
      <w:r w:rsidRPr="00F7116C">
        <w:t>–</w:t>
      </w:r>
      <w:r w:rsidRPr="00F7116C">
        <w:tab/>
        <w:t xml:space="preserve">uwzględniając zbliżający się szczyt UE–Indie, który odbędzie się w New Delhi, </w:t>
      </w:r>
    </w:p>
    <w:p w:rsidR="00BC7791" w:rsidRPr="00F7116C" w:rsidRDefault="00BC7791" w:rsidP="00BC7791">
      <w:pPr>
        <w:pStyle w:val="NormalHanging12a"/>
      </w:pPr>
      <w:r w:rsidRPr="00F7116C">
        <w:t>–</w:t>
      </w:r>
      <w:r w:rsidRPr="00F7116C">
        <w:tab/>
        <w:t>uwzględniając art. 118 Regulaminu,</w:t>
      </w:r>
    </w:p>
    <w:p w:rsidR="00BC7791" w:rsidRPr="00F7116C" w:rsidRDefault="00BC7791" w:rsidP="00BC7791">
      <w:pPr>
        <w:pStyle w:val="NormalHanging12a"/>
      </w:pPr>
      <w:r w:rsidRPr="00F7116C">
        <w:t>–</w:t>
      </w:r>
      <w:r w:rsidRPr="00F7116C">
        <w:tab/>
        <w:t>uwzględniając sprawozdanie Komisji Spraw Zagranicznych (A9-0435/2023),</w:t>
      </w:r>
    </w:p>
    <w:p w:rsidR="00BC7791" w:rsidRPr="00F7116C" w:rsidRDefault="00BC7791" w:rsidP="00BC7791">
      <w:pPr>
        <w:pStyle w:val="NormalHanging12a"/>
      </w:pPr>
      <w:r w:rsidRPr="00F7116C">
        <w:t>A.</w:t>
      </w:r>
      <w:r w:rsidRPr="00F7116C">
        <w:tab/>
      </w:r>
      <w:proofErr w:type="gramStart"/>
      <w:r w:rsidRPr="00F7116C">
        <w:t>mając</w:t>
      </w:r>
      <w:proofErr w:type="gramEnd"/>
      <w:r w:rsidRPr="00F7116C">
        <w:t xml:space="preserve"> na uwadze, że przywódcy UE i Indii zamierzają spotkać się w New Delhi na początku roku 2024, w szczególności w celu potwierdzenia zobowiązań obu stron w zakresie partnerstwa strategicznego oraz dokonania przeglądu realizacji planu działania UE–Indie do 2025 r.;</w:t>
      </w:r>
    </w:p>
    <w:p w:rsidR="00BC7791" w:rsidRPr="00F7116C" w:rsidRDefault="00BC7791" w:rsidP="00BC7791">
      <w:pPr>
        <w:pStyle w:val="NormalHanging12a"/>
        <w:rPr>
          <w:szCs w:val="24"/>
        </w:rPr>
      </w:pPr>
      <w:r w:rsidRPr="00F7116C">
        <w:t>B.</w:t>
      </w:r>
      <w:r w:rsidRPr="00F7116C">
        <w:tab/>
        <w:t>mając na uwadze, że Indie mają przeprowadzić wybory parlamentarne w maju i czerwcu 2024 r., a wybory do Parlamentu Europejskiego odbędą się w czerwcu 2024 r.;</w:t>
      </w:r>
    </w:p>
    <w:p w:rsidR="00BC7791" w:rsidRPr="00F7116C" w:rsidRDefault="00BC7791" w:rsidP="00BC7791">
      <w:pPr>
        <w:pStyle w:val="NormalHanging12a"/>
        <w:rPr>
          <w:szCs w:val="24"/>
        </w:rPr>
      </w:pPr>
      <w:r w:rsidRPr="00F7116C">
        <w:t>C.</w:t>
      </w:r>
      <w:r w:rsidRPr="00F7116C">
        <w:tab/>
      </w:r>
      <w:proofErr w:type="gramStart"/>
      <w:r w:rsidRPr="00F7116C">
        <w:t>mając</w:t>
      </w:r>
      <w:proofErr w:type="gramEnd"/>
      <w:r w:rsidRPr="00F7116C">
        <w:t xml:space="preserve"> na uwadze, że w 2022 r. UE i Indie obchodziły 60. </w:t>
      </w:r>
      <w:proofErr w:type="gramStart"/>
      <w:r w:rsidRPr="00F7116C">
        <w:t>rocznicę</w:t>
      </w:r>
      <w:proofErr w:type="gramEnd"/>
      <w:r w:rsidRPr="00F7116C">
        <w:t xml:space="preserve"> dwustronnego partnerstwa; mając na uwadze, że w ostatnich latach partnerstwo to nabrało tempa, odzwierciedlając silne więzi polityczne, gospodarcze, społeczne i kulturowe oraz odnowioną wolę polityczną, jeżeli chodzi o wzmocnienie partnerstwa w wielu sektorach i obszarach polityki; mając na uwadze, że partnerstwo to nie osiągnęło jeszcze jednak w pełni swojego potencjału;</w:t>
      </w:r>
    </w:p>
    <w:p w:rsidR="00BC7791" w:rsidRPr="00F7116C" w:rsidRDefault="00BC7791" w:rsidP="00BC7791">
      <w:pPr>
        <w:pStyle w:val="NormalHanging12a"/>
      </w:pPr>
      <w:r w:rsidRPr="00F7116C">
        <w:t>D.</w:t>
      </w:r>
      <w:r w:rsidRPr="00F7116C">
        <w:tab/>
      </w:r>
      <w:proofErr w:type="gramStart"/>
      <w:r w:rsidRPr="00F7116C">
        <w:t>mając</w:t>
      </w:r>
      <w:proofErr w:type="gramEnd"/>
      <w:r w:rsidRPr="00F7116C">
        <w:t xml:space="preserve"> na uwadze, że stosunki dwustronne między państwami członkowskimi UE a Indiami w takich kwestiach jak łączność i klimat przyczyniają się do partnerstwa UE–Indie; mając na uwadze, że wyzwania geopolityczne wzmocniły wspólne interesy UE i Indii, które polegają na zapewnieniu bezpieczeństwa, dobrobytu i zrównoważonego rozwoju;</w:t>
      </w:r>
    </w:p>
    <w:p w:rsidR="00BC7791" w:rsidRPr="00F7116C" w:rsidRDefault="00BC7791" w:rsidP="00BC7791">
      <w:pPr>
        <w:pStyle w:val="NormalHanging12a"/>
      </w:pPr>
      <w:r w:rsidRPr="00F7116C">
        <w:t>E.</w:t>
      </w:r>
      <w:r w:rsidRPr="00F7116C">
        <w:tab/>
      </w:r>
      <w:proofErr w:type="gramStart"/>
      <w:r w:rsidRPr="00F7116C">
        <w:t>mając</w:t>
      </w:r>
      <w:proofErr w:type="gramEnd"/>
      <w:r w:rsidRPr="00F7116C">
        <w:t xml:space="preserve"> na uwadze, że dwustronna i wielostronna współpraca z Indiami jest szczególnie pożądana w obecnym kontekście </w:t>
      </w:r>
      <w:proofErr w:type="spellStart"/>
      <w:r w:rsidRPr="00F7116C">
        <w:t>polikryzysu</w:t>
      </w:r>
      <w:proofErr w:type="spellEnd"/>
      <w:r w:rsidRPr="00F7116C">
        <w:t>, który obejmuje wyzwania geopolityczne, regres demokracji na całym świecie, pogłębiający się kryzys klimatyczny, pogłębiającą się nierówność i nasilającą się konkurencję między wielkimi mocarstwami; mając na uwadze, że UE dąży do partnerstwa z Indiami opartego na równych warunkach działania, ponieważ partnerstwo to może umożliwić dywersyfikację łańcuchów dostaw, przyczynić się do globalnego i regionalnego dobrobytu, stabilności oraz utrzymania wspólnej wizji skutecznego multilateralizmu i wielostronnego ładu opartego na zasadach;</w:t>
      </w:r>
    </w:p>
    <w:p w:rsidR="00BC7791" w:rsidRPr="00F7116C" w:rsidRDefault="00BC7791" w:rsidP="00BC7791">
      <w:pPr>
        <w:pStyle w:val="NormalHanging12a"/>
      </w:pPr>
      <w:r w:rsidRPr="00F7116C">
        <w:t>F.</w:t>
      </w:r>
      <w:r w:rsidRPr="00F7116C">
        <w:tab/>
      </w:r>
      <w:proofErr w:type="gramStart"/>
      <w:r w:rsidRPr="00F7116C">
        <w:t>mając</w:t>
      </w:r>
      <w:proofErr w:type="gramEnd"/>
      <w:r w:rsidRPr="00F7116C">
        <w:t xml:space="preserve"> na uwadze, że regionalne i globalne znaczenie Indii rośnie, ponieważ Indie w 2023 r. prześcignęły Chiny jako najludniejszy kraj, zajmują pozycję regionalnego mocarstwa gospodarczego i wojskowego oraz wzmacniają partnerstwa i więzi </w:t>
      </w:r>
      <w:r w:rsidRPr="00F7116C">
        <w:lastRenderedPageBreak/>
        <w:t>gospodarcze i obronne, w szczególności w Azji Południowo-Wschodniej; mając na uwadze, że UE jest największym partnerem handlowym Indii i we wzajemnym interesie obu stron leży wspieranie bliższych więzi gospodarczych;</w:t>
      </w:r>
    </w:p>
    <w:p w:rsidR="00BC7791" w:rsidRPr="00F7116C" w:rsidRDefault="00BC7791" w:rsidP="00BC7791">
      <w:pPr>
        <w:pStyle w:val="NormalHanging12a"/>
      </w:pPr>
      <w:r w:rsidRPr="00F7116C">
        <w:t>G.</w:t>
      </w:r>
      <w:r w:rsidRPr="00F7116C">
        <w:tab/>
        <w:t xml:space="preserve">mając na uwadze, że poprzez swoje ramy strategiczne obejmujące globalną strategię, strategię dla Indii, strategię UE dotyczącą łączenia Europy i Azji oraz strategię UE dla regionu </w:t>
      </w:r>
      <w:proofErr w:type="spellStart"/>
      <w:r w:rsidRPr="00F7116C">
        <w:t>Indo</w:t>
      </w:r>
      <w:proofErr w:type="spellEnd"/>
      <w:r w:rsidRPr="00F7116C">
        <w:t>-Pacyfiku UE uznaje rosnące geostrategiczne znaczenie Indii oraz podkreśla potrzebę współpracy na arenie światowej i zbieżności co do wspólnego programu działania;</w:t>
      </w:r>
    </w:p>
    <w:p w:rsidR="00BC7791" w:rsidRPr="00F7116C" w:rsidRDefault="00BC7791" w:rsidP="00BC7791">
      <w:pPr>
        <w:pStyle w:val="NormalHanging12a"/>
      </w:pPr>
      <w:r w:rsidRPr="00F7116C">
        <w:t>H.</w:t>
      </w:r>
      <w:r w:rsidRPr="00F7116C">
        <w:tab/>
      </w:r>
      <w:proofErr w:type="gramStart"/>
      <w:r w:rsidRPr="00F7116C">
        <w:t>mając</w:t>
      </w:r>
      <w:proofErr w:type="gramEnd"/>
      <w:r w:rsidRPr="00F7116C">
        <w:t xml:space="preserve"> na uwadze, że rosnące regionalne i globalne znaczenie Indii znajduje odzwierciedlenie w ich przewodnictwie w grupie G-20 od 1 grudnia 2023 r. oraz członkostwie w Radzie Bezpieczeństwa ONZ w latach 2021–2022 i w Radzie Praw Człowieka ONZ w latach 2019–2022 oraz 2022–2024;</w:t>
      </w:r>
    </w:p>
    <w:p w:rsidR="00BC7791" w:rsidRPr="00F7116C" w:rsidRDefault="00BC7791" w:rsidP="00BC7791">
      <w:pPr>
        <w:pStyle w:val="NormalHanging12a"/>
      </w:pPr>
      <w:r w:rsidRPr="00F7116C">
        <w:t>I.</w:t>
      </w:r>
      <w:r w:rsidRPr="00F7116C">
        <w:tab/>
      </w:r>
      <w:proofErr w:type="gramStart"/>
      <w:r w:rsidRPr="00F7116C">
        <w:t>mając</w:t>
      </w:r>
      <w:proofErr w:type="gramEnd"/>
      <w:r w:rsidRPr="00F7116C">
        <w:t xml:space="preserve"> na uwadze, że Ocean Indyjski stał się globalnym środkiem ciężkości o strategicznym znaczeniu dla handlu światowego oraz istotnym znaczeniu gospodarczym i strategicznym zarówno dla UE, jak i dla Indii; mając na uwadze, że do jednego z państw członkowskich Unii Europejskiej należą regiony najbardziej oddalone oraz kraje i terytoria zamorskie w regionie </w:t>
      </w:r>
      <w:proofErr w:type="spellStart"/>
      <w:r w:rsidRPr="00F7116C">
        <w:t>Indo</w:t>
      </w:r>
      <w:proofErr w:type="spellEnd"/>
      <w:r w:rsidRPr="00F7116C">
        <w:t xml:space="preserve">-Pacyfiku; mając na uwadze, że UE i Indie mają wspólny interes w zmniejszeniu ryzyka w stosunkach z Chinami i wspólnym zajęciu stanowiska wobec rosnącego wpływu Chin w regionie </w:t>
      </w:r>
      <w:proofErr w:type="spellStart"/>
      <w:r w:rsidRPr="00F7116C">
        <w:t>Indo</w:t>
      </w:r>
      <w:proofErr w:type="spellEnd"/>
      <w:r w:rsidRPr="00F7116C">
        <w:t xml:space="preserve">-Pacyfiku i na świecie; mając na uwadze, że w unijnej strategii współpracy w regionie </w:t>
      </w:r>
      <w:proofErr w:type="spellStart"/>
      <w:r w:rsidRPr="00F7116C">
        <w:t>Indo</w:t>
      </w:r>
      <w:proofErr w:type="spellEnd"/>
      <w:r w:rsidRPr="00F7116C">
        <w:t xml:space="preserve">-Pacyfiku z 2021 r. położono nacisk na </w:t>
      </w:r>
      <w:proofErr w:type="gramStart"/>
      <w:r w:rsidRPr="00F7116C">
        <w:t>partnerstwa</w:t>
      </w:r>
      <w:proofErr w:type="gramEnd"/>
      <w:r w:rsidRPr="00F7116C">
        <w:t xml:space="preserve"> i współpracę w odpowiedzi na konkurencję geopolityczną w regionie </w:t>
      </w:r>
      <w:proofErr w:type="spellStart"/>
      <w:r w:rsidRPr="00F7116C">
        <w:t>Indo</w:t>
      </w:r>
      <w:proofErr w:type="spellEnd"/>
      <w:r w:rsidRPr="00F7116C">
        <w:t xml:space="preserve">-Pacyfiku oraz uznano współpracę z Indiami za jeden z priorytetów UE w tym regionie; mając na uwadze, że UE i Indie mają zbieżne interesy, jeżeli chodzi o to, aby region </w:t>
      </w:r>
      <w:proofErr w:type="spellStart"/>
      <w:r w:rsidRPr="00F7116C">
        <w:t>Indo</w:t>
      </w:r>
      <w:proofErr w:type="spellEnd"/>
      <w:r w:rsidRPr="00F7116C">
        <w:t>-Pacyfiku był otwarty, wolny i bezpieczny, a także skupiają się na utrzymaniu jego charakteru jako obszaru uczciwej konkurencji, niezakłóconych linii komunikacji morskiej, stabilności i bezpieczeństwa; mając na uwadze, że 5 października 2023 r. UE i Indie przeprowadziły trzeci dialog Indie–UE dotyczący bezpieczeństwa morskiego;</w:t>
      </w:r>
    </w:p>
    <w:p w:rsidR="00BC7791" w:rsidRPr="00F7116C" w:rsidRDefault="00BC7791" w:rsidP="00BC7791">
      <w:pPr>
        <w:pStyle w:val="NormalHanging12a"/>
      </w:pPr>
      <w:r w:rsidRPr="00F7116C">
        <w:t>J.</w:t>
      </w:r>
      <w:r w:rsidRPr="00F7116C">
        <w:tab/>
        <w:t xml:space="preserve">mając na uwadze, że ponad jedna trzecia całego europejskiego eksportu trafia do regionu </w:t>
      </w:r>
      <w:proofErr w:type="spellStart"/>
      <w:r w:rsidRPr="00F7116C">
        <w:t>Indo</w:t>
      </w:r>
      <w:proofErr w:type="spellEnd"/>
      <w:r w:rsidRPr="00F7116C">
        <w:t xml:space="preserve">-Pacyfiku przez szlaki morskie na Oceanie Indyjskim i Spokojnym; mając na uwadze, że UE jest zależna od niezakłóconych autostrad morskich przebiegających przez </w:t>
      </w:r>
      <w:proofErr w:type="spellStart"/>
      <w:r w:rsidRPr="00F7116C">
        <w:t>Indo</w:t>
      </w:r>
      <w:proofErr w:type="spellEnd"/>
      <w:r w:rsidRPr="00F7116C">
        <w:t>-Pacyfik, a zatem ma wyraźny interes w utrzymaniu stabilności w regionie Oceanu Indyjskiego;</w:t>
      </w:r>
    </w:p>
    <w:p w:rsidR="00BC7791" w:rsidRPr="00F7116C" w:rsidRDefault="00BC7791" w:rsidP="00BC7791">
      <w:pPr>
        <w:pStyle w:val="NormalHanging12a"/>
      </w:pPr>
      <w:r w:rsidRPr="00F7116C">
        <w:t>K.</w:t>
      </w:r>
      <w:r w:rsidRPr="00F7116C">
        <w:tab/>
        <w:t>mając na uwadze, że Indie starają się zdywersyfikować partnerstwa i zacieśniają stosunki m.in. z Japonią, Australią i Stowarzyszeniem Narodów Azji Południowo-Wschodniej (ASEAN) w dziedzinie gospodarki, bezpieczeństwa, w sprawach dotyczących morza i w dyplomacji, dążąc do dalszej integracji z Azją Południowo-Wschodnią i pogłębiając współpracę strategiczną;</w:t>
      </w:r>
    </w:p>
    <w:p w:rsidR="00BC7791" w:rsidRPr="00F7116C" w:rsidRDefault="00BC7791" w:rsidP="00BC7791">
      <w:pPr>
        <w:pStyle w:val="NormalHanging12a"/>
      </w:pPr>
      <w:r w:rsidRPr="00F7116C">
        <w:t>L.</w:t>
      </w:r>
      <w:r w:rsidRPr="00F7116C">
        <w:tab/>
      </w:r>
      <w:proofErr w:type="gramStart"/>
      <w:r w:rsidRPr="00F7116C">
        <w:t>mając</w:t>
      </w:r>
      <w:proofErr w:type="gramEnd"/>
      <w:r w:rsidRPr="00F7116C">
        <w:t xml:space="preserve"> na uwadze, że promowanie skutecznej dyplomacji klimatycznej oraz globalnego zaangażowania na rzecz wdrożenia porozumienia paryskiego, a także globalnej ochrony klimatu, środowiska i różnorodności biologicznej, wymaga przywództwa ze strony UE i Indii;</w:t>
      </w:r>
    </w:p>
    <w:p w:rsidR="00BC7791" w:rsidRPr="00F7116C" w:rsidRDefault="00BC7791" w:rsidP="00BC7791">
      <w:pPr>
        <w:pStyle w:val="NormalHanging12a"/>
      </w:pPr>
      <w:r w:rsidRPr="00F7116C">
        <w:t>M.</w:t>
      </w:r>
      <w:r w:rsidRPr="00F7116C">
        <w:tab/>
        <w:t xml:space="preserve">mając na uwadze, że jak informują lokalni i międzynarodowi obserwatorzy praw człowieka, obrońcy praw człowieka i dziennikarze w Indiach są narażeni na represje z </w:t>
      </w:r>
      <w:r w:rsidRPr="00F7116C">
        <w:lastRenderedPageBreak/>
        <w:t>powodu swojej pracy, w tym nękanie, arbitralne zatrzymania i poważne zarzuty karne na podstawie represyjnych przepisów (w tym przepisów w dziedzinie walki z terroryzmem); mając na uwadze, że pomimo zakazu dyskryminacji ze względu na przynależność kastową w Indiach nadal istnieje problem systemowy;</w:t>
      </w:r>
    </w:p>
    <w:p w:rsidR="00BC7791" w:rsidRPr="00F7116C" w:rsidRDefault="00BC7791" w:rsidP="00BC7791">
      <w:pPr>
        <w:pStyle w:val="NormalHanging12a"/>
      </w:pPr>
      <w:r w:rsidRPr="00F7116C">
        <w:t>N.</w:t>
      </w:r>
      <w:r w:rsidRPr="00F7116C">
        <w:tab/>
        <w:t>mając na uwadze, że 6 lutego 2023 r. powstała indyjsko-unijna Rada ds. Handlu i Technologii;</w:t>
      </w:r>
    </w:p>
    <w:p w:rsidR="00BC7791" w:rsidRPr="00F7116C" w:rsidRDefault="00BC7791" w:rsidP="00BC7791">
      <w:pPr>
        <w:pStyle w:val="NormalHanging12a"/>
        <w:rPr>
          <w:szCs w:val="24"/>
        </w:rPr>
      </w:pPr>
      <w:r w:rsidRPr="00F7116C">
        <w:t>O.</w:t>
      </w:r>
      <w:r w:rsidRPr="00F7116C">
        <w:tab/>
      </w:r>
      <w:proofErr w:type="gramStart"/>
      <w:r w:rsidRPr="00F7116C">
        <w:t>mając</w:t>
      </w:r>
      <w:proofErr w:type="gramEnd"/>
      <w:r w:rsidRPr="00F7116C">
        <w:t xml:space="preserve"> na uwadze, że trwają negocjacje z Indiami w sprawie umowy o wolnym handlu; mając na uwadze, że trwają również odrębne negocjacje w sprawie umowy o ochronie inwestycji i umowy w sprawie oznaczeń geograficznych w celu wzmocnienia partnerstwa strategicznego;</w:t>
      </w:r>
    </w:p>
    <w:p w:rsidR="00BC7791" w:rsidRPr="00F7116C" w:rsidRDefault="00BC7791" w:rsidP="00BC7791">
      <w:pPr>
        <w:pStyle w:val="NormalHanging12a"/>
      </w:pPr>
      <w:r w:rsidRPr="00F7116C">
        <w:t>1.</w:t>
      </w:r>
      <w:r w:rsidRPr="00F7116C">
        <w:tab/>
      </w:r>
      <w:proofErr w:type="gramStart"/>
      <w:r w:rsidRPr="00F7116C">
        <w:t>zaleca</w:t>
      </w:r>
      <w:proofErr w:type="gramEnd"/>
      <w:r w:rsidRPr="00F7116C">
        <w:t xml:space="preserve"> Radzie, Komisji oraz wiceprzewodniczącemu Komisji / wysokiemu przedstawicielowi Unii do spraw zagranicznych i polityki bezpieczeństwa, aby:</w:t>
      </w:r>
    </w:p>
    <w:p w:rsidR="00BC7791" w:rsidRPr="00F7116C" w:rsidRDefault="00BC7791" w:rsidP="00BC7791">
      <w:pPr>
        <w:pStyle w:val="NormalHanging12a"/>
        <w:rPr>
          <w:b/>
          <w:i/>
          <w:szCs w:val="24"/>
        </w:rPr>
      </w:pPr>
      <w:r w:rsidRPr="00F7116C">
        <w:rPr>
          <w:b/>
          <w:i/>
        </w:rPr>
        <w:t>Partnerstwo strategiczne UE–Indie: ramy instytucjonalne </w:t>
      </w:r>
    </w:p>
    <w:p w:rsidR="00BC7791" w:rsidRPr="00F7116C" w:rsidRDefault="00BC7791" w:rsidP="00BC7791">
      <w:pPr>
        <w:pStyle w:val="NormalHanging12a"/>
      </w:pPr>
      <w:r w:rsidRPr="00F7116C">
        <w:t>a</w:t>
      </w:r>
      <w:proofErr w:type="gramStart"/>
      <w:r w:rsidRPr="00F7116C">
        <w:t>)</w:t>
      </w:r>
      <w:r w:rsidRPr="00F7116C">
        <w:tab/>
        <w:t>dalej</w:t>
      </w:r>
      <w:proofErr w:type="gramEnd"/>
      <w:r w:rsidRPr="00F7116C">
        <w:t xml:space="preserve"> rozwijali i pogłębiali stosunki między UE a Indiami jako partnerami strategicznymi oraz podtrzymywali zobowiązania do regularnego prowadzenia wielopoziomowych dialogów i organizacji spotkań na szczycie; stosowali do tego partnerstwa podejście „Drużyna Europy”;</w:t>
      </w:r>
    </w:p>
    <w:p w:rsidR="00BC7791" w:rsidRPr="00F7116C" w:rsidRDefault="00BC7791" w:rsidP="00BC7791">
      <w:pPr>
        <w:pStyle w:val="NormalHanging12a"/>
        <w:ind w:firstLine="0"/>
      </w:pPr>
    </w:p>
    <w:p w:rsidR="00BC7791" w:rsidRPr="00F7116C" w:rsidRDefault="00BC7791" w:rsidP="00BC7791">
      <w:pPr>
        <w:pStyle w:val="NormalHanging12a"/>
      </w:pPr>
      <w:r w:rsidRPr="00F7116C">
        <w:t>b</w:t>
      </w:r>
      <w:proofErr w:type="gramStart"/>
      <w:r w:rsidRPr="00F7116C">
        <w:t>)</w:t>
      </w:r>
      <w:r w:rsidRPr="00F7116C">
        <w:tab/>
        <w:t>podkreślali</w:t>
      </w:r>
      <w:proofErr w:type="gramEnd"/>
      <w:r w:rsidRPr="00F7116C">
        <w:t>, że w dzisiejszym środowisku międzynarodowym UE i Indie stoją w obliczu pilnych wyzwań w dziedzinie bezpieczeństwa, które wymagają dyplomatycznej reakcji w połączeniu ze zwiększonym potencjałem odstraszającym i współpracą demokratycznych państw;</w:t>
      </w:r>
    </w:p>
    <w:p w:rsidR="00BC7791" w:rsidRPr="00F7116C" w:rsidRDefault="00BC7791" w:rsidP="00BC7791">
      <w:pPr>
        <w:pStyle w:val="NormalHanging12a"/>
        <w:rPr>
          <w:szCs w:val="24"/>
        </w:rPr>
      </w:pPr>
      <w:r w:rsidRPr="00F7116C">
        <w:t>c</w:t>
      </w:r>
      <w:proofErr w:type="gramStart"/>
      <w:r w:rsidRPr="00F7116C">
        <w:t>)</w:t>
      </w:r>
      <w:r w:rsidRPr="00F7116C">
        <w:tab/>
        <w:t>poczynili</w:t>
      </w:r>
      <w:proofErr w:type="gramEnd"/>
      <w:r w:rsidRPr="00F7116C">
        <w:t xml:space="preserve"> wymierne postępy w kwestiach priorytetowych partnerstwa, zwłaszcza w zakresie zmiany klimatu i ekologicznego wzrostu, transformacji cyfrowej i nowych technologii, badań naukowych i rozwoju, </w:t>
      </w:r>
      <w:proofErr w:type="spellStart"/>
      <w:r w:rsidRPr="00F7116C">
        <w:t>konektywności</w:t>
      </w:r>
      <w:proofErr w:type="spellEnd"/>
      <w:r w:rsidRPr="00F7116C">
        <w:t>, handlu i inwestycji oraz polityki zagranicznej, bezpieczeństwa i obrony, a także praw człowieka i praworządności;</w:t>
      </w:r>
    </w:p>
    <w:p w:rsidR="00BC7791" w:rsidRPr="00F7116C" w:rsidRDefault="00BC7791" w:rsidP="00BC7791">
      <w:pPr>
        <w:pStyle w:val="NormalHanging12a"/>
      </w:pPr>
      <w:r w:rsidRPr="00F7116C">
        <w:t>d</w:t>
      </w:r>
      <w:proofErr w:type="gramStart"/>
      <w:r w:rsidRPr="00F7116C">
        <w:t>)</w:t>
      </w:r>
      <w:r w:rsidRPr="00F7116C">
        <w:tab/>
        <w:t>dalej</w:t>
      </w:r>
      <w:proofErr w:type="gramEnd"/>
      <w:r w:rsidRPr="00F7116C">
        <w:t xml:space="preserve"> promowali i w pełni wdrażali strategię UE z 2018 r. w sprawie Indii oraz plan działania UE–Indie na okres do 2025 r., przy czym powinni koordynować swoje działania z działaniami poszczególnych państw członkowskich na rzecz aktywnej współpracy z Indiami; ustanowili jasne i publicznie dostępne kryteria pomiaru postępów w realizacji planu działania;</w:t>
      </w:r>
    </w:p>
    <w:p w:rsidR="00BC7791" w:rsidRPr="00F7116C" w:rsidRDefault="00BC7791" w:rsidP="00BC7791">
      <w:pPr>
        <w:pStyle w:val="NormalHanging12a"/>
        <w:rPr>
          <w:szCs w:val="24"/>
        </w:rPr>
      </w:pPr>
      <w:r w:rsidRPr="00F7116C">
        <w:t>e</w:t>
      </w:r>
      <w:proofErr w:type="gramStart"/>
      <w:r w:rsidRPr="00F7116C">
        <w:t>)</w:t>
      </w:r>
      <w:r w:rsidRPr="00F7116C">
        <w:tab/>
        <w:t>rozpoczęli</w:t>
      </w:r>
      <w:proofErr w:type="gramEnd"/>
      <w:r w:rsidRPr="00F7116C">
        <w:t xml:space="preserve"> przygotowania do ambitnego, wieloaspektowego i gruntownie odnowionego partnerstwa i współpracy, opierając się na przeglądzie wdrażania planu działania UE–Indie na okres do 2025 r. oraz z uwzględnieniem perspektyw i potrzeb wszystkich stron;</w:t>
      </w:r>
    </w:p>
    <w:p w:rsidR="00BC7791" w:rsidRPr="00F7116C" w:rsidRDefault="00BC7791" w:rsidP="00BC7791">
      <w:pPr>
        <w:pStyle w:val="NormalHanging12a"/>
      </w:pPr>
      <w:r w:rsidRPr="00F7116C">
        <w:t>f</w:t>
      </w:r>
      <w:proofErr w:type="gramStart"/>
      <w:r w:rsidRPr="00F7116C">
        <w:t>)</w:t>
      </w:r>
      <w:r w:rsidRPr="00F7116C">
        <w:tab/>
        <w:t>gwarantowali</w:t>
      </w:r>
      <w:proofErr w:type="gramEnd"/>
      <w:r w:rsidRPr="00F7116C">
        <w:t>, że wszelkie pogłębianie partnerstwa będzie odbywać się w oparciu o takie wartości jak wolność, demokracja, pluralizm, praworządność, równość, poszanowanie praw człowieka, sprawiedliwość społeczna, zrównoważony rozwój oraz dążenie do propagowania pluralistycznego ładu światowego opartego na zasadach;</w:t>
      </w:r>
    </w:p>
    <w:p w:rsidR="00BC7791" w:rsidRPr="00F7116C" w:rsidRDefault="00BC7791" w:rsidP="00BC7791">
      <w:pPr>
        <w:pStyle w:val="NormalHanging12a"/>
      </w:pPr>
      <w:r w:rsidRPr="00F7116C">
        <w:t>g</w:t>
      </w:r>
      <w:proofErr w:type="gramStart"/>
      <w:r w:rsidRPr="00F7116C">
        <w:t>)</w:t>
      </w:r>
      <w:r w:rsidRPr="00F7116C">
        <w:tab/>
        <w:t>umożliwiali</w:t>
      </w:r>
      <w:proofErr w:type="gramEnd"/>
      <w:r w:rsidRPr="00F7116C">
        <w:t xml:space="preserve"> parlamentarny nadzór nad polityką UE wobec Indii poprzez regularną </w:t>
      </w:r>
      <w:r w:rsidRPr="00F7116C">
        <w:lastRenderedPageBreak/>
        <w:t>wymianę informacji z Komisją Spraw Zagranicznych Parlamentu Europejskiego, Podkomisją Praw Człowieka, Podkomisją Bezpieczeństwa i Obrony oraz innymi odpowiednimi komisjami;</w:t>
      </w:r>
    </w:p>
    <w:p w:rsidR="00BC7791" w:rsidRPr="00F7116C" w:rsidRDefault="00BC7791" w:rsidP="00BC7791">
      <w:pPr>
        <w:pStyle w:val="NormalHanging12a"/>
      </w:pPr>
      <w:r w:rsidRPr="00F7116C">
        <w:t>h</w:t>
      </w:r>
      <w:proofErr w:type="gramStart"/>
      <w:r w:rsidRPr="00F7116C">
        <w:t>)</w:t>
      </w:r>
      <w:r w:rsidRPr="00F7116C">
        <w:tab/>
        <w:t>nawiązali</w:t>
      </w:r>
      <w:proofErr w:type="gramEnd"/>
      <w:r w:rsidRPr="00F7116C">
        <w:t xml:space="preserve"> bardziej zorganizowany i wielopoziomowy dialog międzyparlamentarny między Parlamentem Europejskim a jego indyjskimi odpowiednikami;</w:t>
      </w:r>
    </w:p>
    <w:p w:rsidR="00BC7791" w:rsidRPr="00F7116C" w:rsidRDefault="00BC7791" w:rsidP="00BC7791">
      <w:pPr>
        <w:pStyle w:val="NormalHanging12a"/>
        <w:rPr>
          <w:szCs w:val="24"/>
        </w:rPr>
      </w:pPr>
      <w:r w:rsidRPr="00F7116C">
        <w:t>i</w:t>
      </w:r>
      <w:proofErr w:type="gramStart"/>
      <w:r w:rsidRPr="00F7116C">
        <w:t>)</w:t>
      </w:r>
      <w:r w:rsidRPr="00F7116C">
        <w:tab/>
        <w:t>gwarantowali</w:t>
      </w:r>
      <w:proofErr w:type="gramEnd"/>
      <w:r w:rsidRPr="00F7116C">
        <w:t xml:space="preserve"> aktywne, regularne, przejrzyste, otwarte i pluralistyczne konsultacje oraz udział przedstawicieli społeczeństwa obywatelskiego UE i Indii, w tym związków zawodowych, organizacji ekologicznych, organizacji broniących praw kobiet i przedstawicieli mniejszości, jeśli chodzi o rozwój, utrzymywanie i monitorowanie stosunków między UE a Indiami; zadbali w trybie priorytetowym o utworzenie w tym celu platformy społeczeństwa obywatelskiego UE–Indie oraz szczytu młodzieżowego UE–Indie jako wydarzenia towarzyszącego przyszłym szczytom UE–Indie, z myślą o wzmacnianiu relacji między młodszymi pokoleniami;</w:t>
      </w:r>
    </w:p>
    <w:p w:rsidR="00BC7791" w:rsidRPr="00F7116C" w:rsidRDefault="00BC7791" w:rsidP="00BC7791">
      <w:pPr>
        <w:pStyle w:val="NormalHanging12a"/>
        <w:rPr>
          <w:szCs w:val="24"/>
        </w:rPr>
      </w:pPr>
      <w:r w:rsidRPr="00F7116C">
        <w:t>j</w:t>
      </w:r>
      <w:proofErr w:type="gramStart"/>
      <w:r w:rsidRPr="00F7116C">
        <w:t>)</w:t>
      </w:r>
      <w:r w:rsidRPr="00F7116C">
        <w:tab/>
        <w:t>zwiększyli</w:t>
      </w:r>
      <w:proofErr w:type="gramEnd"/>
      <w:r w:rsidRPr="00F7116C">
        <w:t xml:space="preserve"> wysiłki UE w zakresie dyplomacji publicznej w celu rozwiązania problemu niedoboru wiedzy po obu stronach oraz poprawy wzajemnego zrozumienia i znacznego wzmocnienia ram wymiany międzyludzkiej, w tym w środowisku akademickim i wśród ośrodków analitycznych;</w:t>
      </w:r>
    </w:p>
    <w:p w:rsidR="00BC7791" w:rsidRPr="00F7116C" w:rsidRDefault="00BC7791" w:rsidP="00BC7791">
      <w:pPr>
        <w:pStyle w:val="NormalHanging12a"/>
        <w:ind w:left="1440" w:hanging="873"/>
        <w:rPr>
          <w:b/>
          <w:i/>
        </w:rPr>
      </w:pPr>
      <w:r w:rsidRPr="00F7116C">
        <w:rPr>
          <w:b/>
          <w:i/>
        </w:rPr>
        <w:t>Współpraca UE–Indie w zakresie polityki zagranicznej i bezpieczeństwa</w:t>
      </w:r>
    </w:p>
    <w:p w:rsidR="00BC7791" w:rsidRPr="00F7116C" w:rsidRDefault="00BC7791" w:rsidP="00BC7791">
      <w:pPr>
        <w:pStyle w:val="NormalHanging12a"/>
        <w:rPr>
          <w:szCs w:val="24"/>
        </w:rPr>
      </w:pPr>
      <w:r w:rsidRPr="00F7116C">
        <w:t>k</w:t>
      </w:r>
      <w:proofErr w:type="gramStart"/>
      <w:r w:rsidRPr="00F7116C">
        <w:t>)</w:t>
      </w:r>
      <w:r w:rsidRPr="00F7116C">
        <w:tab/>
        <w:t>w</w:t>
      </w:r>
      <w:proofErr w:type="gramEnd"/>
      <w:r w:rsidRPr="00F7116C">
        <w:t xml:space="preserve"> dalszym ciągu rozwijali zacieśniającą się współpracę obu stron w zakresie polityki zagranicznej i bezpieczeństwa oraz promowali większą synergię w tej dziedzinie za pośrednictwem istniejących mechanizmów dialogu i innych forów ustanowionych w ramach planu działania UE–Indie do 2025 r., w szczególności w interesie demokracji, praw człowieka i praworządności oraz w obronie multilateralizmu i międzynarodowego porządku opartego na zasadach;</w:t>
      </w:r>
    </w:p>
    <w:p w:rsidR="00BC7791" w:rsidRPr="00F7116C" w:rsidRDefault="00BC7791" w:rsidP="00BC7791">
      <w:pPr>
        <w:pStyle w:val="NormalHanging12a"/>
      </w:pPr>
      <w:r w:rsidRPr="00F7116C">
        <w:t>l</w:t>
      </w:r>
      <w:proofErr w:type="gramStart"/>
      <w:r w:rsidRPr="00F7116C">
        <w:t>)</w:t>
      </w:r>
      <w:r w:rsidRPr="00F7116C">
        <w:tab/>
        <w:t>uznali</w:t>
      </w:r>
      <w:proofErr w:type="gramEnd"/>
      <w:r w:rsidRPr="00F7116C">
        <w:t xml:space="preserve">, że pierwsze konsultacje UE–Indie z czerwca 2022 r. dotyczące bezpieczeństwa i obrony są oznaką rosnącego znaczenia współpracy w zakresie bezpieczeństwa w ramach partnerstwa; wykorzystali delegowanie pierwszego attaché wojskowego do delegatury UE w Nowym Delhi w celu ułatwienia ściślejszej współpracy i wymiany wojskowej; prowadzili co roku dwustronne dialogi na temat bezpieczeństwa, przy większym zaangażowaniu państw członkowskich UE, w celu wzmocnienia dialogu politycznego i osiągnięcia wymiernych rezultatów dzięki skutecznej aprobacie państw członkowskich; gwarantowali również, że ten coraz bardziej znaczący element partnerstwa skutecznie promuje wspólne bezpieczeństwo, stabilność i pokojowy rozwój w regionie </w:t>
      </w:r>
      <w:proofErr w:type="spellStart"/>
      <w:r w:rsidRPr="00F7116C">
        <w:t>Indo</w:t>
      </w:r>
      <w:proofErr w:type="spellEnd"/>
      <w:r w:rsidRPr="00F7116C">
        <w:t xml:space="preserve">-Pacyfiku, co jest zgodne z odnowionym zobowiązaniem UE do </w:t>
      </w:r>
      <w:proofErr w:type="gramStart"/>
      <w:r w:rsidRPr="00F7116C">
        <w:t>dywersyfikacji</w:t>
      </w:r>
      <w:proofErr w:type="gramEnd"/>
      <w:r w:rsidRPr="00F7116C">
        <w:t xml:space="preserve"> relacji w tym regionie; podkreślili znaczenie dialogu UE–Indie na temat zwalczania terroryzmu;</w:t>
      </w:r>
    </w:p>
    <w:p w:rsidR="00BC7791" w:rsidRPr="00F7116C" w:rsidRDefault="00BC7791" w:rsidP="00BC7791">
      <w:pPr>
        <w:pStyle w:val="NormalHanging12a"/>
      </w:pPr>
      <w:r w:rsidRPr="00F7116C">
        <w:t>m</w:t>
      </w:r>
      <w:proofErr w:type="gramStart"/>
      <w:r w:rsidRPr="00F7116C">
        <w:t>)</w:t>
      </w:r>
      <w:r w:rsidRPr="00F7116C">
        <w:tab/>
        <w:t>zachęcali</w:t>
      </w:r>
      <w:proofErr w:type="gramEnd"/>
      <w:r w:rsidRPr="00F7116C">
        <w:t xml:space="preserve"> Indie do zbliżenia współpracy w dziedzinie bezpieczeństwa regionalnego i zarazem uznania niestabilnego kontekstu proliferacji, modernizacji wojskowej i sporów terytorialnych; promowali zapobieganie konfliktom i współpracę gospodarczą przez wspieranie inicjatyw na rzecz integracji regionalnej w Azji Południowej, w tym w ramach Południowoazjatyckiego Stowarzyszenia na rzecz Współpracy Regionalnej (SAARC);</w:t>
      </w:r>
    </w:p>
    <w:p w:rsidR="00BC7791" w:rsidRPr="00F7116C" w:rsidRDefault="00BC7791" w:rsidP="00BC7791">
      <w:pPr>
        <w:pStyle w:val="NormalHanging12a"/>
      </w:pPr>
      <w:r w:rsidRPr="00F7116C">
        <w:t>n</w:t>
      </w:r>
      <w:proofErr w:type="gramStart"/>
      <w:r w:rsidRPr="00F7116C">
        <w:t>)</w:t>
      </w:r>
      <w:r w:rsidRPr="00F7116C">
        <w:tab/>
        <w:t>osiągali</w:t>
      </w:r>
      <w:proofErr w:type="gramEnd"/>
      <w:r w:rsidRPr="00F7116C">
        <w:t xml:space="preserve"> postępy w realizacji planów większej współpracy policji, mając na uwadze, że </w:t>
      </w:r>
      <w:r w:rsidRPr="00F7116C">
        <w:lastRenderedPageBreak/>
        <w:t>takiej współpracy powinny towarzyszyć zabezpieczenia w zakresie ochrony danych na wysokim poziomie i gwarancje legalności przekazywania danych, w tym poprzez decyzję Komisji stwierdzającą odpowiedni stopień ochrony;</w:t>
      </w:r>
    </w:p>
    <w:p w:rsidR="00BC7791" w:rsidRPr="00F7116C" w:rsidRDefault="00BC7791" w:rsidP="00BC7791">
      <w:pPr>
        <w:pStyle w:val="NormalHanging12a"/>
        <w:rPr>
          <w:szCs w:val="24"/>
        </w:rPr>
      </w:pPr>
      <w:r w:rsidRPr="00F7116C">
        <w:t>o</w:t>
      </w:r>
      <w:proofErr w:type="gramStart"/>
      <w:r w:rsidRPr="00F7116C">
        <w:t>)</w:t>
      </w:r>
      <w:r w:rsidRPr="00F7116C">
        <w:tab/>
        <w:t>zacieśnili</w:t>
      </w:r>
      <w:proofErr w:type="gramEnd"/>
      <w:r w:rsidRPr="00F7116C">
        <w:t xml:space="preserve"> współpracę w dziedzinie zagrożeń hybrydowych, w szczególności w walce z kampaniami dezinformacyjnymi, poprzez mechanizmy wymiany danych dowodowych i informacji wywiadowczych;</w:t>
      </w:r>
    </w:p>
    <w:p w:rsidR="00BC7791" w:rsidRPr="00F7116C" w:rsidRDefault="00BC7791" w:rsidP="00BC7791">
      <w:pPr>
        <w:pStyle w:val="NormalHanging12a"/>
        <w:rPr>
          <w:szCs w:val="24"/>
        </w:rPr>
      </w:pPr>
      <w:r w:rsidRPr="00F7116C">
        <w:t>p</w:t>
      </w:r>
      <w:proofErr w:type="gramStart"/>
      <w:r w:rsidRPr="00F7116C">
        <w:t>)</w:t>
      </w:r>
      <w:r w:rsidRPr="00F7116C">
        <w:tab/>
      </w:r>
      <w:r w:rsidR="000E1AED" w:rsidRPr="000E1AED">
        <w:t>uznali</w:t>
      </w:r>
      <w:proofErr w:type="gramEnd"/>
      <w:r w:rsidR="000E1AED" w:rsidRPr="000E1AED">
        <w:t xml:space="preserve"> wkład Indii w wolność żeglugi na całym świecie, w szczególności w Cieśninie Tajwańskiej, ale także niedawne rozmieszczenie okrętów marynarki wojennej w celu ochrony statków handlowych na Morzu Czerwonym, które są obecnie atakowane przez rebeliantów </w:t>
      </w:r>
      <w:proofErr w:type="spellStart"/>
      <w:r w:rsidR="000E1AED" w:rsidRPr="000E1AED">
        <w:t>Huti</w:t>
      </w:r>
      <w:proofErr w:type="spellEnd"/>
      <w:r w:rsidR="000E1AED" w:rsidRPr="000E1AED">
        <w:t xml:space="preserve">; rozszerzyli współpracę między UE a Indiami w zakresie bezpieczeństwa morskiego, również ze względu na wspólne interesy, w szczególności z uwagi na coraz agresywniejsze działania gospodarcze i wojskowe Chin w regionie </w:t>
      </w:r>
      <w:proofErr w:type="spellStart"/>
      <w:r w:rsidR="000E1AED" w:rsidRPr="000E1AED">
        <w:t>Indo</w:t>
      </w:r>
      <w:proofErr w:type="spellEnd"/>
      <w:r w:rsidR="000E1AED" w:rsidRPr="000E1AED">
        <w:t xml:space="preserve">-Pacyfiku; dbali o wolny i otwarty oraz oparty na zasadach porządek międzynarodowy obejmujący wolność żeglugi, otwarte i bezpieczne morskie linie komunikacyjne, większe bezpieczeństwo żeglugi i solidniejsze systemy reagowania na klęski żywiołowe i inne </w:t>
      </w:r>
      <w:proofErr w:type="gramStart"/>
      <w:r w:rsidR="000E1AED" w:rsidRPr="000E1AED">
        <w:t>niż</w:t>
      </w:r>
      <w:proofErr w:type="gramEnd"/>
      <w:r w:rsidR="000E1AED" w:rsidRPr="000E1AED">
        <w:t xml:space="preserve"> tradycyjne zagrożenia dla bezpieczeństwa oraz systemy zwalczania piractwa i nielegalnych połowów; wykorzystali doświadczenia w zakresie konstruktywnej współpracy, w szczególności wsparcie Indii dla unijnej operacji morskiej Atalanta (EUNAVFOR) poprzez ochronę statków Światowego Programu Żywnościowego na żądanie, a także udział Indii we wspólnych ćwiczeniach morskich (PASSEX); podjęli działania następcze w związku z pierwszymi ćwiczeniami morskimi UE–Indie w czerwcu 2021 r. w Zatoce Adeńskiej; zachęcali do dalszego wspólnego rozumienia Konwencji Narodów Zjednoczonych o prawie morza; pozytywnie odpowiedzieli na skierowaną do UE indyjską propozycję przystąpienia do inicjatywy na rzecz oceanów </w:t>
      </w:r>
      <w:proofErr w:type="spellStart"/>
      <w:r w:rsidR="000E1AED" w:rsidRPr="000E1AED">
        <w:t>Indo</w:t>
      </w:r>
      <w:proofErr w:type="spellEnd"/>
      <w:r w:rsidR="000E1AED" w:rsidRPr="000E1AED">
        <w:t xml:space="preserve">-Pacyfiku; rozważyli opracowanie wspólnego unijno-indyjskiego programu budowania regionalnych zdolności morskich dla mniejszych państw </w:t>
      </w:r>
      <w:proofErr w:type="gramStart"/>
      <w:r w:rsidR="000E1AED" w:rsidRPr="000E1AED">
        <w:t>wyspiarskich</w:t>
      </w:r>
      <w:proofErr w:type="gramEnd"/>
      <w:r w:rsidR="000E1AED" w:rsidRPr="000E1AED">
        <w:t xml:space="preserve"> i nadbrzeżnych na Oceanie Indyjskim;</w:t>
      </w:r>
    </w:p>
    <w:p w:rsidR="00BC7791" w:rsidRPr="00F7116C" w:rsidRDefault="00BC7791" w:rsidP="00BC7791">
      <w:pPr>
        <w:pStyle w:val="NormalHanging12a"/>
      </w:pPr>
      <w:r w:rsidRPr="00F7116C">
        <w:t>q</w:t>
      </w:r>
      <w:proofErr w:type="gramStart"/>
      <w:r w:rsidRPr="00F7116C">
        <w:t>)</w:t>
      </w:r>
      <w:r w:rsidRPr="00F7116C">
        <w:tab/>
        <w:t>wzmocnili</w:t>
      </w:r>
      <w:proofErr w:type="gramEnd"/>
      <w:r w:rsidRPr="00F7116C">
        <w:t xml:space="preserve"> współpracę między UE a Indiami z myślą o rozbrojeniu i nierozprzestrzenianiu broni oraz zachęcali Indie do przyłączenia się do wysiłków UE na rzecz promowania bezpieczeństwa jądrowego i nierozprzestrzeniania broni jądrowej, chemicznej i biologicznej w regionie;</w:t>
      </w:r>
    </w:p>
    <w:p w:rsidR="00BC7791" w:rsidRPr="00F7116C" w:rsidRDefault="00BC7791" w:rsidP="00BC7791">
      <w:pPr>
        <w:pStyle w:val="NormalHanging12a"/>
        <w:rPr>
          <w:szCs w:val="24"/>
        </w:rPr>
      </w:pPr>
      <w:r w:rsidRPr="00F7116C">
        <w:t>r</w:t>
      </w:r>
      <w:proofErr w:type="gramStart"/>
      <w:r w:rsidRPr="00F7116C">
        <w:t>)</w:t>
      </w:r>
      <w:r w:rsidRPr="00F7116C">
        <w:tab/>
        <w:t>wykorzystali</w:t>
      </w:r>
      <w:proofErr w:type="gramEnd"/>
      <w:r w:rsidRPr="00F7116C">
        <w:t xml:space="preserve"> pierwszą w historii strategię kosmiczną UE na rzecz bezpieczeństwa i obrony oraz coraz większy nacisk Indii na bezpieczeństwo kosmiczne, przez podjęcie wspólnej inicjatywy mającej na celu zachęcenie partnerów do propagowania wielostronnych rozwiązań w zakresie pokojowego korzystania z przestrzeni kosmicznej oraz bezpiecznego i trwałego dostępu do niej, a także do przeciwdziałania zagrożeniom związanym z jej postępującą militaryzacją;</w:t>
      </w:r>
    </w:p>
    <w:p w:rsidR="00BC7791" w:rsidRPr="00F7116C" w:rsidRDefault="00BC7791" w:rsidP="00BC7791">
      <w:pPr>
        <w:pStyle w:val="NormalHanging12a"/>
      </w:pPr>
      <w:r w:rsidRPr="00F7116C">
        <w:t>s</w:t>
      </w:r>
      <w:proofErr w:type="gramStart"/>
      <w:r w:rsidRPr="00F7116C">
        <w:t>)</w:t>
      </w:r>
      <w:r w:rsidRPr="00F7116C">
        <w:tab/>
        <w:t>koordynowali</w:t>
      </w:r>
      <w:proofErr w:type="gramEnd"/>
      <w:r w:rsidRPr="00F7116C">
        <w:t xml:space="preserve"> stanowiska i inicjatywy na forach wielostronnych, dążąc do realizacji wspólnych celów w oparciu o wspólne międzynarodowe wartości i standardy, zwłaszcza ONZ, Światowej Organizacji Handlu i grupy G-20, skutecznie uzgadniając stanowiska w obronie multilateralizmu, praw człowieka oraz opartego na zasadach i </w:t>
      </w:r>
      <w:proofErr w:type="spellStart"/>
      <w:r w:rsidRPr="00F7116C">
        <w:t>inkluzywnego</w:t>
      </w:r>
      <w:proofErr w:type="spellEnd"/>
      <w:r w:rsidRPr="00F7116C">
        <w:t xml:space="preserve"> ładu międzynarodowego; angażowali się w rozmowy w sprawie reformy Rady Bezpieczeństwa ONZ i metod pracy oraz wspierali starania Indii o uzyskanie stałego członkostwa w zreformowanej Radzie Bezpieczeństw ONZ; wskazywali, iż UE i Indie są dwoma z uczestników wnoszących największy wkład w działania ONZ na rzecz utrzymania pokoju i zaangażowanymi orędownikami trwałego pokoju;</w:t>
      </w:r>
    </w:p>
    <w:p w:rsidR="00BC7791" w:rsidRPr="00F7116C" w:rsidRDefault="00BC7791" w:rsidP="00BC7791">
      <w:pPr>
        <w:pStyle w:val="NormalHanging12a"/>
      </w:pPr>
      <w:r w:rsidRPr="00F7116C">
        <w:lastRenderedPageBreak/>
        <w:t>t</w:t>
      </w:r>
      <w:proofErr w:type="gramStart"/>
      <w:r w:rsidRPr="00F7116C">
        <w:t>)</w:t>
      </w:r>
      <w:r w:rsidRPr="00F7116C">
        <w:tab/>
        <w:t>promowali</w:t>
      </w:r>
      <w:proofErr w:type="gramEnd"/>
      <w:r w:rsidRPr="00F7116C">
        <w:t xml:space="preserve"> wspólne działania i koordynację w zakresie rozwoju i pomocy humanitarnej, wzmocnienia łączności, rozwoju infrastruktury i wspierania procesów demokratycznych na globalnym Południu;</w:t>
      </w:r>
    </w:p>
    <w:p w:rsidR="00BC7791" w:rsidRPr="00F7116C" w:rsidRDefault="00BC7791" w:rsidP="00BC7791">
      <w:pPr>
        <w:pStyle w:val="NormalHanging12a"/>
        <w:rPr>
          <w:szCs w:val="24"/>
        </w:rPr>
      </w:pPr>
      <w:r w:rsidRPr="00F7116C">
        <w:t>u</w:t>
      </w:r>
      <w:proofErr w:type="gramStart"/>
      <w:r w:rsidRPr="00F7116C">
        <w:t>)</w:t>
      </w:r>
      <w:r w:rsidRPr="00F7116C">
        <w:tab/>
      </w:r>
      <w:r w:rsidR="000E1AED" w:rsidRPr="000E1AED">
        <w:t>prowadzili</w:t>
      </w:r>
      <w:proofErr w:type="gramEnd"/>
      <w:r w:rsidR="000E1AED" w:rsidRPr="000E1AED">
        <w:t xml:space="preserve"> dialog z Indiami w sprawie ich dużej zależności militarnej od Rosji i unijnej polityki sankcyjnej wymierzonej w Rosję; wezwali Indie, aby przyłączyły się do państw, które potępiają nielegalną wojnę Rosji przeciwko Ukrainie, przy jednoczesnym utrzymaniu linii politycznej zmierzającej do zakończenia działań wojennych oraz wznowienia dyplomacji i dialogu; prowadzili dialog z Indiami w sprawie ich ciągłych zakupów ropy naftowej z Rosji po niskich cenach, a następnie sprzedaży przez Indie produktów rafinowanych na rynkach międzynarodowych, a także w sprawie prowadzenia przez Indie handlu rosyjskimi diamentami, w tym w UE; zwrócili uwagę na zależność Indii od Rosji w sektorze energii jądrowej, </w:t>
      </w:r>
      <w:proofErr w:type="gramStart"/>
      <w:r w:rsidR="000E1AED" w:rsidRPr="000E1AED">
        <w:t>w</w:t>
      </w:r>
      <w:proofErr w:type="gramEnd"/>
      <w:r w:rsidR="000E1AED" w:rsidRPr="000E1AED">
        <w:t xml:space="preserve"> szczególności w odniesieniu do dalszego rozwoju elektrowni jądrowych; nalegali, aby Indie zaprzestały dalszych wspólnych ćwiczeń wojskowych z tym państwem agresorem; zachęcali Indie do zaprzestania wspólnej produkcji sprzętu wojskowego i do ograniczenia współpracy obronnej z Rosją; zapewnili właściwe monitorowanie wdrażania środków ograniczających i nakładania sankcji za wszel</w:t>
      </w:r>
      <w:bookmarkStart w:id="8" w:name="_GoBack"/>
      <w:bookmarkEnd w:id="8"/>
      <w:r w:rsidR="000E1AED" w:rsidRPr="000E1AED">
        <w:t>kie próby ich obejścia, w szczególności przez przedsiębiorstwa z siedzibą w UE, które muszą zaprzestać zakupu takich produktów, co zasadniczo stanowi obchodzenie sankcji UE wobec Rosji; uwzględnili obawy związane z umowami i projektami, takimi jak międzynarodowy korytarz transportowy z północy na południe, oraz nowymi ramami na rzecz inwestycji i wolnego handlu między Rosją a Indiami, które to ramy znacznie zwiększą zdolność Rosji do obchodzenia sankcji i jej wpływy w regionie, będą ze szkodą dla odporności gospodarczej i finansowej Indii oraz przekreślą perspektywy silniejszego partnerstwa politycznego i gospodarczego między UE a Indiami;</w:t>
      </w:r>
    </w:p>
    <w:p w:rsidR="00BC7791" w:rsidRPr="00F7116C" w:rsidRDefault="00BC7791" w:rsidP="00BC7791">
      <w:pPr>
        <w:pStyle w:val="NormalHanging12a"/>
        <w:rPr>
          <w:szCs w:val="24"/>
        </w:rPr>
      </w:pPr>
      <w:r w:rsidRPr="00F7116C">
        <w:t>v</w:t>
      </w:r>
      <w:proofErr w:type="gramStart"/>
      <w:r w:rsidRPr="00F7116C">
        <w:t>)</w:t>
      </w:r>
      <w:r w:rsidRPr="00F7116C">
        <w:tab/>
        <w:t>dalej</w:t>
      </w:r>
      <w:proofErr w:type="gramEnd"/>
      <w:r w:rsidRPr="00F7116C">
        <w:t xml:space="preserve"> uważnie monitorowali niepokojącą sytuację w części Kaszmiru kontrolowanej przez Indie, w szczególności w zakresie poszanowania praw człowieka i podstawowych wolności Kaszmirczyków; podtrzymali zobowiązanie do wspierania stabilności, deeskalacji i zbliżenia między Indiami a Pakistanem poprzez stosunki dobrosąsiedzkie w oparciu o zasady prawa międzynarodowego oraz w drodze kompleksowego dialogu i podejścia etapowego; promowali wdrożenie rezolucji Rady Bezpieczeństwa ONZ i zaleceń zawartych w sprawozdaniach Biura Wysokiego Komisarza Narodów Zjednoczonych ds. Praw Człowieka na temat Kaszmiru;</w:t>
      </w:r>
    </w:p>
    <w:p w:rsidR="00BC7791" w:rsidRPr="00F7116C" w:rsidRDefault="00BC7791" w:rsidP="00BC7791">
      <w:pPr>
        <w:pStyle w:val="NormalHanging12a"/>
        <w:rPr>
          <w:szCs w:val="24"/>
        </w:rPr>
      </w:pPr>
      <w:r w:rsidRPr="00F7116C">
        <w:t>w</w:t>
      </w:r>
      <w:proofErr w:type="gramStart"/>
      <w:r w:rsidRPr="00F7116C">
        <w:t>)</w:t>
      </w:r>
      <w:r w:rsidRPr="00F7116C">
        <w:tab/>
        <w:t>ściśle</w:t>
      </w:r>
      <w:proofErr w:type="gramEnd"/>
      <w:r w:rsidRPr="00F7116C">
        <w:t xml:space="preserve"> monitorowali nierozwiązane spory graniczne między Indiami a Chinami, czyli dwoma mocarstwami jądrowymi, zwłaszcza że w tym regionie przygranicznym sytuacja jest niestabilna i nasila się militaryzacja, co może wpłynąć na szeroko rozumiane bezpieczeństwo w Azji Południowej i na bezpieczeństwo światowe; z zaniepokojeniem odnotowali stałe napięcia w stosunkach między Indiami a Chinami wynikające z nierozwiązanych sporów granicznych i potępili wszelkie próby jednostronnej zmiany status quo na granicach, np. przez Chiny w 2020 r.; podkreślili kluczowe znaczenie – dla obu stron – pokojowego rozwiązania tego problemu w drodze dialogu i zgodnie z normami prawa międzynarodowego; w związku z tym z zadowoleniem przyjęli niedawne rozmowy </w:t>
      </w:r>
      <w:proofErr w:type="gramStart"/>
      <w:r w:rsidRPr="00F7116C">
        <w:t>między</w:t>
      </w:r>
      <w:proofErr w:type="gramEnd"/>
      <w:r w:rsidRPr="00F7116C">
        <w:t xml:space="preserve"> przywódcami i porozumienie w sprawie zintensyfikowania starań zmierzających do rozładowania i złagodzenia napięć wzdłuż granicy; z zadowoleniem przyjęli wysiłki Indii na rzecz stabilności w regionie poprzez współpracę z tym regionem;</w:t>
      </w:r>
    </w:p>
    <w:p w:rsidR="00BC7791" w:rsidRPr="00F7116C" w:rsidRDefault="00BC7791" w:rsidP="00BC7791">
      <w:pPr>
        <w:pStyle w:val="NormalHanging12a"/>
        <w:rPr>
          <w:b/>
          <w:i/>
        </w:rPr>
      </w:pPr>
      <w:r w:rsidRPr="00F7116C">
        <w:rPr>
          <w:b/>
          <w:i/>
        </w:rPr>
        <w:t>Prawa człowieka i demokracja: od kwestii pobocznej do sedna stosunków UE–Indie</w:t>
      </w:r>
    </w:p>
    <w:p w:rsidR="00BC7791" w:rsidRPr="00F7116C" w:rsidRDefault="00BC7791" w:rsidP="00BC7791">
      <w:pPr>
        <w:pStyle w:val="NormalHanging12a"/>
        <w:rPr>
          <w:szCs w:val="24"/>
        </w:rPr>
      </w:pPr>
      <w:r w:rsidRPr="00F7116C">
        <w:lastRenderedPageBreak/>
        <w:t>x</w:t>
      </w:r>
      <w:proofErr w:type="gramStart"/>
      <w:r w:rsidRPr="00F7116C">
        <w:t>)</w:t>
      </w:r>
      <w:r w:rsidRPr="00F7116C">
        <w:tab/>
        <w:t>skutecznie</w:t>
      </w:r>
      <w:proofErr w:type="gramEnd"/>
      <w:r w:rsidRPr="00F7116C">
        <w:t xml:space="preserve"> umieścili prawa człowieka i wartości demokratyczne w centrum współpracy UE z Indiami, tak aby prowadzić konstruktywny i oparty na wynikach dialog; opracowali strategię i plan działania w celu zajęcia się tymi kwestiami oraz włączenia ich do szerszego partnerstwa UE–Indie;</w:t>
      </w:r>
    </w:p>
    <w:p w:rsidR="00BC7791" w:rsidRPr="00F7116C" w:rsidRDefault="00BC7791" w:rsidP="00BC7791">
      <w:pPr>
        <w:pStyle w:val="NormalHanging12a"/>
        <w:rPr>
          <w:szCs w:val="24"/>
        </w:rPr>
      </w:pPr>
      <w:r w:rsidRPr="00F7116C">
        <w:t>y</w:t>
      </w:r>
      <w:proofErr w:type="gramStart"/>
      <w:r w:rsidRPr="00F7116C">
        <w:t>)</w:t>
      </w:r>
      <w:r w:rsidRPr="00F7116C">
        <w:tab/>
        <w:t>potępili</w:t>
      </w:r>
      <w:proofErr w:type="gramEnd"/>
      <w:r w:rsidRPr="00F7116C">
        <w:t xml:space="preserve"> akty przemocy, nasilającą się nacjonalistyczną retorykę i politykę podziałów oraz wezwali przywódców do nieuciekania się do podburzających oświadczeń w celu rozwiązania konfliktów społecznych, w tym konfliktów w stanie Manipur; nadal wyrażali poważne zaniepokojenie, w tym publicznie, w związku z indyjską ustawą zmieniającą prawo o obywatelstwie i innymi przepisami, które dyskryminują ze względu na religię i prowadzą do niebezpiecznych podziałów; zachęcali Indie do zagwarantowania prawa do swobodnego praktykowania wybranej religii, które zapisano w art. 25 konstytucji tego kraju; zwalczali i potępiali mowę nienawiści, która podżega do dyskryminacji lub przemocy wobec jakiejkolwiek mniejszości religijnej, takiej jak muzułmanie i chrześcijanie; wezwali władze Indii do zastosowania wszelkich niezbędnych środków i dołożenia wszelkich starań, aby położyć kres trwającej przemocy, w tym mowie nienawiści, wymierzonej w mniejszości etniczne i religijne oraz niektóre organizacje wyznaniowe w kraju, a także pociągnąć sprawców do odpowiedzialności;</w:t>
      </w:r>
    </w:p>
    <w:p w:rsidR="00BC7791" w:rsidRPr="00F7116C" w:rsidRDefault="00BC7791" w:rsidP="00BC7791">
      <w:pPr>
        <w:pStyle w:val="NormalHanging12a"/>
        <w:rPr>
          <w:szCs w:val="24"/>
        </w:rPr>
      </w:pPr>
      <w:r w:rsidRPr="00F7116C">
        <w:t>z</w:t>
      </w:r>
      <w:proofErr w:type="gramStart"/>
      <w:r w:rsidRPr="00F7116C">
        <w:t>)</w:t>
      </w:r>
      <w:r w:rsidRPr="00F7116C">
        <w:tab/>
        <w:t>nalegali</w:t>
      </w:r>
      <w:proofErr w:type="gramEnd"/>
      <w:r w:rsidRPr="00F7116C">
        <w:t>, aby Indie, jako członek założyciel Organizacji Narodów Zjednoczonych i obecny członek Rady Praw Człowieka ONZ, postępowały zgodnie ze wszystkimi zaleceniami w ramach swojego powszechnego okresowego przeglądu praw człowieka, w tym aby przyjmowały i ułatwiały wizyty w ramach procedur specjalnych ONZ oraz ściśle współpracowały w tym kontekście, gdyż od 1999 r. do tej pory większość takich wizyt nie była możliwa w tym kraju;</w:t>
      </w:r>
    </w:p>
    <w:p w:rsidR="00BC7791" w:rsidRPr="00F7116C" w:rsidRDefault="00BC7791" w:rsidP="00BC7791">
      <w:pPr>
        <w:pStyle w:val="NormalHanging12a"/>
      </w:pPr>
      <w:r w:rsidRPr="00F7116C">
        <w:t>aa</w:t>
      </w:r>
      <w:proofErr w:type="gramStart"/>
      <w:r w:rsidRPr="00F7116C">
        <w:t>)</w:t>
      </w:r>
      <w:r w:rsidRPr="00F7116C">
        <w:tab/>
        <w:t>odnieśli</w:t>
      </w:r>
      <w:proofErr w:type="gramEnd"/>
      <w:r w:rsidRPr="00F7116C">
        <w:t xml:space="preserve"> się na wszystkich szczeblach dialogu z władzami Indii do obaw wyrażonych przez wysokiego komisarza ONZ ds. praw człowieka i specjalnych sprawozdawców ONZ, dotyczących sytuacji w zakresie praw człowieka, społeczeństwa obywatelskiego oraz grup szczególnie wrażliwych i zmarginalizowanych, takich jak kobiety, dzieci, migranci i osoby LGBTQI, w kontekście wzajemnych zobowiązań traktatowych wynikających z różnych instrumentów prawa międzynarodowego:</w:t>
      </w:r>
    </w:p>
    <w:p w:rsidR="00BC7791" w:rsidRPr="00F7116C" w:rsidRDefault="00BC7791" w:rsidP="00BC7791">
      <w:pPr>
        <w:pStyle w:val="NormalHanging12a"/>
        <w:rPr>
          <w:szCs w:val="24"/>
        </w:rPr>
      </w:pPr>
      <w:r w:rsidRPr="00F7116C">
        <w:t>ab</w:t>
      </w:r>
      <w:proofErr w:type="gramStart"/>
      <w:r w:rsidRPr="00F7116C">
        <w:t>)</w:t>
      </w:r>
      <w:r w:rsidRPr="00F7116C">
        <w:tab/>
        <w:t>podkreślali</w:t>
      </w:r>
      <w:proofErr w:type="gramEnd"/>
      <w:r w:rsidRPr="00F7116C">
        <w:t xml:space="preserve">, jak ważne jest, by Indie wykazały się zaangażowaniem na rzecz poszanowania, ochrony i pełnego egzekwowania gwarantowanych konstytucyjnie praw do wolności wypowiedzi dla wszystkich, w tym w </w:t>
      </w:r>
      <w:proofErr w:type="spellStart"/>
      <w:r w:rsidRPr="00F7116C">
        <w:t>internecie</w:t>
      </w:r>
      <w:proofErr w:type="spellEnd"/>
      <w:r w:rsidRPr="00F7116C">
        <w:t>, wolności mediów, prawa do pokojowego zgromadzania się i zrzeszania się oraz niezależności wymiaru sprawiedliwości; zachęcali Indie do tworzenia warunków sprzyjających zróżnicowanemu i niezależnemu dziennikarstwu oraz do ochrony wszystkich pracowników mediów zgodnie z konstytucją tego kraju;</w:t>
      </w:r>
    </w:p>
    <w:p w:rsidR="00BC7791" w:rsidRPr="00F7116C" w:rsidRDefault="00BC7791" w:rsidP="00BC7791">
      <w:pPr>
        <w:pStyle w:val="NormalHanging12a"/>
        <w:rPr>
          <w:szCs w:val="24"/>
        </w:rPr>
      </w:pPr>
      <w:proofErr w:type="spellStart"/>
      <w:r w:rsidRPr="00F7116C">
        <w:t>ac</w:t>
      </w:r>
      <w:proofErr w:type="spellEnd"/>
      <w:proofErr w:type="gramStart"/>
      <w:r w:rsidRPr="00F7116C">
        <w:t>)</w:t>
      </w:r>
      <w:r w:rsidRPr="00F7116C">
        <w:tab/>
        <w:t>współpracowali</w:t>
      </w:r>
      <w:proofErr w:type="gramEnd"/>
      <w:r w:rsidRPr="00F7116C">
        <w:t xml:space="preserve"> z Indiami nad zapewnieniem bezpiecznego i demokratycznego otoczenia dla działalności obrońców praw człowieka, obrońców środowiska, obrońców ludów tubylczych i obrońców praw kasty wydzielonej, przeciwników politycznych, działaczy związków zawodowych, dziennikarzy i innych podmiotów społeczeństwa obywatelskiego; skłonili Indie, aby te przestały powoływać się na przepisy zakazujące podżegania, finansowania z zagranicy i terroryzmu w celu ograniczenia ich legalnej działalności, w tym również w części Kaszmiru kontrolowanej przez Indie; aby uwolniły wszystkich więźniów politycznych; </w:t>
      </w:r>
      <w:r w:rsidR="004022BE">
        <w:t xml:space="preserve">aby </w:t>
      </w:r>
      <w:r w:rsidRPr="00F7116C">
        <w:t xml:space="preserve">zaprzestały stosowania ogólnych ograniczeń w dostępie do </w:t>
      </w:r>
      <w:proofErr w:type="spellStart"/>
      <w:r w:rsidRPr="00F7116C">
        <w:t>internetu</w:t>
      </w:r>
      <w:proofErr w:type="spellEnd"/>
      <w:r w:rsidRPr="00F7116C">
        <w:t xml:space="preserve">; </w:t>
      </w:r>
      <w:r w:rsidR="004022BE">
        <w:t xml:space="preserve">aby </w:t>
      </w:r>
      <w:r w:rsidRPr="00F7116C">
        <w:t xml:space="preserve">dokonały przeglądu przepisów w celu </w:t>
      </w:r>
      <w:r w:rsidRPr="00F7116C">
        <w:lastRenderedPageBreak/>
        <w:t xml:space="preserve">uniknięcia ich ewentualnego nadużywania w celu tłumienia sprzeciwu; </w:t>
      </w:r>
      <w:r w:rsidR="004022BE">
        <w:t xml:space="preserve">aby </w:t>
      </w:r>
      <w:r w:rsidRPr="00F7116C">
        <w:t xml:space="preserve">dokonały zmiany przepisów, które </w:t>
      </w:r>
      <w:proofErr w:type="gramStart"/>
      <w:r w:rsidRPr="00F7116C">
        <w:t>sprzyjają</w:t>
      </w:r>
      <w:proofErr w:type="gramEnd"/>
      <w:r w:rsidRPr="00F7116C">
        <w:t xml:space="preserve"> dyskryminacji, i ułatwiły dostęp do wymiaru sprawiedliwości oraz zagwarantowały pociąganie do odpowiedzialności za naruszenia praw człowieka; </w:t>
      </w:r>
      <w:r w:rsidR="004022BE">
        <w:t xml:space="preserve">oraz aby </w:t>
      </w:r>
      <w:r w:rsidRPr="00F7116C">
        <w:t>zajęły się szkodliwymi skutkami ustawy o zagranicznym wkładzie finansowym i ustawy o (zapobieganiu) działalności niezgodnej z prawem dla organizacji społeczeństwa obywatelskiego; zwiększyli wsparcie UE i państw członkowskich dla organizacji społeczeństwa obywatelskiego i obrońców praw człowieka, w tym poprzez ułatwianie finansowania;</w:t>
      </w:r>
    </w:p>
    <w:p w:rsidR="00BC7791" w:rsidRPr="00F7116C" w:rsidRDefault="00BC7791" w:rsidP="00BC7791">
      <w:pPr>
        <w:pStyle w:val="NormalHanging12a"/>
        <w:rPr>
          <w:szCs w:val="24"/>
        </w:rPr>
      </w:pPr>
      <w:r w:rsidRPr="00F7116C">
        <w:t>ad</w:t>
      </w:r>
      <w:proofErr w:type="gramStart"/>
      <w:r w:rsidRPr="00F7116C">
        <w:t>)</w:t>
      </w:r>
      <w:r w:rsidRPr="00F7116C">
        <w:tab/>
        <w:t>wyrazili</w:t>
      </w:r>
      <w:proofErr w:type="gramEnd"/>
      <w:r w:rsidRPr="00F7116C">
        <w:t xml:space="preserve"> zadowolenie z przyjęcia ustawy o równowadze płci, która przewiduje jedną trzecią miejsc dla kobiet w parlamencie krajowym i stanowym oraz stanowi znaczący krok naprzód we wspieraniu prawa kobiet do udziału i równości płci w Indiach; prowadzili dialog z Indiami na temat działań, jakie podejmuje ten kraj, jeśli chodzi o dochodzenia w sprawach przemocy i dyskryminacji ze względu na płeć, a także propagowanie równouprawnienia płci i wzmacnianie pozycji kobiet;</w:t>
      </w:r>
    </w:p>
    <w:p w:rsidR="00BC7791" w:rsidRPr="00F7116C" w:rsidRDefault="00BC7791" w:rsidP="00BC7791">
      <w:pPr>
        <w:pStyle w:val="NormalHanging12a"/>
      </w:pPr>
      <w:proofErr w:type="spellStart"/>
      <w:r w:rsidRPr="00F7116C">
        <w:t>ae</w:t>
      </w:r>
      <w:proofErr w:type="spellEnd"/>
      <w:proofErr w:type="gramStart"/>
      <w:r w:rsidRPr="00F7116C">
        <w:t>)</w:t>
      </w:r>
      <w:r w:rsidRPr="00F7116C">
        <w:tab/>
        <w:t>nakłonili</w:t>
      </w:r>
      <w:proofErr w:type="gramEnd"/>
      <w:r w:rsidRPr="00F7116C">
        <w:t xml:space="preserve"> władze Indii do położenia kresu utrzymującej się dyskryminacji ze względu na przynależność kastową w Indiach oraz do przyznania praw społecznościom </w:t>
      </w:r>
      <w:proofErr w:type="spellStart"/>
      <w:r w:rsidRPr="00F7116C">
        <w:t>Adiwasi</w:t>
      </w:r>
      <w:proofErr w:type="spellEnd"/>
      <w:r w:rsidRPr="00F7116C">
        <w:t xml:space="preserve"> na mocy ustawy o prawach do lasów; podzielili się doświadczeniami UE w zakresie rozwiązywania krajowych problemów związanych z przestępstwami z nienawiści; przyjęli w szczególności strategię krajową, która pomoże w zwalczaniu dyskryminacji ze względu na przynależność kastową i włączy do partnerstwa UE i państw członkowskich z Indiami kwestie związane z przynależnością kastową;</w:t>
      </w:r>
    </w:p>
    <w:p w:rsidR="00BC7791" w:rsidRPr="00F7116C" w:rsidRDefault="00BC7791" w:rsidP="00BC7791">
      <w:pPr>
        <w:pStyle w:val="NormalHanging12a"/>
        <w:rPr>
          <w:szCs w:val="24"/>
        </w:rPr>
      </w:pPr>
      <w:proofErr w:type="spellStart"/>
      <w:r w:rsidRPr="00F7116C">
        <w:t>af</w:t>
      </w:r>
      <w:proofErr w:type="spellEnd"/>
      <w:proofErr w:type="gramStart"/>
      <w:r w:rsidRPr="00F7116C">
        <w:t>)</w:t>
      </w:r>
      <w:r w:rsidRPr="00F7116C">
        <w:tab/>
        <w:t>przypomnieli</w:t>
      </w:r>
      <w:proofErr w:type="gramEnd"/>
      <w:r w:rsidRPr="00F7116C">
        <w:t xml:space="preserve"> o zasadniczym i wyrażanym od dawna odrzuceniu przez UE kary śmierci oraz ponownie wezwali Indie do wprowadzenia moratorium na wykonywanie kary śmierci z myślą o jej trwałym zniesieniu;</w:t>
      </w:r>
    </w:p>
    <w:p w:rsidR="00BC7791" w:rsidRPr="00F7116C" w:rsidRDefault="00BC7791" w:rsidP="00BC7791">
      <w:pPr>
        <w:pStyle w:val="NormalHanging12a"/>
      </w:pPr>
      <w:r w:rsidRPr="00F7116C">
        <w:t>ag</w:t>
      </w:r>
      <w:proofErr w:type="gramStart"/>
      <w:r w:rsidRPr="00F7116C">
        <w:t>)</w:t>
      </w:r>
      <w:r w:rsidRPr="00F7116C">
        <w:tab/>
        <w:t>wyrazili</w:t>
      </w:r>
      <w:proofErr w:type="gramEnd"/>
      <w:r w:rsidRPr="00F7116C">
        <w:t xml:space="preserve"> zadowolenie z przyjęcia przez Indie krajowego planu działań w zakresie biznesu i praw człowieka zgodnie z Wytycznymi ONZ dotyczącymi biznesu i praw człowieka; pogłębili współpracę z Indiami w tym zakresie, w tym w zakresie celów zrównoważonego rozwoju ONZ i konwencji Międzynarodowej Organizacji Pracy; przypomnieli o spoczywających na wszystkich przedsiębiorstwach obowiązkach poszanowania praw człowieka w ich łańcuchach wartości oraz zachęcali Indie do aktywnego uczestnictwa w trwających negocjacjach dotyczących wiążącego traktatu ONZ regulującego działalność przedsiębiorstw na podstawie międzynarodowego prawa dotyczącego praw człowieka;</w:t>
      </w:r>
    </w:p>
    <w:p w:rsidR="00BC7791" w:rsidRPr="00F7116C" w:rsidRDefault="00BC7791" w:rsidP="00BC7791">
      <w:pPr>
        <w:pStyle w:val="NormalHanging12a"/>
      </w:pPr>
      <w:r w:rsidRPr="00F7116C">
        <w:t>ah</w:t>
      </w:r>
      <w:proofErr w:type="gramStart"/>
      <w:r w:rsidRPr="00F7116C">
        <w:t>)</w:t>
      </w:r>
      <w:r w:rsidRPr="00F7116C">
        <w:tab/>
        <w:t>zagwarantowali</w:t>
      </w:r>
      <w:proofErr w:type="gramEnd"/>
      <w:r w:rsidRPr="00F7116C">
        <w:t xml:space="preserve">, że działalność przedsiębiorstw mających siedziby w UE, prowadzona w Indiach lub z nimi związana, będzie ściśle zgodna z odpowiednimi przepisami UE, w tym z przyszłą dyrektywą w sprawie zrównoważonego rozwoju przedsiębiorstw i należytej staranności oraz przyszłym rozporządzeniem w sprawie pracy przymusowej; podjęli kroki w celu zapewnienia, aby cała działalność gospodarcza związana z UE i przemysłem wydobywczym obejmowała solidne i uczciwe ramy konsultacji, które są zgodne z prawem do dobrowolnej, uprzedniej i świadomej zgody każdej ludności rdzennej, na którą ma ona wpływ; wezwali Indie, aby ratyfikowały Konwencję ONZ w sprawie zakazu stosowania tortur oraz innego okrutnego, nieludzkiego lub poniżającego </w:t>
      </w:r>
      <w:proofErr w:type="gramStart"/>
      <w:r w:rsidRPr="00F7116C">
        <w:t>traktowania</w:t>
      </w:r>
      <w:proofErr w:type="gramEnd"/>
      <w:r w:rsidRPr="00F7116C">
        <w:t xml:space="preserve"> albo karania i protokół fakultatywny do niej oraz konwencję ONZ o ochronie wszystkich osób przed wymuszonym zaginięciem;</w:t>
      </w:r>
    </w:p>
    <w:p w:rsidR="00BC7791" w:rsidRPr="00F7116C" w:rsidRDefault="00BC7791" w:rsidP="00BC7791">
      <w:pPr>
        <w:pStyle w:val="NormalHanging12a"/>
        <w:rPr>
          <w:szCs w:val="24"/>
        </w:rPr>
      </w:pPr>
      <w:proofErr w:type="spellStart"/>
      <w:r w:rsidRPr="00F7116C">
        <w:t>ai</w:t>
      </w:r>
      <w:proofErr w:type="spellEnd"/>
      <w:proofErr w:type="gramStart"/>
      <w:r w:rsidRPr="00F7116C">
        <w:t>)</w:t>
      </w:r>
      <w:r w:rsidRPr="00F7116C">
        <w:tab/>
        <w:t>zachęcali</w:t>
      </w:r>
      <w:proofErr w:type="gramEnd"/>
      <w:r w:rsidRPr="00F7116C">
        <w:t xml:space="preserve"> Indie do dalszego wspierania wysiłków na rzecz międzynarodowego wymiaru </w:t>
      </w:r>
      <w:r w:rsidRPr="00F7116C">
        <w:lastRenderedPageBreak/>
        <w:t>sprawiedliwości przez przyjęcie Rzymskiego statutu Międzynarodowego Trybunału Karnego;</w:t>
      </w:r>
    </w:p>
    <w:p w:rsidR="00BC7791" w:rsidRPr="00F7116C" w:rsidRDefault="00BC7791" w:rsidP="00BC7791">
      <w:pPr>
        <w:pStyle w:val="NormalHanging12a"/>
      </w:pPr>
      <w:r w:rsidRPr="00F7116C">
        <w:t>aj</w:t>
      </w:r>
      <w:proofErr w:type="gramStart"/>
      <w:r w:rsidRPr="00F7116C">
        <w:t>)</w:t>
      </w:r>
      <w:r w:rsidRPr="00F7116C">
        <w:tab/>
        <w:t>podnieśli</w:t>
      </w:r>
      <w:proofErr w:type="gramEnd"/>
      <w:r w:rsidRPr="00F7116C">
        <w:t xml:space="preserve"> rangę dialogu UE–Indie na temat praw człowieka do dialogu odbywającego się dwa razy w roku na szczeblu centralnym oraz dążyli do uczynienia go konstruktywnym przez obecność wysokiej rangi uczestników oraz określenie konkretnych zobowiązań i poziomów odniesienia dla postępów, przy czym należy zajmować się indywidualnymi przypadkami zgodnie z wytycznymi UE w sprawie dialogu na temat praw człowieka; ułatwiali prowadzenie dialogu na poziomie społeczeństwa obywatelskiego między UE a Indiami przed podjęciem dialogu na poziomie międzyrządowym; wzmocnili powiązania między dialogiem i współpracą na forach wielostronnych; dopilnowali, aby Europejska Służba Działań Zewnętrznych regularnie składała Parlamentowi sprawozdania z osiągniętych wyników;</w:t>
      </w:r>
    </w:p>
    <w:p w:rsidR="00BC7791" w:rsidRPr="00F7116C" w:rsidRDefault="00BC7791" w:rsidP="00BC7791">
      <w:pPr>
        <w:pStyle w:val="NormalHanging12a"/>
      </w:pPr>
      <w:proofErr w:type="spellStart"/>
      <w:r w:rsidRPr="00F7116C">
        <w:t>ak</w:t>
      </w:r>
      <w:proofErr w:type="spellEnd"/>
      <w:proofErr w:type="gramStart"/>
      <w:r w:rsidRPr="00F7116C">
        <w:t>)</w:t>
      </w:r>
      <w:r w:rsidRPr="00F7116C">
        <w:tab/>
        <w:t>nalegali</w:t>
      </w:r>
      <w:proofErr w:type="gramEnd"/>
      <w:r w:rsidRPr="00F7116C">
        <w:t>, aby umowa o wolnym handlu z Indiami opierała się na uprzedniej, dokładnej, skutecznej i kompleksowej ocenie skutków dla praw człowieka i ocenie wpływu na zrównoważony rozwój przeprowadzonych przez obie strony, ze szczególnym uwzględnieniem potencjalnego wpływu na najsłabsze grupy społeczne; uwzględniali organizacje społeczeństwa obywatelskiego, w tym związki zawodowe, i obrońców praw człowieka podczas negocjacji dotyczących wszelkich ważnych umów dwustronnych; ponownie podkreślili potrzebę podjęcia działań w związku z długoletnim stanowiskiem Parlamentu w sprawie znaczenia możliwego do wyegzekwowania i solidnego rozdziału dotyczącego handlu i zrównoważonego rozwoju, dostosowanego do porozumienia paryskiego;</w:t>
      </w:r>
    </w:p>
    <w:p w:rsidR="00BC7791" w:rsidRPr="00F7116C" w:rsidRDefault="00BC7791" w:rsidP="00BC7791">
      <w:pPr>
        <w:pStyle w:val="NormalHanging12a"/>
      </w:pPr>
      <w:r w:rsidRPr="00F7116C">
        <w:t>al</w:t>
      </w:r>
      <w:proofErr w:type="gramStart"/>
      <w:r w:rsidRPr="00F7116C">
        <w:t>)</w:t>
      </w:r>
      <w:r w:rsidRPr="00F7116C">
        <w:tab/>
        <w:t>pracowali</w:t>
      </w:r>
      <w:proofErr w:type="gramEnd"/>
      <w:r w:rsidRPr="00F7116C">
        <w:t xml:space="preserve"> na rzecz osiągnięcia wspólnych i korzystnych dla obu stron celów w obszarach handlu i inwestycji, które mogłyby przyczynić się do wzrostu gospodarczego i innowacji, przy zachowaniu zgodności z powszechnymi prawami człowieka, w tym prawami pracowniczymi, i przyczynianiu się do ich poszanowania; promowali walkę ze zmianą klimatu i osiągnięcie celów zrównoważonego rozwoju określonych w Agendzie 2030;</w:t>
      </w:r>
    </w:p>
    <w:p w:rsidR="00BC7791" w:rsidRPr="00F7116C" w:rsidRDefault="00BC7791" w:rsidP="00BC7791">
      <w:pPr>
        <w:pStyle w:val="NormalHanging12a"/>
        <w:rPr>
          <w:szCs w:val="24"/>
        </w:rPr>
      </w:pPr>
      <w:proofErr w:type="spellStart"/>
      <w:r w:rsidRPr="00F7116C">
        <w:t>am</w:t>
      </w:r>
      <w:proofErr w:type="spellEnd"/>
      <w:proofErr w:type="gramStart"/>
      <w:r w:rsidRPr="00F7116C">
        <w:t>)</w:t>
      </w:r>
      <w:r w:rsidRPr="00F7116C">
        <w:tab/>
        <w:t>jak</w:t>
      </w:r>
      <w:proofErr w:type="gramEnd"/>
      <w:r w:rsidRPr="00F7116C">
        <w:t xml:space="preserve"> najlepiej wykorzystali zaangażowanie Indii na rzecz multilateralizmu i międzynarodowego ładu handlowego opartego na zasadach; promowali decydującą rolę Indii w bieżących wysiłkach na rzecz reformy Światowej Organizacji Handlu;</w:t>
      </w:r>
    </w:p>
    <w:p w:rsidR="00BC7791" w:rsidRPr="00F7116C" w:rsidRDefault="00BC7791" w:rsidP="00BC7791">
      <w:pPr>
        <w:pStyle w:val="NormalHanging12a"/>
      </w:pPr>
      <w:r w:rsidRPr="00F7116C">
        <w:rPr>
          <w:b/>
          <w:i/>
        </w:rPr>
        <w:t>Współpraca w kwestiach klimatycznych, energetycznych i cyfrowych </w:t>
      </w:r>
    </w:p>
    <w:p w:rsidR="00BC7791" w:rsidRPr="00F7116C" w:rsidRDefault="00BC7791" w:rsidP="00BC7791">
      <w:pPr>
        <w:pStyle w:val="NormalHanging12a"/>
        <w:rPr>
          <w:szCs w:val="24"/>
        </w:rPr>
      </w:pPr>
      <w:proofErr w:type="spellStart"/>
      <w:r w:rsidRPr="00F7116C">
        <w:t>an</w:t>
      </w:r>
      <w:proofErr w:type="spellEnd"/>
      <w:proofErr w:type="gramStart"/>
      <w:r w:rsidRPr="00F7116C">
        <w:t>)</w:t>
      </w:r>
      <w:r w:rsidRPr="00F7116C">
        <w:tab/>
        <w:t>z</w:t>
      </w:r>
      <w:proofErr w:type="gramEnd"/>
      <w:r w:rsidRPr="00F7116C">
        <w:t xml:space="preserve"> zadowoleniem przyjęli partnerstwo UE–Indie w zakresie </w:t>
      </w:r>
      <w:proofErr w:type="spellStart"/>
      <w:r w:rsidRPr="00F7116C">
        <w:t>konektywności</w:t>
      </w:r>
      <w:proofErr w:type="spellEnd"/>
      <w:r w:rsidRPr="00F7116C">
        <w:t xml:space="preserve"> oraz przewidziane w nim zobowiązanie do wspierania zrównoważonych sieci cyfrowych, transportowych i energetycznych dla przepływu towarów, usług, danych i kapitału oraz wymiany osób, co przyczyni się do realizacji szerszej unijnej strategii Global Gateway; zauważyli, że partnerstwo w zakresie </w:t>
      </w:r>
      <w:proofErr w:type="spellStart"/>
      <w:r w:rsidRPr="00F7116C">
        <w:t>konektywności</w:t>
      </w:r>
      <w:proofErr w:type="spellEnd"/>
      <w:r w:rsidRPr="00F7116C">
        <w:t xml:space="preserve"> stało się jednym z najważniejszych aspektów partnerstwa UE–Indie; przyjęli do wiadomości zaangażowanie UE w partnerstwo na rzecz globalnej infrastruktury i inwestycji zapoczątkowane na szczycie G-20 w Nowym Delhi, i podkreślali, że powinno ono być należycie skoordynowane ze strategią Global Gateway, a także z partnerstwem G-7 na rzecz globalnej infrastruktury i </w:t>
      </w:r>
      <w:proofErr w:type="gramStart"/>
      <w:r w:rsidRPr="00F7116C">
        <w:t>inwestycji</w:t>
      </w:r>
      <w:proofErr w:type="gramEnd"/>
      <w:r w:rsidRPr="00F7116C">
        <w:t xml:space="preserve">; nalegali na rygorystyczną ocenę wpływu projektów finansowanych w ramach partnerstwa na zrównoważony rozwój i skuteczną ocenę skutków dla praw człowieka, w tym ich rentowności i przejrzystości, z zapewnieniem przedsiębiorstwom równych warunków działania oraz poszanowania </w:t>
      </w:r>
      <w:r w:rsidRPr="00F7116C">
        <w:lastRenderedPageBreak/>
        <w:t>praw człowieka, praw pracowniczych i norm środowiskowych;</w:t>
      </w:r>
    </w:p>
    <w:p w:rsidR="00BC7791" w:rsidRPr="00F7116C" w:rsidRDefault="00BC7791" w:rsidP="00BC7791">
      <w:pPr>
        <w:pStyle w:val="NormalHanging12a"/>
      </w:pPr>
      <w:proofErr w:type="spellStart"/>
      <w:r w:rsidRPr="00F7116C">
        <w:t>ao</w:t>
      </w:r>
      <w:proofErr w:type="spellEnd"/>
      <w:proofErr w:type="gramStart"/>
      <w:r w:rsidRPr="00F7116C">
        <w:t>)</w:t>
      </w:r>
      <w:r w:rsidRPr="00F7116C">
        <w:tab/>
        <w:t>zacieśnili</w:t>
      </w:r>
      <w:proofErr w:type="gramEnd"/>
      <w:r w:rsidRPr="00F7116C">
        <w:t xml:space="preserve"> współpracę z Indiami w kwestiach klimatycznych i energetycznych, jako że kraj ten jest bardzo ważnym partnerem w globalnej walce ze zmianą klimatu i degradacją różnorodności biologicznej oraz w transformacji ekologicznej w kierunku odnawialnych źródeł energii i neutralności klimatycznej, aby należycie uwzględnić wpływ tych kwestii na najsłabszych; uznali, że Indie stanowią ważny przykład dla świata, ponieważ pokazują, że możliwe jest jednoczesne przeciwdziałanie zmianie klimatu i realizowanie programu rozwoju;</w:t>
      </w:r>
    </w:p>
    <w:p w:rsidR="00BC7791" w:rsidRPr="00F7116C" w:rsidRDefault="00BC7791" w:rsidP="00BC7791">
      <w:pPr>
        <w:pStyle w:val="NormalHanging12a"/>
      </w:pPr>
      <w:proofErr w:type="spellStart"/>
      <w:r w:rsidRPr="00F7116C">
        <w:t>ap</w:t>
      </w:r>
      <w:proofErr w:type="spellEnd"/>
      <w:proofErr w:type="gramStart"/>
      <w:r w:rsidRPr="00F7116C">
        <w:t>)</w:t>
      </w:r>
      <w:r w:rsidRPr="00F7116C">
        <w:tab/>
        <w:t>dawali</w:t>
      </w:r>
      <w:proofErr w:type="gramEnd"/>
      <w:r w:rsidRPr="00F7116C">
        <w:t xml:space="preserve"> przykład, w jaki sposób równouprawnienie płci i prawa społeczności tubylczych taktuje się priorytetowo przy realizacji celów w zakresie różnorodności biologicznej; zachęcali do współpracy partnerskiej w promowaniu ambitnego wspólnego programu i globalnych działań na rzecz różnorodności biologicznej; prowadzili dialog z Indiami na temat wyzwań związanych z globalnymi zobowiązaniami w obszarze wylesiania, szybkiej urbanizacji i rozwoju przemysłowego;</w:t>
      </w:r>
    </w:p>
    <w:p w:rsidR="00BC7791" w:rsidRPr="00F7116C" w:rsidRDefault="00BC7791" w:rsidP="00BC7791">
      <w:pPr>
        <w:pStyle w:val="NormalHanging12a"/>
      </w:pPr>
      <w:proofErr w:type="spellStart"/>
      <w:r w:rsidRPr="00F7116C">
        <w:t>aq</w:t>
      </w:r>
      <w:proofErr w:type="spellEnd"/>
      <w:proofErr w:type="gramStart"/>
      <w:r w:rsidRPr="00F7116C">
        <w:t>)</w:t>
      </w:r>
      <w:r w:rsidRPr="00F7116C">
        <w:tab/>
        <w:t>z</w:t>
      </w:r>
      <w:proofErr w:type="gramEnd"/>
      <w:r w:rsidRPr="00F7116C">
        <w:t xml:space="preserve"> zadowoleniem przyjęli przywództwo Indii i rozszerzenie koalicji na rzecz infrastruktury odpornej na klęski żywiołowe, zachęcającej do globalnych inwestycji i skoordynowanej polityki odporności na zmianę klimatu i klęski żywiołowe; z zadowoleniem przyjęli fakt, że zarówno UE, jak i Europejski Bank Inwestycyjny są obecnie członkami koalicji, i wnoszą w ten sposób wkład w partnerstwo UE–Indie w zakresie </w:t>
      </w:r>
      <w:proofErr w:type="spellStart"/>
      <w:r w:rsidRPr="00F7116C">
        <w:t>konektywności</w:t>
      </w:r>
      <w:proofErr w:type="spellEnd"/>
      <w:r w:rsidRPr="00F7116C">
        <w:t xml:space="preserve"> oraz we wdrażanie unijnej strategii Global Gateway;</w:t>
      </w:r>
    </w:p>
    <w:p w:rsidR="00BC7791" w:rsidRPr="00F7116C" w:rsidRDefault="00BC7791" w:rsidP="00BC7791">
      <w:pPr>
        <w:pStyle w:val="NormalHanging12a"/>
      </w:pPr>
      <w:r w:rsidRPr="00F7116C">
        <w:t>ar</w:t>
      </w:r>
      <w:proofErr w:type="gramStart"/>
      <w:r w:rsidRPr="00F7116C">
        <w:t>)</w:t>
      </w:r>
      <w:r w:rsidRPr="00F7116C">
        <w:tab/>
        <w:t>wyrazili</w:t>
      </w:r>
      <w:proofErr w:type="gramEnd"/>
      <w:r w:rsidRPr="00F7116C">
        <w:t xml:space="preserve"> zadowolenie i wezwali do dalszych postępów w ramach partnerstwa UE–Indie na rzecz czystej energii i klimatu w obszarach energii ze źródeł odnawialnych, efektywności energetycznej i zmiany klimatu, mając na uwadze, że w ciągu najbliższych dwudziestu lat potrzeby energetyczne Indii mają wzrosnąć ponad dwukrotnie; zachęcali do dalszych inwestycji w Indiach, aby zapewnić bezpieczną i zrównoważoną energię po przystępnej cenie oraz sprawić, że Indie osiągną swoje ambitne cele w zakresie energii ze źródeł odnawialnych; kontynuowali wysiłki na rzecz dalszego rozwoju współpracy między UE a Indiami w dziedzinie energii słonecznej i wodoru; prowadzili dialog z Indiami w sprawie zrównoważonego rozwoju </w:t>
      </w:r>
      <w:proofErr w:type="gramStart"/>
      <w:r w:rsidRPr="00F7116C">
        <w:t>i</w:t>
      </w:r>
      <w:proofErr w:type="gramEnd"/>
      <w:r w:rsidRPr="00F7116C">
        <w:t xml:space="preserve"> ryzyka środowiskowego, zwłaszcza w odniesieniu do zielonych inwestycji, zanieczyszczenia powietrza, jakości zasobów wodnych oraz gospodarki wodnej; zapewniali w tym zakresie pomoc techniczną; wspólnie zajęli się skutkami mechanizmu dostosowywania cen na granicach z uwzględnieniem emisji CO2;</w:t>
      </w:r>
    </w:p>
    <w:p w:rsidR="00BC7791" w:rsidRPr="00F7116C" w:rsidRDefault="00BC7791" w:rsidP="00BC7791">
      <w:pPr>
        <w:pStyle w:val="NormalHanging12a"/>
        <w:rPr>
          <w:szCs w:val="24"/>
        </w:rPr>
      </w:pPr>
      <w:r w:rsidRPr="00F7116C">
        <w:t>as</w:t>
      </w:r>
      <w:proofErr w:type="gramStart"/>
      <w:r w:rsidRPr="00F7116C">
        <w:t>)</w:t>
      </w:r>
      <w:r w:rsidRPr="00F7116C">
        <w:tab/>
        <w:t>zintensyfikowali</w:t>
      </w:r>
      <w:proofErr w:type="gramEnd"/>
      <w:r w:rsidRPr="00F7116C">
        <w:t xml:space="preserve"> współpracę z Indiami w takich kwestiach jak stany zagrożenia zdrowia, produkty farmaceutyczne i innowacje cyfrowe w dziedzinie zdrowia, aby zapewnić w Indiach – jako największym producencie i eksporterze leków generycznych oraz aktywnym podmiocie w dziedzinie zdrowia na świecie na forach wielostronnych – powszechne zabezpieczenie zdrowotne; działali zgodnie z zobowiązaniem do ożywienia współpracy w zakresie badań i innowacji w dziedzinie zdrowia; zwiększyli wysiłki na rzecz znalezienia szybkiego rozwiązania, które nie wpłynie negatywnie na kwestie merytoryczne, w kwestii powszechnego dostępu do niedrogich produktów farmaceutycznych;</w:t>
      </w:r>
    </w:p>
    <w:p w:rsidR="00BC7791" w:rsidRPr="00F7116C" w:rsidRDefault="00BC7791" w:rsidP="00BC7791">
      <w:pPr>
        <w:pStyle w:val="NormalHanging12a"/>
        <w:ind w:left="1440" w:hanging="873"/>
        <w:rPr>
          <w:szCs w:val="24"/>
        </w:rPr>
      </w:pPr>
      <w:r w:rsidRPr="00F7116C">
        <w:t xml:space="preserve"> </w:t>
      </w:r>
      <w:proofErr w:type="spellStart"/>
      <w:r w:rsidRPr="00F7116C">
        <w:t>at</w:t>
      </w:r>
      <w:proofErr w:type="spellEnd"/>
      <w:proofErr w:type="gramStart"/>
      <w:r w:rsidRPr="00F7116C">
        <w:t>)</w:t>
      </w:r>
      <w:r w:rsidRPr="00F7116C">
        <w:tab/>
        <w:t>z</w:t>
      </w:r>
      <w:proofErr w:type="gramEnd"/>
      <w:r w:rsidRPr="00F7116C">
        <w:t xml:space="preserve"> zadowoleniem przyjęli ustanowienie Rady ds. Handlu i Technologii i skutecznie ją wykorzystali; uznali znaczny potencjał kwestii cyfrowych – takich jak infrastruktura cyfrowa i łączność, polityka cyfrowa, ochrona i </w:t>
      </w:r>
      <w:r w:rsidRPr="00F7116C">
        <w:lastRenderedPageBreak/>
        <w:t xml:space="preserve">przepływ danych oraz </w:t>
      </w:r>
      <w:proofErr w:type="spellStart"/>
      <w:r w:rsidRPr="00F7116C">
        <w:t>cyberbezpieczeństwo</w:t>
      </w:r>
      <w:proofErr w:type="spellEnd"/>
      <w:r w:rsidRPr="00F7116C">
        <w:t xml:space="preserve"> – w partnerstwie UE–Indie; zacieśnili współpracę w zakresie obliczeń wielkiej skali i technologii kwantowych, a tym samym zadbali o postęp w rozwiązaniach technologicznych w wielu sektorach; uznali, że mając wsparcie Indii, UE jest lepiej przygotowana do rozwijania globalnych standardów w sektorze cyfrowym; odnotowali różnice w poglądach UE i Indii na temat ochrony danych i transgranicznego przekazywania danych; wyrazili zaniepokojenie faktem, że Indie łączą ochronę danych ze swoim </w:t>
      </w:r>
      <w:proofErr w:type="gramStart"/>
      <w:r w:rsidRPr="00F7116C">
        <w:t>bezpieczeństwem</w:t>
      </w:r>
      <w:proofErr w:type="gramEnd"/>
      <w:r w:rsidRPr="00F7116C">
        <w:t xml:space="preserve"> narodowym, co tworzy przeszkodę w dostosowaniu indyjskich i europejskich przepisów dotyczących danych; zachęcali jednak do pracy nad ustanowieniem wspólnych standardów, które chronią prywatność i dane, zapewniają odpowiednie zabezpieczenia i ułatwiają nowoczesne stosunki handlowe i współpracę w zakresie bezpieczeństwa;</w:t>
      </w:r>
    </w:p>
    <w:p w:rsidR="00BC7791" w:rsidRPr="00F7116C" w:rsidRDefault="00BC7791" w:rsidP="00BC7791">
      <w:pPr>
        <w:pStyle w:val="NormalHanging12a"/>
      </w:pPr>
      <w:r w:rsidRPr="00F7116C">
        <w:t>au</w:t>
      </w:r>
      <w:proofErr w:type="gramStart"/>
      <w:r w:rsidRPr="00F7116C">
        <w:t>)</w:t>
      </w:r>
      <w:r w:rsidRPr="00F7116C">
        <w:tab/>
        <w:t>współpracowali</w:t>
      </w:r>
      <w:proofErr w:type="gramEnd"/>
      <w:r w:rsidRPr="00F7116C">
        <w:t xml:space="preserve"> z Indiami w prowadzeniu globalnego dyskursu na temat bezpiecznego, etycznego i odpowiedzialnego wykorzystania sztucznej inteligencji oraz rozwijali sztuczną inteligencję opartą na prawach człowieka; zachęcali do wspólnych wysiłków na rzecz wyznaczenia międzynarodowych standardów i wytycznych dotyczących odpowiedzialnego wdrażania sztucznej inteligencji, które priorytetowo traktują kwestie praw człowieka i względy etyczne;</w:t>
      </w:r>
    </w:p>
    <w:p w:rsidR="00BC7791" w:rsidRPr="00F7116C" w:rsidRDefault="00BC7791" w:rsidP="00BC7791">
      <w:pPr>
        <w:pStyle w:val="NormalHanging12a"/>
        <w:rPr>
          <w:szCs w:val="24"/>
        </w:rPr>
      </w:pPr>
      <w:proofErr w:type="spellStart"/>
      <w:r w:rsidRPr="00F7116C">
        <w:t>av</w:t>
      </w:r>
      <w:proofErr w:type="spellEnd"/>
      <w:proofErr w:type="gramStart"/>
      <w:r w:rsidRPr="00F7116C">
        <w:t>)</w:t>
      </w:r>
      <w:r w:rsidRPr="00F7116C">
        <w:tab/>
        <w:t>poczynili</w:t>
      </w:r>
      <w:proofErr w:type="gramEnd"/>
      <w:r w:rsidRPr="00F7116C">
        <w:t xml:space="preserve"> postępy w realizacji wspólnego zobowiązania, aby nie ograniczać ani nie zakazywać wybiórczo działalności platform mediów społecznościowych i nie ograniczać wolności wypowiedzi w </w:t>
      </w:r>
      <w:proofErr w:type="spellStart"/>
      <w:r w:rsidRPr="00F7116C">
        <w:t>internecie</w:t>
      </w:r>
      <w:proofErr w:type="spellEnd"/>
      <w:r w:rsidRPr="00F7116C">
        <w:t xml:space="preserve"> ani nie odcinać całkowicie dostępu do </w:t>
      </w:r>
      <w:proofErr w:type="spellStart"/>
      <w:r w:rsidRPr="00F7116C">
        <w:t>internetu</w:t>
      </w:r>
      <w:proofErr w:type="spellEnd"/>
      <w:r w:rsidRPr="00F7116C">
        <w:t xml:space="preserve"> i telekomunikacji, a jednocześnie określili wspólne standardy dla gospodarki cyfrowej, które powinny być oparte na prawach człowieka; wyraża zaniepokojenie doniesieniami o zakupie i stosowaniu przez rząd indyjski oprogramowania szpiegowskiego, a także setkami fałszywych mediów i organizacji pozarządowych kontrolowanych przez rząd, w tym również z myślą o atakowaniu instytucji międzynarodowych;</w:t>
      </w:r>
    </w:p>
    <w:p w:rsidR="00BC7791" w:rsidRPr="00F7116C" w:rsidRDefault="00BC7791" w:rsidP="00BC7791">
      <w:pPr>
        <w:pStyle w:val="NormalHanging12a"/>
        <w:rPr>
          <w:szCs w:val="24"/>
        </w:rPr>
      </w:pPr>
      <w:proofErr w:type="spellStart"/>
      <w:r w:rsidRPr="00F7116C">
        <w:t>aw</w:t>
      </w:r>
      <w:proofErr w:type="spellEnd"/>
      <w:proofErr w:type="gramStart"/>
      <w:r w:rsidRPr="00F7116C">
        <w:t>)</w:t>
      </w:r>
      <w:r w:rsidRPr="00F7116C">
        <w:tab/>
        <w:t>zachęcali</w:t>
      </w:r>
      <w:proofErr w:type="gramEnd"/>
      <w:r w:rsidRPr="00F7116C">
        <w:t xml:space="preserve"> UE i Indie do zacieśnienia współpracy w dziedzinie nauki i technologii, zwłaszcza przez tworzenie powiązań między projektami europejskimi i inicjatywami indyjskimi w obszarze zielonych technologii, infrastruktury wodnej i innowacji cyfrowych;</w:t>
      </w:r>
    </w:p>
    <w:p w:rsidR="00BC7791" w:rsidRPr="00F7116C" w:rsidRDefault="00BC7791" w:rsidP="00BC7791">
      <w:pPr>
        <w:pStyle w:val="NormalHanging12a"/>
      </w:pPr>
      <w:proofErr w:type="spellStart"/>
      <w:r w:rsidRPr="00F7116C">
        <w:t>ax</w:t>
      </w:r>
      <w:proofErr w:type="spellEnd"/>
      <w:proofErr w:type="gramStart"/>
      <w:r w:rsidRPr="00F7116C">
        <w:t>)</w:t>
      </w:r>
      <w:r w:rsidRPr="00F7116C">
        <w:tab/>
        <w:t>w</w:t>
      </w:r>
      <w:proofErr w:type="gramEnd"/>
      <w:r w:rsidRPr="00F7116C">
        <w:t xml:space="preserve"> dalszym ciągu ułatwiali mobilność między UE a Indiami, w tym mobilność naukowców, migrantów zarobkowych, studentów, wysoko wykwalifikowanych pracowników i artystów, a także kontakty międzyludzkie we wszystkich sektorach istotnych dla partnerstwa UE–Indie;</w:t>
      </w:r>
    </w:p>
    <w:p w:rsidR="00BC7791" w:rsidRPr="00F7116C" w:rsidRDefault="00BC7791" w:rsidP="00BC7791">
      <w:pPr>
        <w:pStyle w:val="NormalHanging12a"/>
        <w:jc w:val="center"/>
        <w:rPr>
          <w:szCs w:val="24"/>
        </w:rPr>
      </w:pPr>
      <w:r w:rsidRPr="00F7116C">
        <w:t>°</w:t>
      </w:r>
    </w:p>
    <w:p w:rsidR="00BC7791" w:rsidRPr="00F7116C" w:rsidRDefault="00BC7791" w:rsidP="00BC7791">
      <w:pPr>
        <w:pStyle w:val="NormalHanging12a"/>
        <w:jc w:val="center"/>
        <w:rPr>
          <w:szCs w:val="24"/>
        </w:rPr>
      </w:pPr>
      <w:r w:rsidRPr="00F7116C">
        <w:t>°</w:t>
      </w:r>
      <w:r w:rsidRPr="00F7116C">
        <w:tab/>
        <w:t>°</w:t>
      </w:r>
    </w:p>
    <w:p w:rsidR="00BC7791" w:rsidRPr="00F7116C" w:rsidRDefault="00BC7791" w:rsidP="00BC7791">
      <w:pPr>
        <w:pStyle w:val="NormalHanging12a"/>
      </w:pPr>
      <w:r w:rsidRPr="00F7116C">
        <w:t>2.</w:t>
      </w:r>
      <w:r w:rsidRPr="00F7116C">
        <w:tab/>
      </w:r>
      <w:proofErr w:type="gramStart"/>
      <w:r w:rsidRPr="00F7116C">
        <w:t>zobowiązuje</w:t>
      </w:r>
      <w:proofErr w:type="gramEnd"/>
      <w:r w:rsidRPr="00F7116C">
        <w:t xml:space="preserve"> swoją przewodniczącą do przekazania niniejszej rezolucji Radzie, Komisji oraz wiceprzewodniczącemu Komisji / wysokiemu przedstawicielowi Unii do spraw zagranicznych i polityki bezpieczeństwa, a także organom ustawodawczym i rządowi Indii.</w:t>
      </w:r>
    </w:p>
    <w:sectPr w:rsidR="00BC7791" w:rsidRPr="00F7116C" w:rsidSect="00F711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CCE" w:rsidRPr="00F7116C" w:rsidRDefault="00CE2CCE">
      <w:r w:rsidRPr="00F7116C">
        <w:separator/>
      </w:r>
    </w:p>
  </w:endnote>
  <w:endnote w:type="continuationSeparator" w:id="0">
    <w:p w:rsidR="00CE2CCE" w:rsidRPr="00F7116C" w:rsidRDefault="00CE2CCE">
      <w:r w:rsidRPr="00F711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116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116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116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CCE" w:rsidRPr="00F7116C" w:rsidRDefault="00CE2CCE">
      <w:r w:rsidRPr="00F7116C">
        <w:separator/>
      </w:r>
    </w:p>
  </w:footnote>
  <w:footnote w:type="continuationSeparator" w:id="0">
    <w:p w:rsidR="00CE2CCE" w:rsidRPr="00F7116C" w:rsidRDefault="00CE2CCE">
      <w:r w:rsidRPr="00F7116C">
        <w:continuationSeparator/>
      </w:r>
    </w:p>
  </w:footnote>
  <w:footnote w:id="1">
    <w:p w:rsidR="00BC7791" w:rsidRPr="00F7116C" w:rsidRDefault="00BC7791" w:rsidP="00F7116C">
      <w:pPr>
        <w:pStyle w:val="FootnoteText"/>
        <w:ind w:left="567" w:hanging="567"/>
        <w:rPr>
          <w:sz w:val="24"/>
          <w:lang w:val="pl-PL"/>
        </w:rPr>
      </w:pPr>
      <w:r w:rsidRPr="00F7116C">
        <w:rPr>
          <w:rStyle w:val="FootnoteReference"/>
          <w:sz w:val="24"/>
          <w:lang w:val="pl-PL"/>
        </w:rPr>
        <w:footnoteRef/>
      </w:r>
      <w:r w:rsidR="00F7116C" w:rsidRPr="00F7116C">
        <w:rPr>
          <w:sz w:val="24"/>
          <w:lang w:val="pl-PL"/>
        </w:rPr>
        <w:t xml:space="preserve"> </w:t>
      </w:r>
      <w:r w:rsidR="00F7116C" w:rsidRPr="00F7116C">
        <w:rPr>
          <w:sz w:val="24"/>
          <w:lang w:val="pl-PL"/>
        </w:rPr>
        <w:tab/>
      </w:r>
      <w:r w:rsidRPr="00F7116C">
        <w:rPr>
          <w:sz w:val="24"/>
          <w:lang w:val="pl-PL"/>
        </w:rPr>
        <w:t xml:space="preserve">Dz.U. L 223 z 27.8.1994, </w:t>
      </w:r>
      <w:proofErr w:type="gramStart"/>
      <w:r w:rsidRPr="00F7116C">
        <w:rPr>
          <w:sz w:val="24"/>
          <w:lang w:val="pl-PL"/>
        </w:rPr>
        <w:t>s</w:t>
      </w:r>
      <w:proofErr w:type="gramEnd"/>
      <w:r w:rsidRPr="00F7116C">
        <w:rPr>
          <w:sz w:val="24"/>
          <w:lang w:val="pl-PL"/>
        </w:rPr>
        <w:t>. 24.</w:t>
      </w:r>
    </w:p>
  </w:footnote>
  <w:footnote w:id="2">
    <w:p w:rsidR="00BC7791" w:rsidRPr="00F7116C" w:rsidRDefault="00BC7791" w:rsidP="00F7116C">
      <w:pPr>
        <w:pStyle w:val="FootnoteText"/>
        <w:ind w:left="567" w:hanging="567"/>
        <w:rPr>
          <w:sz w:val="24"/>
          <w:lang w:val="pl-PL"/>
        </w:rPr>
      </w:pPr>
      <w:r w:rsidRPr="00F7116C">
        <w:rPr>
          <w:rStyle w:val="FootnoteReference"/>
          <w:sz w:val="24"/>
          <w:lang w:val="pl-PL"/>
        </w:rPr>
        <w:footnoteRef/>
      </w:r>
      <w:r w:rsidR="00F7116C" w:rsidRPr="00F7116C">
        <w:rPr>
          <w:sz w:val="24"/>
          <w:lang w:val="pl-PL"/>
        </w:rPr>
        <w:t xml:space="preserve"> </w:t>
      </w:r>
      <w:r w:rsidR="00F7116C" w:rsidRPr="00F7116C">
        <w:rPr>
          <w:sz w:val="24"/>
          <w:lang w:val="pl-PL"/>
        </w:rPr>
        <w:tab/>
      </w:r>
      <w:r w:rsidRPr="00F7116C">
        <w:rPr>
          <w:sz w:val="24"/>
          <w:lang w:val="pl-PL"/>
        </w:rPr>
        <w:t xml:space="preserve">Dz.U. L 209 z 14.6.2021, </w:t>
      </w:r>
      <w:proofErr w:type="gramStart"/>
      <w:r w:rsidRPr="00F7116C">
        <w:rPr>
          <w:sz w:val="24"/>
          <w:lang w:val="pl-PL"/>
        </w:rPr>
        <w:t>s</w:t>
      </w:r>
      <w:proofErr w:type="gramEnd"/>
      <w:r w:rsidRPr="00F7116C">
        <w:rPr>
          <w:sz w:val="24"/>
          <w:lang w:val="pl-PL"/>
        </w:rPr>
        <w:t>. 1.</w:t>
      </w:r>
    </w:p>
  </w:footnote>
  <w:footnote w:id="3">
    <w:p w:rsidR="00BC7791" w:rsidRPr="00F7116C" w:rsidRDefault="00BC7791" w:rsidP="00F7116C">
      <w:pPr>
        <w:pStyle w:val="FootnoteText"/>
        <w:ind w:left="567" w:hanging="567"/>
        <w:rPr>
          <w:sz w:val="24"/>
          <w:lang w:val="pl-PL"/>
        </w:rPr>
      </w:pPr>
      <w:r w:rsidRPr="00F7116C">
        <w:rPr>
          <w:rStyle w:val="FootnoteReference"/>
          <w:sz w:val="24"/>
          <w:lang w:val="pl-PL"/>
        </w:rPr>
        <w:footnoteRef/>
      </w:r>
      <w:r w:rsidR="00F7116C" w:rsidRPr="00F7116C">
        <w:rPr>
          <w:sz w:val="24"/>
          <w:lang w:val="pl-PL"/>
        </w:rPr>
        <w:t xml:space="preserve"> </w:t>
      </w:r>
      <w:r w:rsidR="00F7116C" w:rsidRPr="00F7116C">
        <w:rPr>
          <w:sz w:val="24"/>
          <w:lang w:val="pl-PL"/>
        </w:rPr>
        <w:tab/>
      </w:r>
      <w:r w:rsidRPr="00F7116C">
        <w:rPr>
          <w:sz w:val="24"/>
          <w:lang w:val="pl-PL"/>
        </w:rPr>
        <w:t xml:space="preserve">Dz.U. C 456 z 10.11.2021, </w:t>
      </w:r>
      <w:proofErr w:type="gramStart"/>
      <w:r w:rsidRPr="00F7116C">
        <w:rPr>
          <w:sz w:val="24"/>
          <w:lang w:val="pl-PL"/>
        </w:rPr>
        <w:t>s</w:t>
      </w:r>
      <w:proofErr w:type="gramEnd"/>
      <w:r w:rsidRPr="00F7116C">
        <w:rPr>
          <w:sz w:val="24"/>
          <w:lang w:val="pl-PL"/>
        </w:rPr>
        <w:t>. 117.</w:t>
      </w:r>
    </w:p>
  </w:footnote>
  <w:footnote w:id="4">
    <w:p w:rsidR="00BC7791" w:rsidRPr="00F7116C" w:rsidRDefault="00BC7791" w:rsidP="00F7116C">
      <w:pPr>
        <w:pStyle w:val="FootnoteText"/>
        <w:ind w:left="567" w:hanging="567"/>
        <w:rPr>
          <w:sz w:val="24"/>
          <w:lang w:val="pl-PL"/>
        </w:rPr>
      </w:pPr>
      <w:r w:rsidRPr="00F7116C">
        <w:rPr>
          <w:rStyle w:val="FootnoteReference"/>
          <w:sz w:val="24"/>
          <w:lang w:val="pl-PL"/>
        </w:rPr>
        <w:footnoteRef/>
      </w:r>
      <w:r w:rsidR="00F7116C" w:rsidRPr="00F7116C">
        <w:rPr>
          <w:sz w:val="24"/>
          <w:lang w:val="pl-PL"/>
        </w:rPr>
        <w:t xml:space="preserve"> </w:t>
      </w:r>
      <w:r w:rsidR="00F7116C" w:rsidRPr="00F7116C">
        <w:rPr>
          <w:sz w:val="24"/>
          <w:lang w:val="pl-PL"/>
        </w:rPr>
        <w:tab/>
      </w:r>
      <w:r w:rsidRPr="00F7116C">
        <w:rPr>
          <w:sz w:val="24"/>
          <w:lang w:val="pl-PL"/>
        </w:rPr>
        <w:t xml:space="preserve">Dz.U. C 47 z 7.2.2023, </w:t>
      </w:r>
      <w:proofErr w:type="gramStart"/>
      <w:r w:rsidRPr="00F7116C">
        <w:rPr>
          <w:sz w:val="24"/>
          <w:lang w:val="pl-PL"/>
        </w:rPr>
        <w:t>s</w:t>
      </w:r>
      <w:proofErr w:type="gramEnd"/>
      <w:r w:rsidRPr="00F7116C">
        <w:rPr>
          <w:sz w:val="24"/>
          <w:lang w:val="pl-PL"/>
        </w:rPr>
        <w:t>. 23.</w:t>
      </w:r>
    </w:p>
  </w:footnote>
  <w:footnote w:id="5">
    <w:p w:rsidR="00BC7791" w:rsidRPr="00F7116C" w:rsidRDefault="00BC7791" w:rsidP="00F7116C">
      <w:pPr>
        <w:pStyle w:val="FootnoteText"/>
        <w:ind w:left="567" w:hanging="567"/>
        <w:rPr>
          <w:sz w:val="24"/>
          <w:lang w:val="pl-PL"/>
        </w:rPr>
      </w:pPr>
      <w:r w:rsidRPr="00F7116C">
        <w:rPr>
          <w:rStyle w:val="FootnoteReference"/>
          <w:sz w:val="24"/>
          <w:lang w:val="pl-PL"/>
        </w:rPr>
        <w:footnoteRef/>
      </w:r>
      <w:r w:rsidR="00F7116C" w:rsidRPr="00F7116C">
        <w:rPr>
          <w:sz w:val="24"/>
          <w:lang w:val="pl-PL"/>
        </w:rPr>
        <w:t xml:space="preserve"> </w:t>
      </w:r>
      <w:r w:rsidR="00F7116C" w:rsidRPr="00F7116C">
        <w:rPr>
          <w:sz w:val="24"/>
          <w:lang w:val="pl-PL"/>
        </w:rPr>
        <w:tab/>
      </w:r>
      <w:r w:rsidRPr="00F7116C">
        <w:rPr>
          <w:sz w:val="24"/>
          <w:lang w:val="pl-PL"/>
        </w:rPr>
        <w:t xml:space="preserve">Dz.U. C 493 z 27.12.2022, </w:t>
      </w:r>
      <w:proofErr w:type="gramStart"/>
      <w:r w:rsidRPr="00F7116C">
        <w:rPr>
          <w:sz w:val="24"/>
          <w:lang w:val="pl-PL"/>
        </w:rPr>
        <w:t>s</w:t>
      </w:r>
      <w:proofErr w:type="gramEnd"/>
      <w:r w:rsidRPr="00F7116C">
        <w:rPr>
          <w:sz w:val="24"/>
          <w:lang w:val="pl-PL"/>
        </w:rPr>
        <w:t>. 32.</w:t>
      </w:r>
    </w:p>
  </w:footnote>
  <w:footnote w:id="6">
    <w:p w:rsidR="00BC7791" w:rsidRPr="00F7116C" w:rsidRDefault="00BC7791" w:rsidP="00F7116C">
      <w:pPr>
        <w:pStyle w:val="FootnoteText"/>
        <w:ind w:left="567" w:hanging="567"/>
        <w:rPr>
          <w:sz w:val="24"/>
          <w:lang w:val="pl-PL"/>
        </w:rPr>
      </w:pPr>
      <w:r w:rsidRPr="00F7116C">
        <w:rPr>
          <w:rStyle w:val="FootnoteReference"/>
          <w:sz w:val="24"/>
          <w:lang w:val="pl-PL"/>
        </w:rPr>
        <w:footnoteRef/>
      </w:r>
      <w:r w:rsidR="00F7116C" w:rsidRPr="00F7116C">
        <w:rPr>
          <w:sz w:val="24"/>
          <w:lang w:val="pl-PL"/>
        </w:rPr>
        <w:t xml:space="preserve"> </w:t>
      </w:r>
      <w:r w:rsidR="00F7116C" w:rsidRPr="00F7116C">
        <w:rPr>
          <w:sz w:val="24"/>
          <w:lang w:val="pl-PL"/>
        </w:rPr>
        <w:tab/>
      </w:r>
      <w:r w:rsidRPr="00F7116C">
        <w:rPr>
          <w:sz w:val="24"/>
          <w:lang w:val="pl-PL"/>
        </w:rPr>
        <w:t xml:space="preserve">Dz.U. C 337 z 20.9.2018, </w:t>
      </w:r>
      <w:proofErr w:type="gramStart"/>
      <w:r w:rsidRPr="00F7116C">
        <w:rPr>
          <w:sz w:val="24"/>
          <w:lang w:val="pl-PL"/>
        </w:rPr>
        <w:t>s</w:t>
      </w:r>
      <w:proofErr w:type="gramEnd"/>
      <w:r w:rsidRPr="00F7116C">
        <w:rPr>
          <w:sz w:val="24"/>
          <w:lang w:val="pl-PL"/>
        </w:rPr>
        <w:t>. 48.</w:t>
      </w:r>
    </w:p>
  </w:footnote>
  <w:footnote w:id="7">
    <w:p w:rsidR="00BC7791" w:rsidRPr="00F7116C" w:rsidRDefault="00BC7791" w:rsidP="00F7116C">
      <w:pPr>
        <w:pStyle w:val="FootnoteText"/>
        <w:ind w:left="567" w:hanging="567"/>
        <w:rPr>
          <w:sz w:val="24"/>
          <w:lang w:val="pl-PL"/>
        </w:rPr>
      </w:pPr>
      <w:r w:rsidRPr="00F7116C">
        <w:rPr>
          <w:rStyle w:val="FootnoteReference"/>
          <w:sz w:val="24"/>
          <w:lang w:val="pl-PL"/>
        </w:rPr>
        <w:footnoteRef/>
      </w:r>
      <w:r w:rsidR="00F7116C" w:rsidRPr="00F7116C">
        <w:rPr>
          <w:sz w:val="24"/>
          <w:lang w:val="pl-PL"/>
        </w:rPr>
        <w:t xml:space="preserve"> </w:t>
      </w:r>
      <w:r w:rsidR="00F7116C" w:rsidRPr="00F7116C">
        <w:rPr>
          <w:sz w:val="24"/>
          <w:lang w:val="pl-PL"/>
        </w:rPr>
        <w:tab/>
      </w:r>
      <w:r w:rsidRPr="00F7116C">
        <w:rPr>
          <w:sz w:val="24"/>
          <w:lang w:val="pl-PL"/>
        </w:rPr>
        <w:t>Teksty przyjęte, P9_TA(2023)0289.</w:t>
      </w:r>
    </w:p>
  </w:footnote>
  <w:footnote w:id="8">
    <w:p w:rsidR="00BC7791" w:rsidRPr="00F7116C" w:rsidRDefault="00BC7791" w:rsidP="00F7116C">
      <w:pPr>
        <w:pStyle w:val="FootnoteText"/>
        <w:ind w:left="567" w:hanging="567"/>
        <w:rPr>
          <w:sz w:val="24"/>
          <w:lang w:val="pl-PL"/>
        </w:rPr>
      </w:pPr>
      <w:r w:rsidRPr="00F7116C">
        <w:rPr>
          <w:rStyle w:val="FootnoteReference"/>
          <w:sz w:val="24"/>
          <w:lang w:val="pl-PL"/>
        </w:rPr>
        <w:footnoteRef/>
      </w:r>
      <w:r w:rsidR="00F7116C" w:rsidRPr="00F7116C">
        <w:rPr>
          <w:sz w:val="24"/>
          <w:lang w:val="pl-PL"/>
        </w:rPr>
        <w:t xml:space="preserve"> </w:t>
      </w:r>
      <w:r w:rsidR="00F7116C" w:rsidRPr="00F7116C">
        <w:rPr>
          <w:sz w:val="24"/>
          <w:lang w:val="pl-PL"/>
        </w:rPr>
        <w:tab/>
      </w:r>
      <w:r w:rsidRPr="00F7116C">
        <w:rPr>
          <w:sz w:val="24"/>
          <w:lang w:val="pl-PL"/>
        </w:rPr>
        <w:t xml:space="preserve">Dz.U. C 506 z 15.12.2021, </w:t>
      </w:r>
      <w:proofErr w:type="gramStart"/>
      <w:r w:rsidRPr="00F7116C">
        <w:rPr>
          <w:sz w:val="24"/>
          <w:lang w:val="pl-PL"/>
        </w:rPr>
        <w:t>s</w:t>
      </w:r>
      <w:proofErr w:type="gramEnd"/>
      <w:r w:rsidRPr="00F7116C">
        <w:rPr>
          <w:sz w:val="24"/>
          <w:lang w:val="pl-PL"/>
        </w:rPr>
        <w:t>. 109.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116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116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7116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5/2023"/>
    <w:docVar w:name="dvlangue" w:val="PL"/>
    <w:docVar w:name="dvnumam" w:val="0"/>
    <w:docVar w:name="dvpe" w:val="753.444"/>
    <w:docVar w:name="dvrapporteur" w:val="Sprawozdawca: "/>
    <w:docVar w:name="dvtitre" w:val="Rezolucja Parlamentu Europejskiego z dnia  2024 r. w sprawie zalecenia Parlamentu Europejskiego dla Rady, Komisji oraz wiceprzewodniczącego Komisji / wysokiego przedstawiciela Unii do spraw zagranicznych i polityki bezpieczeństwa w sprawie stosunków między UE a Indiami(2023/2128(INI))"/>
  </w:docVars>
  <w:rsids>
    <w:rsidRoot w:val="00CE2CCE"/>
    <w:rsid w:val="00002272"/>
    <w:rsid w:val="00064002"/>
    <w:rsid w:val="000677B9"/>
    <w:rsid w:val="000831BA"/>
    <w:rsid w:val="000A42CC"/>
    <w:rsid w:val="000E1AED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22B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06AF"/>
    <w:rsid w:val="00A778C7"/>
    <w:rsid w:val="00AB441E"/>
    <w:rsid w:val="00AB6293"/>
    <w:rsid w:val="00AE0928"/>
    <w:rsid w:val="00AF3B82"/>
    <w:rsid w:val="00B12E95"/>
    <w:rsid w:val="00B22876"/>
    <w:rsid w:val="00B558F0"/>
    <w:rsid w:val="00BC7791"/>
    <w:rsid w:val="00BD48FE"/>
    <w:rsid w:val="00BD7BD8"/>
    <w:rsid w:val="00BE6ADC"/>
    <w:rsid w:val="00C05BFE"/>
    <w:rsid w:val="00C23CD4"/>
    <w:rsid w:val="00C61C0C"/>
    <w:rsid w:val="00C941CB"/>
    <w:rsid w:val="00CC2357"/>
    <w:rsid w:val="00CE2CCE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0896"/>
    <w:rsid w:val="00F149E9"/>
    <w:rsid w:val="00F5134D"/>
    <w:rsid w:val="00F7116C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8C30A9-140A-4913-8992-C66E7DECB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C7791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BC7791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BC7791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D1B4C-85B2-4DF4-8E31-4FAD32FC6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5139</Words>
  <Characters>33988</Characters>
  <Application>Microsoft Office Word</Application>
  <DocSecurity>0</DocSecurity>
  <Lines>283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2024-01-17T15:11:00Z</dcterms:created>
  <dcterms:modified xsi:type="dcterms:W3CDTF">2024-01-17T15:11:00Z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A9-0435/2023</vt:lpwstr>
  </property>
  <property fmtid="{D5CDD505-2E9C-101B-9397-08002B2CF9AE}" pid="4" name="&lt;Type&gt;">
    <vt:lpwstr>RR</vt:lpwstr>
  </property>
</Properties>
</file>