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67A8" w14:paraId="2322AA0F" w14:textId="77777777" w:rsidTr="0010095E">
        <w:trPr>
          <w:trHeight w:hRule="exact" w:val="1418"/>
        </w:trPr>
        <w:tc>
          <w:tcPr>
            <w:tcW w:w="6804" w:type="dxa"/>
            <w:shd w:val="clear" w:color="auto" w:fill="auto"/>
            <w:vAlign w:val="center"/>
          </w:tcPr>
          <w:p w14:paraId="34C10468" w14:textId="77777777" w:rsidR="00751A4A" w:rsidRPr="001B67A8" w:rsidRDefault="00CA5846" w:rsidP="0010095E">
            <w:pPr>
              <w:pStyle w:val="EPName"/>
            </w:pPr>
            <w:r w:rsidRPr="001B67A8">
              <w:t>Parlamento Europeo</w:t>
            </w:r>
          </w:p>
          <w:p w14:paraId="6BD2DF46" w14:textId="77777777" w:rsidR="00751A4A" w:rsidRPr="001B67A8" w:rsidRDefault="00817416" w:rsidP="00756632">
            <w:pPr>
              <w:pStyle w:val="EPTerm"/>
              <w:rPr>
                <w:rStyle w:val="HideTWBExt"/>
                <w:noProof w:val="0"/>
                <w:vanish w:val="0"/>
                <w:color w:val="auto"/>
              </w:rPr>
            </w:pPr>
            <w:r w:rsidRPr="001B67A8">
              <w:t>2019-2024</w:t>
            </w:r>
          </w:p>
        </w:tc>
        <w:tc>
          <w:tcPr>
            <w:tcW w:w="2268" w:type="dxa"/>
            <w:shd w:val="clear" w:color="auto" w:fill="auto"/>
          </w:tcPr>
          <w:p w14:paraId="13CC63F0" w14:textId="77777777" w:rsidR="00751A4A" w:rsidRPr="001B67A8" w:rsidRDefault="00187494" w:rsidP="0010095E">
            <w:pPr>
              <w:pStyle w:val="EPLogo"/>
            </w:pPr>
            <w:r w:rsidRPr="001B67A8">
              <w:rPr>
                <w:noProof/>
                <w:lang w:val="en-GB"/>
              </w:rPr>
              <w:drawing>
                <wp:inline distT="0" distB="0" distL="0" distR="0" wp14:anchorId="2E69BB4C" wp14:editId="29432E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2B9F3" w14:textId="77777777" w:rsidR="00D058B8" w:rsidRPr="001B67A8" w:rsidRDefault="00D058B8" w:rsidP="004C5D52">
      <w:pPr>
        <w:pStyle w:val="LineTop"/>
      </w:pPr>
    </w:p>
    <w:p w14:paraId="2C04511B" w14:textId="77777777" w:rsidR="00680577" w:rsidRPr="001B67A8" w:rsidRDefault="00CA5846" w:rsidP="00680577">
      <w:pPr>
        <w:pStyle w:val="EPBodyTA1"/>
      </w:pPr>
      <w:r w:rsidRPr="001B67A8">
        <w:t>TEXTOS APROBADOS</w:t>
      </w:r>
    </w:p>
    <w:p w14:paraId="3CA84AA1" w14:textId="77777777" w:rsidR="00D058B8" w:rsidRPr="001B67A8" w:rsidRDefault="00D058B8" w:rsidP="00D058B8">
      <w:pPr>
        <w:pStyle w:val="LineBottom"/>
      </w:pPr>
    </w:p>
    <w:p w14:paraId="1F43E9D1" w14:textId="571316F2" w:rsidR="00CA5846" w:rsidRPr="001B67A8" w:rsidRDefault="00CA5846" w:rsidP="00CA5846">
      <w:pPr>
        <w:pStyle w:val="ATHeading1"/>
      </w:pPr>
      <w:bookmarkStart w:id="0" w:name="TANumber"/>
      <w:r w:rsidRPr="001B67A8">
        <w:t>P9_TA(2024)</w:t>
      </w:r>
      <w:bookmarkEnd w:id="0"/>
      <w:r w:rsidR="001B67A8" w:rsidRPr="001B67A8">
        <w:t>0034</w:t>
      </w:r>
    </w:p>
    <w:p w14:paraId="0B6DBCEA" w14:textId="77777777" w:rsidR="00CA5846" w:rsidRPr="001B67A8" w:rsidRDefault="00CA5846" w:rsidP="00CA5846">
      <w:pPr>
        <w:pStyle w:val="ATHeading2"/>
      </w:pPr>
      <w:bookmarkStart w:id="1" w:name="title"/>
      <w:r w:rsidRPr="001B67A8">
        <w:t>Papel de la diplomacia preventiva en el tratamiento de conflictos enquistados en todo el mundo: ¿oportunidad perdida o cambio para el futuro?</w:t>
      </w:r>
      <w:bookmarkEnd w:id="1"/>
    </w:p>
    <w:p w14:paraId="0BF50326" w14:textId="77777777" w:rsidR="00CA5846" w:rsidRPr="001B67A8" w:rsidRDefault="00CA5846" w:rsidP="00CA5846">
      <w:pPr>
        <w:rPr>
          <w:i/>
          <w:vanish/>
        </w:rPr>
      </w:pPr>
      <w:r w:rsidRPr="001B67A8">
        <w:rPr>
          <w:i/>
        </w:rPr>
        <w:fldChar w:fldCharType="begin"/>
      </w:r>
      <w:r w:rsidRPr="001B67A8">
        <w:rPr>
          <w:i/>
        </w:rPr>
        <w:instrText xml:space="preserve"> TC"(</w:instrText>
      </w:r>
      <w:bookmarkStart w:id="2" w:name="DocNumber"/>
      <w:r w:rsidRPr="001B67A8">
        <w:rPr>
          <w:i/>
        </w:rPr>
        <w:instrText>A9-0404/2023</w:instrText>
      </w:r>
      <w:bookmarkEnd w:id="2"/>
      <w:r w:rsidRPr="001B67A8">
        <w:rPr>
          <w:i/>
        </w:rPr>
        <w:instrText xml:space="preserve"> - Ponente: Željana Zovko)"\l3 \n&gt; \* MERGEFORMAT </w:instrText>
      </w:r>
      <w:r w:rsidRPr="001B67A8">
        <w:rPr>
          <w:i/>
        </w:rPr>
        <w:fldChar w:fldCharType="end"/>
      </w:r>
    </w:p>
    <w:p w14:paraId="51868DBD" w14:textId="77777777" w:rsidR="00CA5846" w:rsidRPr="001B67A8" w:rsidRDefault="00CA5846" w:rsidP="00CA5846">
      <w:pPr>
        <w:rPr>
          <w:vanish/>
        </w:rPr>
      </w:pPr>
      <w:bookmarkStart w:id="3" w:name="Commission"/>
      <w:r w:rsidRPr="001B67A8">
        <w:rPr>
          <w:vanish/>
        </w:rPr>
        <w:t>Comisión de Asuntos Exteriores</w:t>
      </w:r>
      <w:bookmarkEnd w:id="3"/>
    </w:p>
    <w:p w14:paraId="31F869B2" w14:textId="77777777" w:rsidR="00CA5846" w:rsidRPr="001B67A8" w:rsidRDefault="00CA5846" w:rsidP="00CA5846">
      <w:pPr>
        <w:rPr>
          <w:vanish/>
        </w:rPr>
      </w:pPr>
      <w:bookmarkStart w:id="4" w:name="PE"/>
      <w:r w:rsidRPr="001B67A8">
        <w:rPr>
          <w:vanish/>
        </w:rPr>
        <w:t>PE752.799</w:t>
      </w:r>
      <w:bookmarkEnd w:id="4"/>
    </w:p>
    <w:p w14:paraId="21FBA9EF" w14:textId="633ACEC5" w:rsidR="00CA5846" w:rsidRPr="001B67A8" w:rsidRDefault="00EE737A" w:rsidP="00CA5846">
      <w:pPr>
        <w:pStyle w:val="ATHeading3"/>
      </w:pPr>
      <w:bookmarkStart w:id="5" w:name="Sujet"/>
      <w:r w:rsidRPr="001B67A8">
        <w:t>Recomendación</w:t>
      </w:r>
      <w:r w:rsidR="00CA5846" w:rsidRPr="001B67A8">
        <w:t xml:space="preserve"> del Parlamento Europeo, de 17 de enero de 2024, al Consejo, a la Comisión y al vicepresidente de la Comisión / alto representante de la Unión para Asuntos Exteriores y Política de Seguridad sobre el papel de la diplomacia preventiva en el tratamiento de conflictos enquistados en todo el mundo: ¿oportunidad perdida o cambio para el futuro?</w:t>
      </w:r>
      <w:bookmarkEnd w:id="5"/>
      <w:r w:rsidR="00CA5846" w:rsidRPr="001B67A8">
        <w:t xml:space="preserve"> </w:t>
      </w:r>
      <w:bookmarkStart w:id="6" w:name="References"/>
      <w:r w:rsidR="00CA5846" w:rsidRPr="001B67A8">
        <w:t>(2023/2050(INI))</w:t>
      </w:r>
      <w:bookmarkEnd w:id="6"/>
    </w:p>
    <w:p w14:paraId="4EB2E840" w14:textId="77777777" w:rsidR="00A22885" w:rsidRPr="001B67A8" w:rsidRDefault="00A22885" w:rsidP="00A22885">
      <w:pPr>
        <w:pStyle w:val="EPComma"/>
      </w:pPr>
      <w:bookmarkStart w:id="7" w:name="TextBodyBegin"/>
      <w:bookmarkEnd w:id="7"/>
      <w:r w:rsidRPr="001B67A8">
        <w:rPr>
          <w:i/>
        </w:rPr>
        <w:t>El Parlamento Europeo</w:t>
      </w:r>
      <w:r w:rsidRPr="001B67A8">
        <w:t>,</w:t>
      </w:r>
    </w:p>
    <w:p w14:paraId="4084C275" w14:textId="77777777" w:rsidR="00A22885" w:rsidRPr="001B67A8" w:rsidRDefault="00A22885" w:rsidP="00A22885">
      <w:pPr>
        <w:pStyle w:val="NormalHanging12a"/>
      </w:pPr>
      <w:r w:rsidRPr="001B67A8">
        <w:t>–</w:t>
      </w:r>
      <w:r w:rsidRPr="001B67A8">
        <w:tab/>
        <w:t>Vistos el Tratado de la Unión Europea y el Tratado de Funcionamiento de la Unión Europea,</w:t>
      </w:r>
    </w:p>
    <w:p w14:paraId="4024C8DD" w14:textId="77777777" w:rsidR="00A22885" w:rsidRPr="001B67A8" w:rsidRDefault="00A22885" w:rsidP="00A22885">
      <w:pPr>
        <w:pStyle w:val="NormalHanging12a"/>
      </w:pPr>
      <w:r w:rsidRPr="001B67A8">
        <w:t>–</w:t>
      </w:r>
      <w:r w:rsidRPr="001B67A8">
        <w:tab/>
        <w:t>Vistas las Conclusiones del Consejo, de 20 de junio de 2011, sobre la prevención de conflictos y, de 22 de enero de 2018, sobre el enfoque integrado de los conflictos y crisis exteriores,</w:t>
      </w:r>
    </w:p>
    <w:p w14:paraId="5E3A8F44" w14:textId="77777777" w:rsidR="00A22885" w:rsidRPr="001B67A8" w:rsidRDefault="00A22885" w:rsidP="00A22885">
      <w:pPr>
        <w:pStyle w:val="NormalHanging12a"/>
      </w:pPr>
      <w:r w:rsidRPr="001B67A8">
        <w:t>–</w:t>
      </w:r>
      <w:r w:rsidRPr="001B67A8">
        <w:tab/>
        <w:t>Vista la Estrategia Global sobre Política Exterior y de Seguridad de la Unión Europea, de 28 de junio de 2016,</w:t>
      </w:r>
    </w:p>
    <w:p w14:paraId="0796FA66" w14:textId="77777777" w:rsidR="00A22885" w:rsidRPr="001B67A8" w:rsidRDefault="00A22885" w:rsidP="00A22885">
      <w:pPr>
        <w:pStyle w:val="NormalHanging12a"/>
      </w:pPr>
      <w:r w:rsidRPr="001B67A8">
        <w:t>–</w:t>
      </w:r>
      <w:r w:rsidRPr="001B67A8">
        <w:tab/>
        <w:t>Vistos las Conclusiones del Consejo y su nuevo concepto de mediación de la UE para la paz, de 7 de diciembre de 2020,</w:t>
      </w:r>
    </w:p>
    <w:p w14:paraId="4610D499" w14:textId="77777777" w:rsidR="00A22885" w:rsidRPr="001B67A8" w:rsidRDefault="00A22885" w:rsidP="00A22885">
      <w:pPr>
        <w:pStyle w:val="NormalHanging12a"/>
      </w:pPr>
      <w:r w:rsidRPr="001B67A8">
        <w:t>–</w:t>
      </w:r>
      <w:r w:rsidRPr="001B67A8">
        <w:tab/>
        <w:t>Visto el plan de acción sobre la «Brújula Estratégica para la Seguridad y la Defensa - Por una Unión Europea que proteja a sus ciudadanos, defienda sus valores e intereses y contribuya a la paz y la seguridad internacionales», aprobado por el Consejo el 21 de marzo de 2022 y refrendado por el Consejo Europeo el 25 de marzo de 2022,</w:t>
      </w:r>
    </w:p>
    <w:p w14:paraId="0EB8DE9B" w14:textId="77777777" w:rsidR="00A22885" w:rsidRPr="001B67A8" w:rsidRDefault="00A22885" w:rsidP="00A22885">
      <w:pPr>
        <w:pStyle w:val="NormalHanging12a"/>
      </w:pPr>
      <w:r w:rsidRPr="001B67A8">
        <w:t>–</w:t>
      </w:r>
      <w:r w:rsidRPr="001B67A8">
        <w:tab/>
        <w:t>Visto el documento de trabajo conjunto de los servicios de la Comisión y del alto representante de la Unión para Asuntos Exteriores y Política de Seguridad, de 1 de septiembre de 2023, titulado «Updated toolset for EU Conflict Analysis and Conflict Early Warning – Objectives, processes and guidance» (Conjunto de herramientas actualizado para el análisis de conflictos y la alerta rápida de conflictos de la UE: objetivos, procesos y orientaciones) (SWD(2023)0295),</w:t>
      </w:r>
    </w:p>
    <w:p w14:paraId="65409ECC" w14:textId="77777777" w:rsidR="00A22885" w:rsidRPr="001B67A8" w:rsidRDefault="00A22885" w:rsidP="00A22885">
      <w:pPr>
        <w:pStyle w:val="NormalHanging12a"/>
      </w:pPr>
      <w:r w:rsidRPr="001B67A8">
        <w:lastRenderedPageBreak/>
        <w:t>–</w:t>
      </w:r>
      <w:r w:rsidRPr="001B67A8">
        <w:tab/>
        <w:t>Vista su Recomendación, de 10 de febrero de 1999, sobre la creación de un Cuerpo Civil Europeo de Pacificación</w:t>
      </w:r>
      <w:r w:rsidRPr="001B67A8">
        <w:rPr>
          <w:rStyle w:val="FootnoteReference"/>
        </w:rPr>
        <w:footnoteReference w:id="1"/>
      </w:r>
      <w:r w:rsidRPr="001B67A8">
        <w:t>,</w:t>
      </w:r>
    </w:p>
    <w:p w14:paraId="7B18E4AD" w14:textId="77777777" w:rsidR="00A22885" w:rsidRPr="001B67A8" w:rsidRDefault="00A22885" w:rsidP="00A22885">
      <w:pPr>
        <w:pStyle w:val="NormalHanging12a"/>
      </w:pPr>
      <w:r w:rsidRPr="001B67A8">
        <w:t>–</w:t>
      </w:r>
      <w:r w:rsidRPr="001B67A8">
        <w:tab/>
        <w:t>Vista la Nueva Agenda de Paz de las Naciones Unidas, de 20 de julio de 2023,</w:t>
      </w:r>
    </w:p>
    <w:p w14:paraId="0509C89F" w14:textId="77777777" w:rsidR="00A22885" w:rsidRPr="001B67A8" w:rsidRDefault="00A22885" w:rsidP="00A22885">
      <w:pPr>
        <w:pStyle w:val="NormalHanging12a"/>
      </w:pPr>
      <w:r w:rsidRPr="001B67A8">
        <w:t>–</w:t>
      </w:r>
      <w:r w:rsidRPr="001B67A8">
        <w:tab/>
        <w:t xml:space="preserve">Vista la Resolución 1325 del Consejo de Seguridad de las Naciones Unidas sobre las mujeres, la paz y la seguridad, adoptada el 31 de octubre de 2000, </w:t>
      </w:r>
    </w:p>
    <w:p w14:paraId="63623455" w14:textId="77777777" w:rsidR="00A22885" w:rsidRPr="001B67A8" w:rsidRDefault="00A22885" w:rsidP="00A22885">
      <w:pPr>
        <w:pStyle w:val="NormalHanging12a"/>
      </w:pPr>
      <w:r w:rsidRPr="001B67A8">
        <w:t>–</w:t>
      </w:r>
      <w:r w:rsidRPr="001B67A8">
        <w:tab/>
        <w:t>Vista su Resolución, de 23 de octubre de 2020, sobre la igualdad de género en la política exterior y de seguridad de la Unión</w:t>
      </w:r>
      <w:r w:rsidRPr="001B67A8">
        <w:rPr>
          <w:rStyle w:val="FootnoteReference"/>
        </w:rPr>
        <w:footnoteReference w:id="2"/>
      </w:r>
      <w:r w:rsidRPr="001B67A8">
        <w:t>,</w:t>
      </w:r>
    </w:p>
    <w:p w14:paraId="497E800A" w14:textId="77777777" w:rsidR="00A22885" w:rsidRPr="001B67A8" w:rsidRDefault="00A22885" w:rsidP="00A22885">
      <w:pPr>
        <w:pStyle w:val="NormalHanging12a"/>
      </w:pPr>
      <w:r w:rsidRPr="001B67A8">
        <w:t>–</w:t>
      </w:r>
      <w:r w:rsidRPr="001B67A8">
        <w:tab/>
        <w:t>Vista su Resolución, de 12 de marzo de 2019, sobre la creación de capacidad de la Unión en materia de prevención de conflictos y mediación</w:t>
      </w:r>
      <w:r w:rsidRPr="001B67A8">
        <w:rPr>
          <w:rStyle w:val="FootnoteReference"/>
        </w:rPr>
        <w:footnoteReference w:id="3"/>
      </w:r>
      <w:r w:rsidRPr="001B67A8">
        <w:t>,</w:t>
      </w:r>
    </w:p>
    <w:p w14:paraId="1502CD56" w14:textId="77777777" w:rsidR="00A22885" w:rsidRPr="001B67A8" w:rsidRDefault="00A22885" w:rsidP="00A22885">
      <w:pPr>
        <w:pStyle w:val="NormalHanging12a"/>
      </w:pPr>
      <w:r w:rsidRPr="001B67A8">
        <w:t>–</w:t>
      </w:r>
      <w:r w:rsidRPr="001B67A8">
        <w:tab/>
        <w:t>Vista su Resolución, de 18 de abril de 2023, sobre la puesta en práctica de la vertiente civil de la PCSD y de otras formas de asistencia de la Unión en el ámbito de la seguridad civil</w:t>
      </w:r>
      <w:r w:rsidRPr="001B67A8">
        <w:rPr>
          <w:rStyle w:val="FootnoteReference"/>
        </w:rPr>
        <w:footnoteReference w:id="4"/>
      </w:r>
      <w:r w:rsidRPr="001B67A8">
        <w:t xml:space="preserve">, </w:t>
      </w:r>
    </w:p>
    <w:p w14:paraId="278C1D95" w14:textId="77777777" w:rsidR="00A22885" w:rsidRPr="001B67A8" w:rsidRDefault="00A22885" w:rsidP="00A22885">
      <w:pPr>
        <w:pStyle w:val="NormalHanging12a"/>
      </w:pPr>
      <w:r w:rsidRPr="001B67A8">
        <w:t>–</w:t>
      </w:r>
      <w:r w:rsidRPr="001B67A8">
        <w:tab/>
        <w:t>Visto el Dictamen del Comité Económico y Social Europeo, de 6 de octubre de 2023, sobre la diplomacia climática de la UE,</w:t>
      </w:r>
    </w:p>
    <w:p w14:paraId="45579F97" w14:textId="77777777" w:rsidR="00A22885" w:rsidRPr="001B67A8" w:rsidRDefault="00A22885" w:rsidP="00A22885">
      <w:pPr>
        <w:pStyle w:val="NormalHanging12a"/>
      </w:pPr>
      <w:r w:rsidRPr="001B67A8">
        <w:t>–</w:t>
      </w:r>
      <w:r w:rsidRPr="001B67A8">
        <w:tab/>
        <w:t>Vista su Resolución, de 14 de junio de 2018, sobre los territorios georgianos ocupados diez años después de la invasión rusa</w:t>
      </w:r>
      <w:r w:rsidRPr="001B67A8">
        <w:rPr>
          <w:rStyle w:val="FootnoteReference"/>
        </w:rPr>
        <w:footnoteReference w:id="5"/>
      </w:r>
      <w:r w:rsidRPr="001B67A8">
        <w:t>,</w:t>
      </w:r>
    </w:p>
    <w:p w14:paraId="4D92421D" w14:textId="77777777" w:rsidR="00A22885" w:rsidRPr="001B67A8" w:rsidRDefault="00A22885" w:rsidP="00A22885">
      <w:pPr>
        <w:pStyle w:val="NormalHanging12a"/>
      </w:pPr>
      <w:r w:rsidRPr="001B67A8">
        <w:t>–</w:t>
      </w:r>
      <w:r w:rsidRPr="001B67A8">
        <w:tab/>
        <w:t>Visto el artículo 118 de su Reglamento interno,</w:t>
      </w:r>
    </w:p>
    <w:p w14:paraId="7EFF3FB4" w14:textId="77777777" w:rsidR="00A22885" w:rsidRPr="001B67A8" w:rsidRDefault="00A22885" w:rsidP="00A22885">
      <w:pPr>
        <w:pStyle w:val="NormalHanging12a"/>
      </w:pPr>
      <w:r w:rsidRPr="001B67A8">
        <w:t>–</w:t>
      </w:r>
      <w:r w:rsidRPr="001B67A8">
        <w:tab/>
        <w:t>Visto el informe de la Comisión de Asuntos Exteriores (A9-0404/2023),</w:t>
      </w:r>
    </w:p>
    <w:p w14:paraId="213BCF2F" w14:textId="77777777" w:rsidR="00A22885" w:rsidRPr="001B67A8" w:rsidRDefault="00A22885" w:rsidP="00A22885">
      <w:pPr>
        <w:spacing w:after="240"/>
        <w:ind w:left="567" w:hanging="567"/>
      </w:pPr>
      <w:r w:rsidRPr="001B67A8">
        <w:t>A.</w:t>
      </w:r>
      <w:r w:rsidRPr="001B67A8">
        <w:tab/>
        <w:t>Considerando que el mantenimiento de la paz, la prevención de los conflictos y el fortalecimiento de la seguridad internacional son algunos de los principales objetivos de acción exterior de la Unión, según se dispone en el artículo 21, apartado 2, del Tratado de la Unión Europea;</w:t>
      </w:r>
    </w:p>
    <w:p w14:paraId="0E87FC0B" w14:textId="77777777" w:rsidR="00A22885" w:rsidRPr="001B67A8" w:rsidRDefault="00A22885" w:rsidP="00A22885">
      <w:pPr>
        <w:pStyle w:val="NormalHanging12a"/>
      </w:pPr>
      <w:r w:rsidRPr="001B67A8">
        <w:t>B.</w:t>
      </w:r>
      <w:r w:rsidRPr="001B67A8">
        <w:tab/>
        <w:t xml:space="preserve">Considerando que un contexto geopolítico cambiante —marcado por las confrontaciones entre potencias emergentes y agentes que dominan desde hace mucho tiempo—, los ataques al sistema multilateral, la democracia y el orden basado en normas, el resurgimiento de la violencia en conflictos prolongados, tecnologías emergentes, las ciberamenazas, las injerencias de terceros malintencionadas, las crisis climática y de biodiversidad, los niveles mundiales sin precedentes de desigualdad económica, el retroceso en materia de derechos, en particular para las mujeres, la exclusión y la discriminación persistentes y sistemáticas de grupos sociales enteros, el retroceso mundial en materia de derechos humanos y democracia, los problemas relativos a la seguridad alimentaria y la migración son algunos de los factores que contribuyen a los conflictos y la inestabilidad en el mundo, habida cuenta en particular de la guerra de agresión ilegal de Rusia contra Ucrania y las tensiones crecientes en </w:t>
      </w:r>
      <w:r w:rsidRPr="001B67A8">
        <w:lastRenderedPageBreak/>
        <w:t>Oriente Medio;</w:t>
      </w:r>
    </w:p>
    <w:p w14:paraId="11DCEDCB" w14:textId="77777777" w:rsidR="00A22885" w:rsidRPr="001B67A8" w:rsidRDefault="00A22885" w:rsidP="00A22885">
      <w:pPr>
        <w:pStyle w:val="NormalHanging12a"/>
      </w:pPr>
      <w:r w:rsidRPr="001B67A8">
        <w:t>C.</w:t>
      </w:r>
      <w:r w:rsidRPr="001B67A8">
        <w:tab/>
        <w:t>Considerando que las Naciones Unidas definen la «diplomacia preventiva» como «las medidas diplomáticas adoptadas para evitar la escalada de las disputas hasta convertirse en conflictos y para limitar su propagación»;</w:t>
      </w:r>
    </w:p>
    <w:p w14:paraId="639B3646" w14:textId="77777777" w:rsidR="00A22885" w:rsidRPr="001B67A8" w:rsidRDefault="00A22885" w:rsidP="00A22885">
      <w:pPr>
        <w:pStyle w:val="NormalHanging12a"/>
      </w:pPr>
      <w:r w:rsidRPr="001B67A8">
        <w:t>D.</w:t>
      </w:r>
      <w:r w:rsidRPr="001B67A8">
        <w:tab/>
        <w:t>Considerando que la diplomacia preventiva en la Unión abarca el apoyo político y financiero al sistema multilateral, el comercio, el desarrollo, la ayuda humanitaria y los derechos humanos, centrándose en encontrar oportunidades para abordar las causas de los conflictos y creando espacios para el diálogo, a menudo en asociación con organizaciones internacionales y regionales, así como con partes interesadas;</w:t>
      </w:r>
    </w:p>
    <w:p w14:paraId="547DF7BE" w14:textId="77777777" w:rsidR="00A22885" w:rsidRPr="001B67A8" w:rsidRDefault="00A22885" w:rsidP="00A22885">
      <w:pPr>
        <w:pStyle w:val="NormalHanging12a"/>
      </w:pPr>
      <w:r w:rsidRPr="001B67A8">
        <w:t>E.</w:t>
      </w:r>
      <w:r w:rsidRPr="001B67A8">
        <w:tab/>
        <w:t>Considerando que los conflictos enquistados alimentan y normalizan las narrativas y los sentimientos nacionalistas y perpetúan el auge de la extrema derecha;</w:t>
      </w:r>
    </w:p>
    <w:p w14:paraId="7F960578" w14:textId="77777777" w:rsidR="00A22885" w:rsidRPr="001B67A8" w:rsidRDefault="00A22885" w:rsidP="00A22885">
      <w:pPr>
        <w:pStyle w:val="NormalHanging12a"/>
      </w:pPr>
      <w:r w:rsidRPr="001B67A8">
        <w:t>F.</w:t>
      </w:r>
      <w:r w:rsidRPr="001B67A8">
        <w:tab/>
        <w:t>Considerando que las potencias emergentes se enfrentan a agentes tradicionales y, junto con las nuevas tecnologías y el aumento de la globalización, están conduciendo a un aumento de la competencia internacional que, en combinación con el cambio climático, la seguridad alimentaria y la migración, provoca tensiones crecientes y conflictos en todo el mundo, que también afectan a la Unión;</w:t>
      </w:r>
    </w:p>
    <w:p w14:paraId="395CB771" w14:textId="77777777" w:rsidR="00A22885" w:rsidRPr="001B67A8" w:rsidRDefault="00A22885" w:rsidP="00A22885">
      <w:pPr>
        <w:pStyle w:val="NormalHanging12a"/>
        <w:rPr>
          <w:b/>
          <w:i/>
        </w:rPr>
      </w:pPr>
      <w:r w:rsidRPr="001B67A8">
        <w:t>G.</w:t>
      </w:r>
      <w:r w:rsidRPr="001B67A8">
        <w:tab/>
        <w:t>Considerando que, en la volátil situación geopolítica actual, el orden multilateral basado en normas se ve amenazado y está siendo cuestionado, lo que hace imperativo que la Unión responda a las situaciones de conflicto internacional de acuerdo con sus valores proclamados de derechos humanos, igualdad, libertad, democracia, Estado de Derecho y dignidad humana, con el fin de no seguir debilitando el apoyo al multilateralismo; que están empezando a resurgir algunas antiguas alianzas basadas en el interés común de desarticular este sistema, como la de Brasil, Rusia, India, China y Sudáfrica (BRICS); que las acciones unilaterales de Rusia tuvieron un impacto significativo en la formación de alianzas y el establecimiento de sus esferas de influencia;</w:t>
      </w:r>
    </w:p>
    <w:p w14:paraId="34F644CA" w14:textId="77777777" w:rsidR="00A22885" w:rsidRPr="001B67A8" w:rsidRDefault="00A22885" w:rsidP="00A22885">
      <w:pPr>
        <w:pStyle w:val="NormalHanging12a"/>
      </w:pPr>
      <w:r w:rsidRPr="001B67A8">
        <w:t>H.</w:t>
      </w:r>
      <w:r w:rsidRPr="001B67A8">
        <w:tab/>
        <w:t>Considerando que, en interés y en favor del progreso de la democracia, los derechos humanos y el Estado de Derecho, urge mantener y defender el multilateralismo y un orden internacional basado en normas;</w:t>
      </w:r>
    </w:p>
    <w:p w14:paraId="66B9D1F2" w14:textId="77777777" w:rsidR="00A22885" w:rsidRPr="001B67A8" w:rsidRDefault="00A22885" w:rsidP="00A22885">
      <w:pPr>
        <w:pStyle w:val="NormalHanging12a"/>
      </w:pPr>
      <w:r w:rsidRPr="001B67A8">
        <w:t>I.</w:t>
      </w:r>
      <w:r w:rsidRPr="001B67A8">
        <w:tab/>
        <w:t>Considerando que los agentes autocráticos suponen una amenaza para la universalidad de los derechos humanos y menoscaban las normas democráticas en todo el mundo; que un mundo de democracias saludables, entendido como un mundo de sistemas democráticos sólidos, es un mundo más seguro, dado que estas cuentan con controles y equilibrios significativos que previenen la imprevisibilidad de las autocracias;</w:t>
      </w:r>
      <w:r w:rsidRPr="001B67A8">
        <w:rPr>
          <w:b/>
          <w:i/>
        </w:rPr>
        <w:t xml:space="preserve"> </w:t>
      </w:r>
    </w:p>
    <w:p w14:paraId="01B82595" w14:textId="77777777" w:rsidR="00A22885" w:rsidRPr="001B67A8" w:rsidRDefault="00A22885" w:rsidP="00A22885">
      <w:pPr>
        <w:pStyle w:val="NormalHanging12a"/>
      </w:pPr>
      <w:r w:rsidRPr="001B67A8">
        <w:t>J.</w:t>
      </w:r>
      <w:r w:rsidRPr="001B67A8">
        <w:tab/>
        <w:t>Considerando que los principales conflictos se derivan de que agentes estatales y no estatales utilicen estrategias híbridas, ciberataques, campañas de desinformación e injerencias directas en elecciones y procesos políticos y recurran a la coacción económica y la instrumentalización de los flujos migratorios irregulares;</w:t>
      </w:r>
    </w:p>
    <w:p w14:paraId="1086717D" w14:textId="77777777" w:rsidR="00A22885" w:rsidRPr="001B67A8" w:rsidRDefault="00A22885" w:rsidP="00A22885">
      <w:pPr>
        <w:pStyle w:val="NormalHanging12a"/>
      </w:pPr>
      <w:r w:rsidRPr="001B67A8">
        <w:t>K.</w:t>
      </w:r>
      <w:r w:rsidRPr="001B67A8">
        <w:tab/>
        <w:t>Considerando que la Unión debe fortalecer sus herramientas preventivas y reconocer el papel vital que desempeña en la preservación de la paz, la estabilidad y la seguridad tanto dentro de la Unión como fuera de sus fronteras;</w:t>
      </w:r>
    </w:p>
    <w:p w14:paraId="10BC9046" w14:textId="77777777" w:rsidR="00A22885" w:rsidRPr="001B67A8" w:rsidRDefault="00A22885" w:rsidP="00A22885">
      <w:pPr>
        <w:pStyle w:val="NormalHanging12a"/>
      </w:pPr>
      <w:r w:rsidRPr="001B67A8">
        <w:t>L.</w:t>
      </w:r>
      <w:r w:rsidRPr="001B67A8">
        <w:tab/>
        <w:t xml:space="preserve">Considerando que la Unión es el mayor donante de ayuda internacional en el mundo y proporciona ayuda para superar la pobreza e impulsar el desarrollo mundial; que no ha </w:t>
      </w:r>
      <w:r w:rsidRPr="001B67A8">
        <w:lastRenderedPageBreak/>
        <w:t>logrado el mismo impacto en el ámbito de la diplomacia pública y, por lo tanto, debe mejorar su ambición y visibilidad en el ámbito de la diplomacia preventiva en todo el mundo, sobre todo comunicando sus logros y éxitos en las actividades diplomáticas emprendidas hasta la fecha, así como en los resultados de su apoyo financiero; que la Unión está llevando a cabo una evaluación exhaustiva de los instrumentos de financiación de la cooperación internacional;</w:t>
      </w:r>
    </w:p>
    <w:p w14:paraId="2CF778F7" w14:textId="77777777" w:rsidR="00A22885" w:rsidRPr="001B67A8" w:rsidRDefault="00A22885" w:rsidP="00A22885">
      <w:pPr>
        <w:pStyle w:val="NormalHanging12a"/>
      </w:pPr>
      <w:r w:rsidRPr="001B67A8">
        <w:t>M.</w:t>
      </w:r>
      <w:r w:rsidRPr="001B67A8">
        <w:tab/>
        <w:t>Considerando que el enfoque de la Unión de la diplomacia preventiva tiene por objeto preservar la paz, prevenir conflictos y reforzar la seguridad internacional, lo que implica acciones multidimensionales, multinivel y multilaterales, al tiempo que se abordan varios aspectos y etapas de conflictos y se facilitan espacios para el diálogo;</w:t>
      </w:r>
    </w:p>
    <w:p w14:paraId="2CE863AA" w14:textId="77777777" w:rsidR="00A22885" w:rsidRPr="001B67A8" w:rsidRDefault="00A22885" w:rsidP="00A22885">
      <w:pPr>
        <w:pStyle w:val="NormalHanging12a"/>
      </w:pPr>
      <w:r w:rsidRPr="001B67A8">
        <w:t>N.</w:t>
      </w:r>
      <w:r w:rsidRPr="001B67A8">
        <w:tab/>
        <w:t>Considerando que la dependencia exclusiva de estrategias políticas, diplomáticas o militares a menudo demuestra ser inadecuada para la prevención de conflictos y que, por tanto, es necesario un enfoque de prevención de conflictos y consolidación de la paz global, ambicioso, inclusivo y con perspectiva de género, que implique ayuda humanitaria, cooperación al desarrollo, una política de comercio, una política exterior y de seguridad, la restauración y el mantenimiento del ordenamiento jurídico interno, la creación o remodelación de estructuras administrativas, el diálogo interétnico e interconfesional y otros enfoques de resolución de conflictos, incluida la lucha contra la impunidad; que las acciones de la Unión en materia de diplomacia preventiva deben guiarse principalmente por un compromiso inquebrantable con la cooperación para la democracia y el desarrollo y las medidas de desarrollo de la confianza entre las distintas partes;</w:t>
      </w:r>
    </w:p>
    <w:p w14:paraId="6A44329E" w14:textId="77777777" w:rsidR="00A22885" w:rsidRPr="001B67A8" w:rsidRDefault="00A22885" w:rsidP="00A22885">
      <w:pPr>
        <w:pStyle w:val="NormalHanging12a"/>
      </w:pPr>
      <w:r w:rsidRPr="001B67A8">
        <w:t>O.</w:t>
      </w:r>
      <w:r w:rsidRPr="001B67A8">
        <w:tab/>
        <w:t>Considerando que los esfuerzos internacionales de la Unión en materia de desarrollo y apoyo a la democracia son instrumentos clave de la política exterior de la Unión; que las misiones de observación electoral desempeñan son importantes para el refuerzo del compromiso de la Unión con los países socios, en particular el apoyo a sus esfuerzos por cumplir sus obligaciones internacionales en materia de derechos humanos;</w:t>
      </w:r>
    </w:p>
    <w:p w14:paraId="5556CAA3" w14:textId="77777777" w:rsidR="00A22885" w:rsidRPr="001B67A8" w:rsidRDefault="00A22885" w:rsidP="00A22885">
      <w:pPr>
        <w:pStyle w:val="NormalHanging12a"/>
      </w:pPr>
      <w:r w:rsidRPr="001B67A8">
        <w:t>P.</w:t>
      </w:r>
      <w:r w:rsidRPr="001B67A8">
        <w:tab/>
        <w:t>Considerando que, de conformidad con el nuevo Consenso Europeo en materia de Desarrollo, la Unión y sus Estados miembros reconocen el nexo entre el desarrollo sostenible, la acción humanitaria, la paz y la seguridad en la consecución de los objetivos de la Agenda 2030 de las Naciones Unidas para el Desarrollo Sostenible y los Objetivos de Desarrollo Sostenible (ODS), en particular el ODS 16 sobre la promoción de sociedades justas, pacíficas e inclusivas;</w:t>
      </w:r>
    </w:p>
    <w:p w14:paraId="7DA8B6FD" w14:textId="77777777" w:rsidR="00A22885" w:rsidRPr="001B67A8" w:rsidRDefault="00A22885" w:rsidP="00A22885">
      <w:pPr>
        <w:pStyle w:val="NormalHanging12a"/>
      </w:pPr>
      <w:r w:rsidRPr="001B67A8">
        <w:t>Q.</w:t>
      </w:r>
      <w:r w:rsidRPr="001B67A8">
        <w:tab/>
        <w:t>Considerando que el Consejo ha nombrado nueve representantes especiales de la Unión para diferentes regiones inestables y afectadas por conflictos, algunos de los cuales actuarán como mediadores y facilitadores de la paz para impedir la escalada de las disputas y limitar la propagación de conflictos, cuando se produzcan, pero que sus iniciativas y los efectos de sus acciones no siempre son lo bastante visibles o eficaces; que resulta importante que los representantes especiales de la Unión tengan un mandato amplio y flexible, capaz de adaptarse a circunstancias geopolíticas cambiantes con el fin de promover las políticas e intereses de la Unión en regiones y países concretos y de desempeñar un papel activo en los esfuerzos de diplomacia preventiva;</w:t>
      </w:r>
    </w:p>
    <w:p w14:paraId="4C80F7B4" w14:textId="77777777" w:rsidR="00A22885" w:rsidRPr="001B67A8" w:rsidRDefault="00A22885" w:rsidP="00A22885">
      <w:pPr>
        <w:pStyle w:val="NormalHanging12a"/>
      </w:pPr>
      <w:r w:rsidRPr="001B67A8">
        <w:t>R.</w:t>
      </w:r>
      <w:r w:rsidRPr="001B67A8">
        <w:tab/>
        <w:t xml:space="preserve">Considerando que la Unión no dispone de la confianza, los medios, los recursos o las herramientas necesarios para desarrollar plenamente su potencial de mediación en ámbitos de importancia estratégica y que una o varias de las partes en conflicto podrían </w:t>
      </w:r>
      <w:r w:rsidRPr="001B67A8">
        <w:lastRenderedPageBreak/>
        <w:t>no considerarla imparcial; que esto podría llevar a un auge de las narrativas antieuropeas en la vecindad inmediata de la Unión y en los países no pertenecientes a la Unión;</w:t>
      </w:r>
    </w:p>
    <w:p w14:paraId="0AAB8E88" w14:textId="77777777" w:rsidR="00A22885" w:rsidRPr="001B67A8" w:rsidRDefault="00A22885" w:rsidP="00A22885">
      <w:pPr>
        <w:pStyle w:val="NormalHanging12a"/>
      </w:pPr>
      <w:r w:rsidRPr="001B67A8">
        <w:t>S.</w:t>
      </w:r>
      <w:r w:rsidRPr="001B67A8">
        <w:tab/>
        <w:t>Considerando que la guerra de agresión ilegal, no provocada e injustificada de Rusia contra Ucrania y contra Georgia en agosto de 2008 y sus consecuencias en todo el mundo ponen de relieve la necesidad de una acción de la Unión más fuerte, ambiciosa, creíble, estratégica, tangible y unificada en la escena mundial, y acentúan la necesidad de que la Unión establezca de manera autónoma sus propios objetivos estratégicos y desarrolle y despliegue las capacidades necesarias para conseguirlos, con el fin de evitar repetir errores previos y de aprender de ellos para futuros desafíos; que la Unión debe comprometer todos los recursos financieros necesarios para hacer frente a los retos geopolíticos que están aumentando rápidamente e invertir más en diplomacia preventiva y otras medidas de prevención de conflictos para evitar la propagación de los conflictos, ya que son perjudiciales para el desarrollo social y económico de las zonas afectadas;</w:t>
      </w:r>
    </w:p>
    <w:p w14:paraId="7287BE96" w14:textId="77777777" w:rsidR="00A22885" w:rsidRPr="001B67A8" w:rsidRDefault="00A22885" w:rsidP="00A22885">
      <w:pPr>
        <w:pStyle w:val="NormalHanging12a"/>
      </w:pPr>
      <w:r w:rsidRPr="001B67A8">
        <w:t>T.</w:t>
      </w:r>
      <w:r w:rsidRPr="001B67A8">
        <w:tab/>
        <w:t>Considerando que la seguridad en la vecindad oriental, en los Balcanes Occidentales, en el Sahel, en África Occidental y en el Cuerno de África se ve gravemente amenazada por la invasión rusa de Ucrania, las acciones híbridas maliciosas de Rusia y la posibilidad de que esta agresión se extienda a los países vecinos; que la desestabilización de nuestros vecinos inmediatos amenaza la estabilidad, la paz y la seguridad de las fronteras exteriores de la Unión y, por consiguiente, de la Unión y de sus Estados miembros; que la Unión debe aumentar la eficacia de la política de seguridad y defensa de la Unión, en particular en los países de la Asociación Oriental;</w:t>
      </w:r>
    </w:p>
    <w:p w14:paraId="5CA76FC2" w14:textId="77777777" w:rsidR="00A22885" w:rsidRPr="001B67A8" w:rsidRDefault="00A22885" w:rsidP="00A22885">
      <w:pPr>
        <w:pStyle w:val="NormalHanging12a"/>
      </w:pPr>
      <w:r w:rsidRPr="001B67A8">
        <w:t>U.</w:t>
      </w:r>
      <w:r w:rsidRPr="001B67A8">
        <w:tab/>
        <w:t>Considerando que la guerra de agresión de Rusia contra Ucrania es una llamada de atención para la Unión, y representa una amenaza inmediata para la arquitectura de seguridad europea y mundial y para la seguridad de la Unión y sus Estados miembros, así como para sus países candidatos y sus potenciales países candidatos; que la invasión rusa a gran escala de Ucrania y sus consecuencias en todo el mundo han estimulado el impulso para lograr una redefinición geopolítica de la política exterior de la Unión, incluido un reexamen de sus mecanismos de respuesta, como su conjunto de instrumentos de diplomacia preventiva, y han desencadenado llamamientos públicos para que la Unión actúe de una manera coherente en respuesta a conflictos internacionales;</w:t>
      </w:r>
    </w:p>
    <w:p w14:paraId="1E775BA4" w14:textId="77777777" w:rsidR="00A22885" w:rsidRPr="001B67A8" w:rsidRDefault="00A22885" w:rsidP="00A22885">
      <w:pPr>
        <w:pStyle w:val="NormalHanging12a"/>
      </w:pPr>
      <w:r w:rsidRPr="001B67A8">
        <w:t>V.</w:t>
      </w:r>
      <w:r w:rsidRPr="001B67A8">
        <w:tab/>
        <w:t>Considerando que la Unión debe perseguir activamente la diplomacia preventiva en las regiones de conflictos enquistados para prevenir su escalada y promover la estabilización;</w:t>
      </w:r>
    </w:p>
    <w:p w14:paraId="64036736" w14:textId="77777777" w:rsidR="00A22885" w:rsidRPr="001B67A8" w:rsidRDefault="00A22885" w:rsidP="00A22885">
      <w:pPr>
        <w:pStyle w:val="NormalHanging12a"/>
      </w:pPr>
      <w:r w:rsidRPr="001B67A8">
        <w:t>W.</w:t>
      </w:r>
      <w:r w:rsidRPr="001B67A8">
        <w:tab/>
        <w:t>Considerando que la Unión siempre ha intentado facilitar conversaciones directas y reducir el riesgo de escalada en distintas regiones del mundo, ofreciendo apoyo a los procesos de paz, las iniciativas de consolidación de paz y los sistemas regionales de alerta rápida en un contexto geopolítico complejo;</w:t>
      </w:r>
    </w:p>
    <w:p w14:paraId="719B6B24" w14:textId="77777777" w:rsidR="00A22885" w:rsidRPr="001B67A8" w:rsidRDefault="00A22885" w:rsidP="00A22885">
      <w:pPr>
        <w:spacing w:after="240"/>
        <w:ind w:left="567" w:hanging="567"/>
      </w:pPr>
      <w:r w:rsidRPr="001B67A8">
        <w:t>X.</w:t>
      </w:r>
      <w:r w:rsidRPr="001B67A8">
        <w:tab/>
        <w:t>Considerando que la falta de voluntad de los Estados miembros para alejarse de sus intereses individuales, políticos o económicos en las relaciones exteriores con el fin de desarrollar conjuntamente capacidades conjuntas y desarrollar completamente su autonomía estratégica constituye uno de los principales obstáculos para el liderazgo mundial de la Unión en materia de diplomacia preventiva;</w:t>
      </w:r>
    </w:p>
    <w:p w14:paraId="726A2CD3" w14:textId="77777777" w:rsidR="00A22885" w:rsidRPr="001B67A8" w:rsidRDefault="00A22885" w:rsidP="00A22885">
      <w:pPr>
        <w:pStyle w:val="NormalHanging12a"/>
      </w:pPr>
      <w:r w:rsidRPr="001B67A8">
        <w:lastRenderedPageBreak/>
        <w:t>Y.</w:t>
      </w:r>
      <w:r w:rsidRPr="001B67A8">
        <w:tab/>
        <w:t>Considerando que la Unión debe seguir avanzando hacia el pleno desarrollo de sus instrumentos propios, autónomos y permanentes en su acción exterior, la política exterior y de seguridad común (PESC) y la política común de seguridad y defensa (PCSD);</w:t>
      </w:r>
    </w:p>
    <w:p w14:paraId="6E469874" w14:textId="77777777" w:rsidR="00A22885" w:rsidRPr="001B67A8" w:rsidRDefault="00A22885" w:rsidP="00A22885">
      <w:pPr>
        <w:pStyle w:val="NormalHanging12a"/>
      </w:pPr>
      <w:r w:rsidRPr="001B67A8">
        <w:t>Z.</w:t>
      </w:r>
      <w:r w:rsidRPr="001B67A8">
        <w:tab/>
        <w:t>Considerando que la gestión de crisis civiles es un componente fundamental de la PESC;</w:t>
      </w:r>
    </w:p>
    <w:p w14:paraId="25539972" w14:textId="77777777" w:rsidR="00A22885" w:rsidRPr="001B67A8" w:rsidRDefault="00A22885" w:rsidP="00A22885">
      <w:pPr>
        <w:pStyle w:val="NormalHanging12a"/>
      </w:pPr>
      <w:r w:rsidRPr="001B67A8">
        <w:t>AA.</w:t>
      </w:r>
      <w:r w:rsidRPr="001B67A8">
        <w:tab/>
        <w:t>Considerando que la coordinación entre el Servicio Europeo de Acción Exterior (SEAE), el Parlamento y los Estados miembros debe reevaluarse y reforzarse para desarrollar capacidades conjuntas y modernizar los enfoques actuales con el fin de obtener resultados tangibles y de poner en marcha iniciativas significativas en materia de diplomacia preventiva y establecimiento y consolidación de la paz; que la Unión debe hablar con una sola voz y su acción sobre el terreno debe estar en consonancia con la de sus Estados miembros, en términos de alerta rápida, prevención de conflictos y gestión de crisis; que la prevención de conflictos es un objetivo común de todos los Estados miembros;</w:t>
      </w:r>
    </w:p>
    <w:p w14:paraId="13327545" w14:textId="77777777" w:rsidR="00A22885" w:rsidRPr="001B67A8" w:rsidRDefault="00A22885" w:rsidP="00A22885">
      <w:pPr>
        <w:pStyle w:val="NormalHanging12a"/>
      </w:pPr>
      <w:r w:rsidRPr="001B67A8">
        <w:t>AB.</w:t>
      </w:r>
      <w:r w:rsidRPr="001B67A8">
        <w:tab/>
        <w:t>Considerando que la credibilidad de la Unión es un requisito capital para la correcta ejecución de sus acciones de diplomacia preventiva, ya que refuerza la confianza hacia la Unión entre los distintos agentes implicados en un conflicto; que, a este respecto, resulta necesario garantizar el nivel más alto de coordinación y coherencia en la acción exterior de la Unión, en particular garantizando el papel de liderazgo del vicepresidente de la Comisión / alto representante de la Unión para Asuntos Exteriores y Política de Seguridad (AR/VP) como constructor de puentes entre la PESC y las relaciones exteriores de la Unión; que la Comisión debe reforzar su coordinación con el SEAE, también en las iniciativas y acciones de diplomacia preventiva de la Unión, garantizando el pleno cumplimiento del artículo 3, apartado 2, y el artículo 9 de la Decisión sobre el SEAE</w:t>
      </w:r>
      <w:r w:rsidRPr="001B67A8">
        <w:rPr>
          <w:rStyle w:val="FootnoteReference"/>
        </w:rPr>
        <w:footnoteReference w:id="6"/>
      </w:r>
      <w:r w:rsidRPr="001B67A8">
        <w:t xml:space="preserve">; </w:t>
      </w:r>
    </w:p>
    <w:p w14:paraId="11C99D27" w14:textId="77777777" w:rsidR="00A22885" w:rsidRPr="001B67A8" w:rsidRDefault="00A22885" w:rsidP="00A22885">
      <w:pPr>
        <w:pStyle w:val="NormalHanging12a"/>
      </w:pPr>
      <w:r w:rsidRPr="001B67A8">
        <w:t>AC.</w:t>
      </w:r>
      <w:r w:rsidRPr="001B67A8">
        <w:tab/>
        <w:t>Considerando que la financiación mundial para la prevención de conflictos y la consolidación de la paz ha alcanzado un récord mínimo con respecto a los últimos quince años</w:t>
      </w:r>
      <w:r w:rsidRPr="001B67A8">
        <w:rPr>
          <w:vertAlign w:val="superscript"/>
        </w:rPr>
        <w:footnoteReference w:id="7"/>
      </w:r>
      <w:r w:rsidRPr="001B67A8">
        <w:t>;</w:t>
      </w:r>
    </w:p>
    <w:p w14:paraId="7E9EA6C6" w14:textId="77777777" w:rsidR="00A22885" w:rsidRPr="001B67A8" w:rsidRDefault="00A22885" w:rsidP="00A22885">
      <w:pPr>
        <w:pStyle w:val="NormalHanging12a"/>
      </w:pPr>
      <w:r w:rsidRPr="001B67A8">
        <w:t>AD.</w:t>
      </w:r>
      <w:r w:rsidRPr="001B67A8">
        <w:tab/>
        <w:t>Considerando que, dentro del Instrumento de Vecindad, Cooperación al Desarrollo y Cooperación Internacional (IVDCI - Europa Global), existe un programa temático sobre paz, estabilidad y prevención de conflictos; que la Comisión ha publicado un programa indicativo plurianual (PIP) en el marco del cual se destinan 870 970 044 EUR para el período 2021-2027 a este ámbito temático, de los que solo entre el 13 y el 18 % se destinará a la prevención de conflictos;</w:t>
      </w:r>
    </w:p>
    <w:p w14:paraId="2770F051" w14:textId="77777777" w:rsidR="00A22885" w:rsidRPr="001B67A8" w:rsidRDefault="00A22885" w:rsidP="00A22885">
      <w:pPr>
        <w:pStyle w:val="NormalHanging12a"/>
      </w:pPr>
      <w:r w:rsidRPr="001B67A8">
        <w:t>AE.</w:t>
      </w:r>
      <w:r w:rsidRPr="001B67A8">
        <w:tab/>
        <w:t xml:space="preserve">Considerando que las operaciones civiles y militares de la Unión tienen un mandato para la prevención de conflictos, el mantenimiento de la paz y la gestión de crisis; que debe ampliarse su capacidad de conjunto de herramientas preventivas y proporcionar </w:t>
      </w:r>
      <w:r w:rsidRPr="001B67A8">
        <w:lastRenderedPageBreak/>
        <w:t>formación adicional al personal;</w:t>
      </w:r>
    </w:p>
    <w:p w14:paraId="32C02CF7" w14:textId="77777777" w:rsidR="00A22885" w:rsidRPr="001B67A8" w:rsidRDefault="00A22885" w:rsidP="00A22885">
      <w:pPr>
        <w:pStyle w:val="NormalHanging12a"/>
      </w:pPr>
      <w:r w:rsidRPr="001B67A8">
        <w:t>AF.</w:t>
      </w:r>
      <w:r w:rsidRPr="001B67A8">
        <w:tab/>
        <w:t>Considerando que, lamentablemente, la Unión ha demostrado en varias ocasiones una falta de claridad en su representación exterior, que ha afectado ostensiblemente a su coherencia y, por consiguiente, a su credibilidad en todo el mundo; que es necesario definir claramente las competencias del AR/VP, el presidente de la Comisión y el presidente del Consejo Europeo en relación con la representación y acción exterior de la Unión, puesto que el marco reglamentario vigente no refleja con precisión las competencias de cada figura institucional;</w:t>
      </w:r>
    </w:p>
    <w:p w14:paraId="1189DBE5" w14:textId="77777777" w:rsidR="00A22885" w:rsidRPr="001B67A8" w:rsidRDefault="00A22885" w:rsidP="00A22885">
      <w:pPr>
        <w:pStyle w:val="NormalHanging12a"/>
      </w:pPr>
      <w:r w:rsidRPr="001B67A8">
        <w:t>AG. Considerando que la investigación demuestra que las mujeres y los hombres experimentan y participan en los conflictos armados violentos, así como se ven afectados por ellos, de modo distinto y tienen una concepción diferente de la paz</w:t>
      </w:r>
      <w:r w:rsidRPr="001B67A8">
        <w:rPr>
          <w:vertAlign w:val="superscript"/>
        </w:rPr>
        <w:footnoteReference w:id="8"/>
      </w:r>
      <w:r w:rsidRPr="001B67A8">
        <w:t>;</w:t>
      </w:r>
    </w:p>
    <w:p w14:paraId="70C5A3B3" w14:textId="77777777" w:rsidR="00A22885" w:rsidRPr="001B67A8" w:rsidRDefault="00A22885" w:rsidP="00A22885">
      <w:pPr>
        <w:pStyle w:val="NormalHanging12a"/>
      </w:pPr>
      <w:r w:rsidRPr="001B67A8">
        <w:t>AH.</w:t>
      </w:r>
      <w:r w:rsidRPr="001B67A8">
        <w:tab/>
        <w:t xml:space="preserve">Considerando que la aplicación de la agenda sobre las mujeres, la paz y la seguridad representa un instrumento esencial para confirmar que se garantiza un papel significativo y equitativo en la toma de decisiones para las mujeres de todas las edades durante todas las fases de la prevención de conflictos, el establecimiento y la consolidación de la paz y la reconstrucción posterior al conflicto; que, en la Brújula Estratégica de la Unión, las mujeres, la paz y la seguridad forman parte integrante del documento; </w:t>
      </w:r>
    </w:p>
    <w:p w14:paraId="6925FD1D" w14:textId="77777777" w:rsidR="00A22885" w:rsidRPr="001B67A8" w:rsidRDefault="00A22885" w:rsidP="00A22885">
      <w:pPr>
        <w:pStyle w:val="NormalHanging12a"/>
      </w:pPr>
      <w:r w:rsidRPr="001B67A8">
        <w:t>AI.</w:t>
      </w:r>
      <w:r w:rsidRPr="001B67A8">
        <w:tab/>
        <w:t xml:space="preserve">Considerando que los monumentos emblemáticos y de patrimonio cultural en zonas afectadas por conflictos contribuyen a la consolidación de la paz y a la reconciliación entre comunidades; </w:t>
      </w:r>
    </w:p>
    <w:p w14:paraId="716C41BC" w14:textId="77777777" w:rsidR="00A22885" w:rsidRPr="001B67A8" w:rsidRDefault="00A22885" w:rsidP="00A22885">
      <w:pPr>
        <w:pStyle w:val="NormalHanging12a"/>
      </w:pPr>
      <w:r w:rsidRPr="001B67A8">
        <w:t>AJ.</w:t>
      </w:r>
      <w:r w:rsidRPr="001B67A8">
        <w:tab/>
        <w:t xml:space="preserve">Considerando que el apoyo a la cultura y unos recursos claramente orientados a las relaciones culturales internacionales mejorarían en gran medida la capacidad de la Unión para desarrollarse plenamente y contribuirían a sus relaciones interculturales con sus socios en cuanto elemento valioso del conjunto de instrumentos de diplomacia preventiva; </w:t>
      </w:r>
    </w:p>
    <w:p w14:paraId="6122C155" w14:textId="77777777" w:rsidR="00A22885" w:rsidRPr="001B67A8" w:rsidRDefault="00A22885" w:rsidP="00A22885">
      <w:pPr>
        <w:pStyle w:val="NormalHanging12a"/>
      </w:pPr>
      <w:r w:rsidRPr="001B67A8">
        <w:t>AK.</w:t>
      </w:r>
      <w:r w:rsidRPr="001B67A8">
        <w:tab/>
        <w:t>Considerando que la diplomacia cultural de la Unión y la protección del patrimonio cultural e histórico son importantes para la coexistencia, la paz, la democracia y el desarrollo sostenible, al promover la solidaridad, la tolerancia y la reconciliación a través de sus delegaciones y agentes sobre el terreno;</w:t>
      </w:r>
    </w:p>
    <w:p w14:paraId="0D5FB36C" w14:textId="07161A0D" w:rsidR="00A22885" w:rsidRDefault="00A22885" w:rsidP="00A22885">
      <w:pPr>
        <w:pStyle w:val="NormalHanging12a"/>
      </w:pPr>
      <w:r w:rsidRPr="001B67A8">
        <w:t>AL.</w:t>
      </w:r>
      <w:r w:rsidRPr="001B67A8">
        <w:tab/>
        <w:t xml:space="preserve">Considerando que el regreso de los Estados Unidos a la Organización de las Naciones Unidas para la Educación, la Ciencia y la Cultura (Unesco) es importante para la cooperación mundial en retos transnacionales, incluidos los esfuerzos de diplomacia preventiva; </w:t>
      </w:r>
    </w:p>
    <w:p w14:paraId="75F2242F" w14:textId="409C6E73" w:rsidR="0014126E" w:rsidRPr="0014126E" w:rsidRDefault="0014126E" w:rsidP="00A22885">
      <w:pPr>
        <w:pStyle w:val="NormalHanging12a"/>
      </w:pPr>
      <w:r>
        <w:t>AM</w:t>
      </w:r>
      <w:r w:rsidRPr="00E42904">
        <w:t>.</w:t>
      </w:r>
      <w:r w:rsidRPr="0014126E">
        <w:tab/>
      </w:r>
      <w:r w:rsidRPr="00E42904">
        <w:t>Considerando que el creciente eje Rusia</w:t>
      </w:r>
      <w:r w:rsidRPr="00E42904">
        <w:noBreakHyphen/>
        <w:t>China</w:t>
      </w:r>
      <w:r w:rsidRPr="00E42904">
        <w:noBreakHyphen/>
        <w:t>Irán está instrumentalizando las organizaciones internacionales, en particular los organismos de las Naciones Unidas, para erosionar el Derecho internacional y subyugarlas a sus intereses, lo que contradice cada vez más la Carta de las Naciones Unidas y el orden mundial basado en normas;</w:t>
      </w:r>
    </w:p>
    <w:p w14:paraId="2B72EC09" w14:textId="5117436A" w:rsidR="00A22885" w:rsidRPr="001B67A8" w:rsidRDefault="0014126E" w:rsidP="00A22885">
      <w:pPr>
        <w:pStyle w:val="NormalHanging12a"/>
      </w:pPr>
      <w:r w:rsidRPr="001B67A8">
        <w:lastRenderedPageBreak/>
        <w:t>AN.</w:t>
      </w:r>
      <w:r w:rsidRPr="001B67A8">
        <w:tab/>
      </w:r>
      <w:r w:rsidR="00A22885" w:rsidRPr="001B67A8">
        <w:t xml:space="preserve">Considerando que la diplomacia climática enmarca el cambio climático como un elemento de la política de acción exterior y recalca la necesidad de integrar los objetivos climáticos y de abordar los riesgos climáticos al nivel diplomático más alto y en todos los ámbitos de actuación; </w:t>
      </w:r>
    </w:p>
    <w:p w14:paraId="72D5D8C7" w14:textId="048226D5" w:rsidR="00A22885" w:rsidRDefault="0014126E" w:rsidP="00A22885">
      <w:pPr>
        <w:pStyle w:val="NormalHanging12a"/>
      </w:pPr>
      <w:r w:rsidRPr="001B67A8">
        <w:t>A</w:t>
      </w:r>
      <w:r>
        <w:t>O</w:t>
      </w:r>
      <w:r w:rsidR="00A22885" w:rsidRPr="001B67A8">
        <w:t>.</w:t>
      </w:r>
      <w:r w:rsidR="00A22885" w:rsidRPr="001B67A8">
        <w:tab/>
        <w:t>Considerando que la cooperación con Estados miembros, instituciones, socios transatlánticos e internacionales, países candidatos a la Unión y otros países a través del intercambio de instrumentos, información y prácticas puede desempeñar un papel fundamental en la actualización y la mejora de los instrumentos de diplomacia preventiva de la Unión;</w:t>
      </w:r>
    </w:p>
    <w:p w14:paraId="4B4B0D3F" w14:textId="76B09B08" w:rsidR="0014126E" w:rsidRPr="0014126E" w:rsidRDefault="0014126E" w:rsidP="00A22885">
      <w:pPr>
        <w:pStyle w:val="NormalHanging12a"/>
      </w:pPr>
      <w:r w:rsidRPr="00E42904">
        <w:t>AP.</w:t>
      </w:r>
      <w:r w:rsidRPr="0014126E">
        <w:tab/>
      </w:r>
      <w:r w:rsidRPr="00E42904">
        <w:t>Considerando que el reciente aumento de las tensiones entre Venezuela y Guyana sobre la región del Esequibo constituye una oportunidad para que la comunidad internacional, incluida la Unión, adopte medidas diplomáticas preventivas urgentes antes de que el asunto siga escalando;</w:t>
      </w:r>
    </w:p>
    <w:p w14:paraId="10EA3D63" w14:textId="56195FA3" w:rsidR="00A22885" w:rsidRPr="001B67A8" w:rsidRDefault="00A22885" w:rsidP="00A22885">
      <w:pPr>
        <w:pStyle w:val="NormalHanging12a"/>
      </w:pPr>
      <w:r w:rsidRPr="001B67A8">
        <w:t>1.</w:t>
      </w:r>
      <w:r w:rsidRPr="001B67A8">
        <w:tab/>
        <w:t xml:space="preserve">Recomienda al Consejo, </w:t>
      </w:r>
      <w:r w:rsidR="00192C06" w:rsidRPr="001B67A8">
        <w:t>al vicepresidente de la Comisión / alto representante de la Unión para Asuntos Exteriores y Política de Seguridad</w:t>
      </w:r>
      <w:r w:rsidRPr="001B67A8">
        <w:t>:</w:t>
      </w:r>
    </w:p>
    <w:p w14:paraId="0541B272" w14:textId="77777777" w:rsidR="00A22885" w:rsidRPr="001B67A8" w:rsidRDefault="00A22885" w:rsidP="00A22885">
      <w:pPr>
        <w:pStyle w:val="NormalHanging12a"/>
        <w:ind w:left="1134"/>
      </w:pPr>
      <w:r w:rsidRPr="001B67A8">
        <w:t>a)</w:t>
      </w:r>
      <w:r w:rsidRPr="001B67A8">
        <w:tab/>
        <w:t>que reconozcan el estrecho vínculo entre las dimensiones interior y exterior de la política y la seguridad de la Unión y lo reflejen a la hora de abordar la prevención y resolución de conflictos, así como que la diplomacia preventiva debe tener lugar tanto dentro como fuera de la Unión; que aprovechen plenamente las posibilidades ofrecidas por el Tratado de Lisboa para el refuerzo de los mecanismos de coordinación existentes; que reconozcan la necesidad de poner fin a la interpretación restrictiva de la seguridad e iniciar el debate a partir de un concepto que no omita factores como los peligros medioambientales, la amenaza de enfermedades, el hambre, la injusticia social, la desinformación y la violencia;</w:t>
      </w:r>
    </w:p>
    <w:p w14:paraId="44676AB9" w14:textId="77777777" w:rsidR="00A22885" w:rsidRPr="001B67A8" w:rsidRDefault="00A22885" w:rsidP="00A22885">
      <w:pPr>
        <w:pStyle w:val="NormalHanging12a"/>
        <w:ind w:left="1134"/>
      </w:pPr>
      <w:r w:rsidRPr="001B67A8">
        <w:t>b)</w:t>
      </w:r>
      <w:r w:rsidRPr="001B67A8">
        <w:tab/>
        <w:t>que sitúen el respeto de los derechos fundamentales, constitucionales y humanos, así como la salvaguardia de las libertades civiles, en el centro de la política de seguridad interior y exterior y de su labor de diplomacia preventiva, ya que la capacidad de la Unión para ejercer de actor mundial en materia de política exterior, socio internacional fiable, mediador imparcial y agente creíble en materia de seguridad y defensa se basa en su capacidad para promover estos valores, al tiempo que define, hace valer y defiende de forma proactiva sus intereses en el mundo;</w:t>
      </w:r>
    </w:p>
    <w:p w14:paraId="4E761499" w14:textId="77777777" w:rsidR="00A22885" w:rsidRPr="001B67A8" w:rsidRDefault="00A22885" w:rsidP="00A22885">
      <w:pPr>
        <w:pStyle w:val="NormalHanging12a"/>
        <w:ind w:left="1134"/>
      </w:pPr>
      <w:r w:rsidRPr="001B67A8">
        <w:t>c)</w:t>
      </w:r>
      <w:r w:rsidRPr="001B67A8">
        <w:tab/>
        <w:t>que adapten y actualicen periódicamente los instrumentos de prevención y resolución de conflictos de la Unión a la naturaleza cambiante de los conflictos, también como consecuencia del cambio climático y las consiguientes catástrofes, la inestabilidad política, los peligros para el medio ambiente, la amenaza de enfermedades, el hambre, la injusticia social, el auge de las nuevas tecnologías, la carrera mundial por las materias primas, las crecientes desigualdades en todo el mundo y la escasez de alimentos, al mismo tiempo que evalúan continuamente los retos mundiales emergentes y promueven de modo eficaz la paz, la estabilidad y la seguridad;</w:t>
      </w:r>
    </w:p>
    <w:p w14:paraId="2300FFCF" w14:textId="77777777" w:rsidR="00A22885" w:rsidRPr="001B67A8" w:rsidRDefault="00A22885" w:rsidP="00A22885">
      <w:pPr>
        <w:pStyle w:val="NormalHanging12a"/>
        <w:ind w:left="1134"/>
      </w:pPr>
      <w:r w:rsidRPr="001B67A8">
        <w:t>d)</w:t>
      </w:r>
      <w:r w:rsidRPr="001B67A8">
        <w:tab/>
        <w:t xml:space="preserve">que refuercen su papel y su participación significativa en los procesos de prevención y resolución de conflictos, así como de mediación en la aplicación de los acuerdos de alto el fuego mediados por la Unión, a fin de garantizar un </w:t>
      </w:r>
      <w:r w:rsidRPr="001B67A8">
        <w:lastRenderedPageBreak/>
        <w:t>funcionamiento eficiente de los instrumentos aplicados por la Unión y facilitar avances tangibles;</w:t>
      </w:r>
    </w:p>
    <w:p w14:paraId="786273F3" w14:textId="77777777" w:rsidR="00A22885" w:rsidRPr="001B67A8" w:rsidRDefault="00A22885" w:rsidP="00A22885">
      <w:pPr>
        <w:pStyle w:val="NormalHanging12a"/>
        <w:ind w:left="1134"/>
      </w:pPr>
      <w:r w:rsidRPr="001B67A8">
        <w:t>e)</w:t>
      </w:r>
      <w:r w:rsidRPr="001B67A8">
        <w:tab/>
        <w:t>que aprovechen plenamente los medios a su disposición para prevenir conflictos, armonizar la prevención y la resolución de conflictos de la Unión, seguir desarrollando los instrumentos en consonancia con su agenda geopolítica y los valores de la Unión y actuar como garante de la aplicación de los acuerdos de alto el fuego mediados por la Unión y como un mediador equidistante y que se base en valores durante las crisis y los conflictos en todo el mundo, habida cuenta de que la Unión es conocida por su legitimidad, credibilidad, imparcialidad e inclusividad; que garanticen el respeto de la soberanía de los países en cualquier acto de diplomacia preventiva; que recuerden que la Unión debe desempeñar un importante papel diplomático para poner fin a los conflictos en todo el mundo;</w:t>
      </w:r>
    </w:p>
    <w:p w14:paraId="7407239D" w14:textId="77777777" w:rsidR="00A22885" w:rsidRPr="001B67A8" w:rsidRDefault="00A22885" w:rsidP="00A22885">
      <w:pPr>
        <w:pStyle w:val="NormalHanging12a"/>
        <w:ind w:left="1134"/>
      </w:pPr>
      <w:r w:rsidRPr="001B67A8">
        <w:t>f)</w:t>
      </w:r>
      <w:r w:rsidRPr="001B67A8">
        <w:tab/>
        <w:t>que integren los instrumentos de diplomacia preventiva de la Unión dentro de los mecanismos y acciones de prevención estructural, como por ejemplo acuerdos políticos entre distintos agentes implicados en conflictos y diálogos nacionales para la reconciliación, la consolidación de la paz y la justicia transicional, así como comisiones de la verdad y de la reconciliación;</w:t>
      </w:r>
    </w:p>
    <w:p w14:paraId="50EE456E" w14:textId="77777777" w:rsidR="00A22885" w:rsidRPr="001B67A8" w:rsidRDefault="00A22885" w:rsidP="00A22885">
      <w:pPr>
        <w:pStyle w:val="NormalHanging12a"/>
        <w:ind w:left="1134"/>
      </w:pPr>
      <w:r w:rsidRPr="001B67A8">
        <w:t>g)</w:t>
      </w:r>
      <w:r w:rsidRPr="001B67A8">
        <w:tab/>
        <w:t>que integren el patrimonio cultural en el enfoque global de la Unión de la gestión de crisis, como componente transversal de todas las acciones dentro del conjunto de instrumentos de la Unión para los conflictos y las crisis;</w:t>
      </w:r>
    </w:p>
    <w:p w14:paraId="5FEA6F7D" w14:textId="77777777" w:rsidR="00A22885" w:rsidRPr="001B67A8" w:rsidRDefault="00A22885" w:rsidP="00A22885">
      <w:pPr>
        <w:pStyle w:val="NormalHanging12a"/>
        <w:ind w:left="1134"/>
      </w:pPr>
      <w:r w:rsidRPr="001B67A8">
        <w:t>h)</w:t>
      </w:r>
      <w:r w:rsidRPr="001B67A8">
        <w:tab/>
        <w:t>que pidan a los Estados miembros que dejen a un lado sus intereses individuales en las relaciones exteriores y desarrollen conjuntamente capacidades conjuntas en materia de prevención de conflictos y mediación;</w:t>
      </w:r>
    </w:p>
    <w:p w14:paraId="3FC40925" w14:textId="77777777" w:rsidR="00A22885" w:rsidRPr="001B67A8" w:rsidRDefault="00A22885" w:rsidP="00A22885">
      <w:pPr>
        <w:pStyle w:val="NormalHanging12a"/>
        <w:ind w:left="1134"/>
      </w:pPr>
      <w:r w:rsidRPr="001B67A8">
        <w:t>i)</w:t>
      </w:r>
      <w:r w:rsidRPr="001B67A8">
        <w:tab/>
        <w:t>que desarrollen un conjunto de normas claras y prácticas para la acción exterior de la Unión y la representación por parte del VP/AR, la presidenta de la Comisión y el presidente del Consejo Europeo y garanticen la coherencia de sus mandatos; que mejoren las capacidades de mediación de la Unión promoviendo las misiones políticas y de determinación de hechos, las pesquisas y las investigaciones;</w:t>
      </w:r>
    </w:p>
    <w:p w14:paraId="5E9F9825" w14:textId="77777777" w:rsidR="00A22885" w:rsidRPr="001B67A8" w:rsidRDefault="00A22885" w:rsidP="00A22885">
      <w:pPr>
        <w:pStyle w:val="NormalHanging12a"/>
        <w:ind w:left="1134"/>
      </w:pPr>
      <w:r w:rsidRPr="001B67A8">
        <w:t>j)</w:t>
      </w:r>
      <w:r w:rsidRPr="001B67A8">
        <w:tab/>
        <w:t>que garanticen la complementariedad efectiva y un enfoque armonizado con el Parlamento y colaboren estrechamente con las acciones diplomáticas preventivas del Parlamento, como la diplomacia parlamentaria y las actividades del Parlamento a este respecto, por ejemplo sus misiones oficiales a terceros países y a foros multilaterales, para contribuir a la promoción de los derechos humanos, las normas democráticas y el pluralismo político en todo el mundo, así como a la prevención de conflictos y la consolidación de la paz; que presenten al Parlamento evaluaciones anuales de las actividades de la Unión relativas a la diplomacia preventiva a escala mundial, así como revisiones del Sistema de Alerta Rápida de Conflictos de la UE, en su caso;</w:t>
      </w:r>
    </w:p>
    <w:p w14:paraId="2B9CBD20" w14:textId="77777777" w:rsidR="00A22885" w:rsidRPr="001B67A8" w:rsidRDefault="00A22885" w:rsidP="001B67A8">
      <w:pPr>
        <w:pStyle w:val="NormalHanging12a"/>
        <w:ind w:firstLine="0"/>
        <w:rPr>
          <w:b/>
          <w:i/>
        </w:rPr>
      </w:pPr>
      <w:r w:rsidRPr="001B67A8">
        <w:rPr>
          <w:b/>
          <w:i/>
        </w:rPr>
        <w:t>Comprensión del contexto local y cultural</w:t>
      </w:r>
    </w:p>
    <w:p w14:paraId="37104DDE" w14:textId="77777777" w:rsidR="00A22885" w:rsidRPr="001B67A8" w:rsidRDefault="00A22885" w:rsidP="00A22885">
      <w:pPr>
        <w:pStyle w:val="NormalHanging12a"/>
        <w:ind w:left="1134"/>
      </w:pPr>
      <w:r w:rsidRPr="001B67A8">
        <w:t>k)</w:t>
      </w:r>
      <w:r w:rsidRPr="001B67A8">
        <w:tab/>
        <w:t xml:space="preserve">que mejoren la comprensión por parte de la Unión de los contextos locales, históricos, políticos, geográficos, religiosos, medioambientales, relativos a los derechos de las minorías, sociales y culturales e inviertan en el desarrollo de las capacidades necesarias entre el personal del SEAE que trabaja en la prevención y </w:t>
      </w:r>
      <w:r w:rsidRPr="001B67A8">
        <w:lastRenderedPageBreak/>
        <w:t>la resolución de conflictos, así como en la mediación y la aplicación de acuerdos de alto el fuego y la elaboración de directrices a este respecto; que mejoren la comprensión y abordar las causas profundas de los conflictos con el fin de evitar que surjan y se propaguen;</w:t>
      </w:r>
    </w:p>
    <w:p w14:paraId="0787FDF1" w14:textId="77777777" w:rsidR="00A22885" w:rsidRPr="001B67A8" w:rsidRDefault="00A22885" w:rsidP="00A22885">
      <w:pPr>
        <w:pStyle w:val="NormalHanging12a"/>
        <w:ind w:left="1134"/>
      </w:pPr>
      <w:r w:rsidRPr="001B67A8">
        <w:t>l)</w:t>
      </w:r>
      <w:r w:rsidRPr="001B67A8">
        <w:tab/>
        <w:t>que diversifiquen el cuerpo diplomático de la Unión y de sus Estados miembros para garantizar que la diversidad demográfica y la inclusión de las minorías beneficien al proceso diplomático desde una perspectiva tanto empírica como normativa;</w:t>
      </w:r>
    </w:p>
    <w:p w14:paraId="0725B430" w14:textId="77777777" w:rsidR="00A22885" w:rsidRPr="001B67A8" w:rsidRDefault="00A22885" w:rsidP="00A22885">
      <w:pPr>
        <w:pStyle w:val="NormalHanging12a"/>
        <w:ind w:left="1134"/>
      </w:pPr>
      <w:r w:rsidRPr="001B67A8">
        <w:t>m)</w:t>
      </w:r>
      <w:r w:rsidRPr="001B67A8">
        <w:tab/>
        <w:t>que adapten la ayuda a la construcción del Estado al contexto cultural, histórico, local, socioeconómico, medioambiental y político del país de que se trate que la recibe y la actualicen continuamente en respuesta a las condiciones sobre el terreno mediante un análisis político riguroso y detallado para una respuesta estratégica común; que fomenten una comunicación y consulta abiertas con las partes interesadas locales y todas las partes de la sociedad del país de que se trate, en particular las organizaciones de la sociedad civil y las organizaciones no gubernamentales, para comprender mejor el contexto local y cultural, generar confianza, fomentar las relaciones interpersonales y recopilar información de alerta rápida en las zonas afectadas;</w:t>
      </w:r>
    </w:p>
    <w:p w14:paraId="4C7E3A4D" w14:textId="77777777" w:rsidR="00A22885" w:rsidRPr="001B67A8" w:rsidRDefault="00A22885" w:rsidP="00A22885">
      <w:pPr>
        <w:pStyle w:val="NormalHanging12a"/>
        <w:ind w:left="1134"/>
      </w:pPr>
      <w:r w:rsidRPr="001B67A8">
        <w:t>n)</w:t>
      </w:r>
      <w:r w:rsidRPr="001B67A8">
        <w:tab/>
        <w:t>que pidan al Consejo Europeo y al SEAE que sigan mejorando la visibilidad de la Unión en otros países no pertenecientes a la Unión y países socios y refuercen la dimensión y las actividades de la diplomacia cultural de la Unión y de las relaciones culturales internacionales como instrumento pertinente para la paz, la consolidación de la paz y la prevención de conflictos, así como para hacer frente a los retos mundiales, y que demuestren el valor añadido de la Unión y promuevan la cooperación y las relaciones con estos países y socios internacionales; que utilicen y amplíen el componente de protección del patrimonio cultural en conflictos y crisis como factor que contribuye al desarrollo de la paz, la reconciliación y comprensión mutua y el diálogo intercultural en zonas afectadas por conflictos presentes y pasados; que aumenten el apoyo de la Unión a los sectores creativo y artístico de los países no pertenecientes a la Unión, incluida la ayuda al desarrollo de capacidades; que promuevan la creación cultural conjunta entre terceros países, también fomentando intercambios y residencias culturales;</w:t>
      </w:r>
    </w:p>
    <w:p w14:paraId="218F83E6" w14:textId="77777777" w:rsidR="00A22885" w:rsidRPr="001B67A8" w:rsidRDefault="00A22885" w:rsidP="00A22885">
      <w:pPr>
        <w:pStyle w:val="NormalHanging12a"/>
        <w:ind w:left="1134"/>
      </w:pPr>
      <w:r w:rsidRPr="001B67A8">
        <w:t>o)</w:t>
      </w:r>
      <w:r w:rsidRPr="001B67A8">
        <w:tab/>
        <w:t>que refuercen el enfoque con perspectiva de género en sus actividades de diplomacia preventiva, con vistas a proteger mejor los derechos de las mujeres y las niñas y aumentar su participación en dichas actividades; que garanticen la igualdad de género entre los representantes especiales y los enviados especiales, de conformidad con el marco de la política de igualdad de género, en particular el Plan de Acción en materia de Género III de la UE y la Estrategia Europea para la Igualdad de Género 2020-2025; que apliquen eficazmente el Planteamiento Estratégico de la UE sobre las Mujeres, la Paz y la Seguridad y el Plan de Acción en materia de Género con el fin de lograr una paz y una seguridad sostenibles y duraderas;</w:t>
      </w:r>
    </w:p>
    <w:p w14:paraId="19C3E5EC" w14:textId="77777777" w:rsidR="00A22885" w:rsidRPr="001B67A8" w:rsidRDefault="00A22885" w:rsidP="00A22885">
      <w:pPr>
        <w:pStyle w:val="NormalHanging12a"/>
        <w:ind w:left="1134"/>
      </w:pPr>
      <w:r w:rsidRPr="001B67A8">
        <w:t>p)</w:t>
      </w:r>
      <w:r w:rsidRPr="001B67A8">
        <w:tab/>
        <w:t xml:space="preserve">que desarrollen e integren un análisis de conflictos con perspectiva de género, que sea sensible al contexto local y reconozca los factores e impactos relacionados con el género de los conflictos, en todas las hipótesis de planificación con el fin de reforzar los esfuerzos preventivos y de mitigar los riesgos de reavivar conflictos; </w:t>
      </w:r>
    </w:p>
    <w:p w14:paraId="0B5860A2" w14:textId="77777777" w:rsidR="00A22885" w:rsidRPr="001B67A8" w:rsidRDefault="00A22885" w:rsidP="00A22885">
      <w:pPr>
        <w:pStyle w:val="NormalHanging12a"/>
        <w:ind w:left="1134"/>
      </w:pPr>
      <w:r w:rsidRPr="001B67A8">
        <w:lastRenderedPageBreak/>
        <w:t>q)</w:t>
      </w:r>
      <w:r w:rsidRPr="001B67A8">
        <w:tab/>
        <w:t>que incluyan la participación de las mujeres e indicadores con perspectiva de género en todos los procesos de alerta rápida, la prevención de conflictos y los esfuerzos de respuesta temprana;</w:t>
      </w:r>
    </w:p>
    <w:p w14:paraId="587FEEC8" w14:textId="77777777" w:rsidR="00A22885" w:rsidRPr="001B67A8" w:rsidRDefault="00A22885" w:rsidP="00A22885">
      <w:pPr>
        <w:pStyle w:val="NormalHanging12a"/>
        <w:ind w:left="1134"/>
      </w:pPr>
      <w:r w:rsidRPr="001B67A8">
        <w:t>r)</w:t>
      </w:r>
      <w:r w:rsidRPr="001B67A8">
        <w:tab/>
        <w:t>que aprovechen el pleno potencial de la «diplomacia de la educación» como instrumento fundamental dentro de la diplomacia preventiva, en particular el programa Erasmus+ de la Unión; que desarrollen actividades educativas dentro de este marco con terceros países, también a través de Erasmus+; que fomenten la adopción, por los países no pertenecientes a la Unión, de intercambios y visitas de estudiantes a lugares de memoria histórica con el fin de promover el diálogo intercultural;</w:t>
      </w:r>
    </w:p>
    <w:p w14:paraId="3EF856E2" w14:textId="77777777" w:rsidR="00A22885" w:rsidRPr="001B67A8" w:rsidRDefault="00A22885" w:rsidP="00A22885">
      <w:pPr>
        <w:pStyle w:val="NormalHanging12a"/>
        <w:ind w:left="1134"/>
      </w:pPr>
      <w:r w:rsidRPr="001B67A8">
        <w:t>s)</w:t>
      </w:r>
      <w:r w:rsidRPr="001B67A8">
        <w:tab/>
        <w:t>que realicen un seguimiento de la fragmentación regional y elaboren análisis de conflictos regionales, con el fin de evaluar y prevenir las amenazas transnacionales, las tensiones interestatales y los efectos indirectos reales o potenciales;</w:t>
      </w:r>
    </w:p>
    <w:p w14:paraId="5829E8FA" w14:textId="77777777" w:rsidR="00A22885" w:rsidRPr="001B67A8" w:rsidRDefault="00A22885" w:rsidP="001B67A8">
      <w:pPr>
        <w:pStyle w:val="NormalHanging12a"/>
        <w:ind w:firstLine="0"/>
        <w:rPr>
          <w:b/>
          <w:i/>
        </w:rPr>
      </w:pPr>
      <w:r w:rsidRPr="001B67A8">
        <w:rPr>
          <w:b/>
          <w:i/>
        </w:rPr>
        <w:t>Sistema de Alerta Rápida de Conflictos de la UE</w:t>
      </w:r>
    </w:p>
    <w:p w14:paraId="5ADBA698" w14:textId="77777777" w:rsidR="00A22885" w:rsidRPr="001B67A8" w:rsidRDefault="00A22885" w:rsidP="00A22885">
      <w:pPr>
        <w:pStyle w:val="NormalHanging12a"/>
        <w:ind w:left="1134"/>
      </w:pPr>
      <w:r w:rsidRPr="001B67A8">
        <w:t>t)</w:t>
      </w:r>
      <w:r w:rsidRPr="001B67A8">
        <w:tab/>
        <w:t>que garanticen que el Sistema de Alerta Rápida de Conflictos de la UE sea suficientemente proactivo, disponga de los recursos necesarios y se base en un análisis prospectivo, exhaustivo y sólido de los factores de riesgo que suelen asociarse con el estallido de la violencia, así como en herramientas de gestión que detecten, evalúen y ayuden a priorizar situaciones de riesgo de conflicto violento;</w:t>
      </w:r>
    </w:p>
    <w:p w14:paraId="37930503" w14:textId="77777777" w:rsidR="00A22885" w:rsidRPr="001B67A8" w:rsidRDefault="00A22885" w:rsidP="00A22885">
      <w:pPr>
        <w:pStyle w:val="NormalHanging12a"/>
        <w:ind w:left="1134"/>
      </w:pPr>
      <w:r w:rsidRPr="001B67A8">
        <w:t>u)</w:t>
      </w:r>
      <w:r w:rsidRPr="001B67A8">
        <w:tab/>
        <w:t>que asocien estrechamente y sistemáticamente a las delegaciones de la Unión en países y regiones en riesgo de conflicto o que se enfrenten a conflictos enquistados y no resueltos a la hora de supervisar la situación sobre el terreno y contribuir regularmente al Sistema de Alerta Rápida de Conflictos de la UE; que aboguen por un acceso humanitario completo y sin trabas y por el respeto del Derecho internacional en el ejercicio de la diplomacia preventiva en conflictos enquistados;</w:t>
      </w:r>
    </w:p>
    <w:p w14:paraId="1E341E3B" w14:textId="77777777" w:rsidR="00A22885" w:rsidRPr="001B67A8" w:rsidRDefault="00A22885" w:rsidP="00A22885">
      <w:pPr>
        <w:pStyle w:val="NormalHanging12a"/>
        <w:ind w:left="1134"/>
      </w:pPr>
      <w:r w:rsidRPr="001B67A8">
        <w:t>v)</w:t>
      </w:r>
      <w:r w:rsidRPr="001B67A8">
        <w:tab/>
        <w:t>que evalúen los resultados obtenidos por el Sistema de Alerta Rápida de Conflictos de la UE y propongan ajustes para hacerlo más eficaz, de modo que pueda localizar factores de riesgo estructural y permita a los responsables políticos desarrollar respuestas estratégicas oportunas para mitigar los riesgos y hallar oportunidades para la prevención de conflictos;</w:t>
      </w:r>
    </w:p>
    <w:p w14:paraId="5078849D" w14:textId="77777777" w:rsidR="00A22885" w:rsidRPr="001B67A8" w:rsidRDefault="00A22885" w:rsidP="00A22885">
      <w:pPr>
        <w:pStyle w:val="NormalHanging12a"/>
        <w:ind w:left="1134"/>
      </w:pPr>
      <w:r w:rsidRPr="001B67A8">
        <w:t>w)</w:t>
      </w:r>
      <w:r w:rsidRPr="001B67A8">
        <w:tab/>
        <w:t>que garanticen que este mecanismo colabore estrechamente con el Centro de Inteligencia y de Situación de la Unión Europea (INTCEN), el Centro de Respuesta a las Crisis del SEAE y el Centro de Satélites de la Unión Europea, debido a la necesidad de un flujo pertinente de información a este respecto; que refuercen el INTCEN de la Unión y el Centro de Respuesta a las Crisis del SEAE incrementando su personal, sus recursos financieros y sus capacidades;</w:t>
      </w:r>
    </w:p>
    <w:p w14:paraId="3A846A4E" w14:textId="11066E54" w:rsidR="00A22885" w:rsidRPr="001B67A8" w:rsidRDefault="00A22885" w:rsidP="00A22885">
      <w:pPr>
        <w:pStyle w:val="NormalHanging12a"/>
        <w:ind w:left="1134"/>
      </w:pPr>
      <w:r w:rsidRPr="001B67A8">
        <w:t>x)</w:t>
      </w:r>
      <w:r w:rsidRPr="001B67A8">
        <w:tab/>
        <w:t>que establezcan una cooperación estrecha con oficinas y agencias pertinentes de las Naciones Unidas y otros agentes internacionales</w:t>
      </w:r>
      <w:r w:rsidR="001B67A8" w:rsidRPr="00E42904">
        <w:t>, en particular la OTAN,</w:t>
      </w:r>
      <w:r w:rsidRPr="001B67A8">
        <w:t xml:space="preserve"> sobre el terreno para poner en común información en el contexto de los esfuerzos de alerta rápida;</w:t>
      </w:r>
    </w:p>
    <w:p w14:paraId="04EF0210" w14:textId="77777777" w:rsidR="00A22885" w:rsidRPr="001B67A8" w:rsidRDefault="00A22885" w:rsidP="00A22885">
      <w:pPr>
        <w:pStyle w:val="NormalHanging12a"/>
        <w:ind w:left="1134"/>
      </w:pPr>
      <w:r w:rsidRPr="001B67A8">
        <w:lastRenderedPageBreak/>
        <w:t>y)</w:t>
      </w:r>
      <w:r w:rsidRPr="001B67A8">
        <w:tab/>
        <w:t>que mejoren de forma constante los protocolos de seguridad de los servicios que trabajan con inteligencia o con información sensible;</w:t>
      </w:r>
    </w:p>
    <w:p w14:paraId="602EDD7A" w14:textId="77777777" w:rsidR="00A22885" w:rsidRPr="001B67A8" w:rsidRDefault="00A22885" w:rsidP="001B67A8">
      <w:pPr>
        <w:pStyle w:val="NormalHanging12a"/>
        <w:ind w:firstLine="0"/>
        <w:rPr>
          <w:b/>
          <w:i/>
        </w:rPr>
      </w:pPr>
      <w:r w:rsidRPr="001B67A8">
        <w:rPr>
          <w:b/>
          <w:i/>
        </w:rPr>
        <w:t>Función de los representantes especiales y los enviados especiales de la UE en la diplomacia preventiva, rendición de cuentas y síntesis de sus resultados en los procesos de resolución de conflictos</w:t>
      </w:r>
    </w:p>
    <w:p w14:paraId="00F37DF8" w14:textId="77777777" w:rsidR="00A22885" w:rsidRPr="001B67A8" w:rsidRDefault="00A22885" w:rsidP="00A22885">
      <w:pPr>
        <w:pStyle w:val="NormalHanging12a"/>
        <w:ind w:left="1134"/>
      </w:pPr>
      <w:r w:rsidRPr="001B67A8">
        <w:t>z)</w:t>
      </w:r>
      <w:r w:rsidRPr="001B67A8">
        <w:tab/>
        <w:t>que tengan en cuenta los antecedentes locales, culturales e históricos a la hora de designar representantes y enviados especiales con el fin de evitar controversias en las regiones en conflicto en caso de que el nombramiento proceda de un Estado miembro con vínculos históricos con la región de que se trate que podrían poner en peligro su percepción como mediador imparcial; que tengan en cuenta la importancia fundamental de que estos representantes estén debidamente familiarizados con el ámbito que vayan a examinar y formados en el mismo;</w:t>
      </w:r>
    </w:p>
    <w:p w14:paraId="1834551C" w14:textId="77777777" w:rsidR="00A22885" w:rsidRPr="001B67A8" w:rsidRDefault="00A22885" w:rsidP="00A22885">
      <w:pPr>
        <w:pStyle w:val="NormalHanging12a"/>
        <w:ind w:left="1134"/>
      </w:pPr>
      <w:r w:rsidRPr="001B67A8">
        <w:t>aa)</w:t>
      </w:r>
      <w:r w:rsidRPr="001B67A8">
        <w:tab/>
        <w:t>que evalúen exhaustivamente, también mediante un control por parte del Parlamento, las iniciativas emprendidas por los representantes y enviados especiales de la Unión y sus resultados, así como de qué manera contribuyen a la diplomacia preventiva, los procesos de resolución de conflictos o la aplicación de acuerdos de alto el fuego mediados por la Unión, en su caso;</w:t>
      </w:r>
    </w:p>
    <w:p w14:paraId="2AB1C7A0" w14:textId="77777777" w:rsidR="00A22885" w:rsidRPr="001B67A8" w:rsidRDefault="00A22885" w:rsidP="00A22885">
      <w:pPr>
        <w:pStyle w:val="NormalHanging12a"/>
        <w:ind w:left="1134"/>
      </w:pPr>
      <w:r w:rsidRPr="001B67A8">
        <w:t>ab)</w:t>
      </w:r>
      <w:r w:rsidRPr="001B67A8">
        <w:tab/>
        <w:t>que proporcionen evaluaciones periódicas y exhaustivas sobre la rendición de cuentas de los representantes y los enviados especiales de la Unión, con arreglo a sus mandatos, y una visión general de las iniciativas que han emprendido y los resultados logrados en los procesos de resolución de conflictos, así como en la mediación para la aplicación de los acuerdos de alto el fuego mediados por la Unión;</w:t>
      </w:r>
    </w:p>
    <w:p w14:paraId="014409CD" w14:textId="77777777" w:rsidR="00A22885" w:rsidRPr="001B67A8" w:rsidRDefault="00A22885" w:rsidP="00A22885">
      <w:pPr>
        <w:pStyle w:val="NormalHanging12a"/>
        <w:ind w:left="1134"/>
      </w:pPr>
      <w:r w:rsidRPr="001B67A8">
        <w:t>ac)</w:t>
      </w:r>
      <w:r w:rsidRPr="001B67A8">
        <w:tab/>
        <w:t>que mejoren la transparencia y el control parlamentario de la labor de los representantes y los enviados especiales de la Unión facilitando al Parlamento informes periódicos y detallados sobre sus actividades y logros de conformidad con sus mandatos; que promuevan unas relaciones más estrechas entre los representantes y los enviados especiales de la Unión y el Parlamento, a la luz de los esfuerzos diplomáticos interparlamentarios;</w:t>
      </w:r>
    </w:p>
    <w:p w14:paraId="2A38AFF0" w14:textId="77777777" w:rsidR="00A22885" w:rsidRPr="001B67A8" w:rsidRDefault="00A22885" w:rsidP="00A22885">
      <w:pPr>
        <w:pStyle w:val="NormalHanging12a"/>
        <w:ind w:left="1134"/>
      </w:pPr>
      <w:r w:rsidRPr="001B67A8">
        <w:t>ad)</w:t>
      </w:r>
      <w:r w:rsidRPr="001B67A8">
        <w:tab/>
        <w:t>que garanticen que el nombramiento de los representantes especiales de la Unión, los enviados especiales de la Unión y los embajadores de la Unión solo pueda confirmarse tras una evaluación positiva de la Comisión de Asuntos Exteriores del Parlamento;</w:t>
      </w:r>
    </w:p>
    <w:p w14:paraId="5BC25DB2" w14:textId="77777777" w:rsidR="00A22885" w:rsidRPr="001B67A8" w:rsidRDefault="00A22885" w:rsidP="001B67A8">
      <w:pPr>
        <w:pStyle w:val="NormalHanging12a"/>
        <w:ind w:firstLine="0"/>
      </w:pPr>
      <w:r w:rsidRPr="001B67A8">
        <w:rPr>
          <w:b/>
          <w:i/>
        </w:rPr>
        <w:t>Lecciones aprendidas de la resolución de conflictos con mediación de la Unión, de los conflictos enquistados y de los acuerdos de alto el fuego mediados por la Unión, así como de los conflictos enquistados y no resueltos</w:t>
      </w:r>
    </w:p>
    <w:p w14:paraId="4A9158A5" w14:textId="77777777" w:rsidR="00A22885" w:rsidRPr="001B67A8" w:rsidRDefault="00A22885" w:rsidP="00A22885">
      <w:pPr>
        <w:pStyle w:val="NormalHanging12a"/>
        <w:ind w:left="1134"/>
      </w:pPr>
      <w:r w:rsidRPr="001B67A8">
        <w:t>ae)</w:t>
      </w:r>
      <w:r w:rsidRPr="001B67A8">
        <w:tab/>
        <w:t>que lleven a cabo un estudio sobre las lecciones aprendidas de las acciones previas y las oportunidades perdidas de la Unión para la diplomacia preventiva y sus logros en los procesos de resolución pacífica de conflictos, por ejemplo en el Sahel, África Occidental y el Cuerno de África, los Balcanes Occidentales, el Cáucaso meridional, Chipre, Irlanda del Norte, Afganistán, Oriente Medio, Moldavia y Ucrania;</w:t>
      </w:r>
    </w:p>
    <w:p w14:paraId="450289C2" w14:textId="77777777" w:rsidR="00A22885" w:rsidRPr="001B67A8" w:rsidRDefault="00A22885" w:rsidP="00A22885">
      <w:pPr>
        <w:pStyle w:val="NormalHanging12a"/>
        <w:ind w:left="1134"/>
      </w:pPr>
      <w:r w:rsidRPr="001B67A8">
        <w:lastRenderedPageBreak/>
        <w:t>af)</w:t>
      </w:r>
      <w:r w:rsidRPr="001B67A8">
        <w:tab/>
        <w:t>que eviten, en el futuro, las posibles consecuencias negativas de la suspensión prematura de las misiones de la Unión en regiones en conflicto, así como la continuación de las misiones muy ineficaces o que tengan el potencial de tener efectos políticos y de seguridad negativos;</w:t>
      </w:r>
    </w:p>
    <w:p w14:paraId="0D6BACD3" w14:textId="77777777" w:rsidR="00A22885" w:rsidRPr="001B67A8" w:rsidRDefault="00A22885" w:rsidP="00A22885">
      <w:pPr>
        <w:pStyle w:val="NormalHanging12a"/>
        <w:ind w:left="1134"/>
      </w:pPr>
      <w:r w:rsidRPr="001B67A8">
        <w:t>ag)</w:t>
      </w:r>
      <w:r w:rsidRPr="001B67A8">
        <w:tab/>
        <w:t>que amplíen el conjunto de instrumentos de diplomacia preventiva de las misiones y operaciones civiles y militares de la Unión, así como su capacidad y la formación de su personal, con el fin de anticiparse y reaccionar más rápidamente a la evolución de la situación sobre el terreno;</w:t>
      </w:r>
    </w:p>
    <w:p w14:paraId="76D1C9DB" w14:textId="77777777" w:rsidR="00A22885" w:rsidRPr="001B67A8" w:rsidRDefault="00A22885" w:rsidP="00A22885">
      <w:pPr>
        <w:pStyle w:val="NormalHanging12a"/>
        <w:ind w:left="1134"/>
      </w:pPr>
      <w:r w:rsidRPr="001B67A8">
        <w:t>ah)</w:t>
      </w:r>
      <w:r w:rsidRPr="001B67A8">
        <w:tab/>
        <w:t>que garanticen que la Unión asuma un papel más activo en el apoyo a todas las etapas del proceso dirigido por las Naciones Unidas relativo al problema de Chipre, facilitando todos los medios a su disposición, incluido el nombramiento de un enviado de la Unión, con vistas a alcanzar una solución global para el problema de Chipre, dentro del marco de las Naciones Unidas y con arreglo a las Resoluciones pertinentes del Consejo de Seguridad de las Naciones Unidas y a los principios y el acervo en que se basa la Unión;</w:t>
      </w:r>
    </w:p>
    <w:p w14:paraId="6939C108" w14:textId="77777777" w:rsidR="00A22885" w:rsidRPr="001B67A8" w:rsidRDefault="00A22885" w:rsidP="00A22885">
      <w:pPr>
        <w:pStyle w:val="NormalHanging12a"/>
        <w:ind w:left="1134"/>
      </w:pPr>
      <w:r w:rsidRPr="001B67A8">
        <w:t>ai)</w:t>
      </w:r>
      <w:r w:rsidRPr="001B67A8">
        <w:tab/>
        <w:t xml:space="preserve">que aprovechen las lecciones aprendidas de la falta de progresos en la aplicación de los acuerdos de alto el fuego mediados por la Unión, incluido el acuerdo de alto el fuego, de 12 de agosto de 2008, mediado por la Unión, entre Rusia y Georgia; </w:t>
      </w:r>
    </w:p>
    <w:p w14:paraId="67AF2E17" w14:textId="77777777" w:rsidR="00A22885" w:rsidRPr="001B67A8" w:rsidRDefault="00A22885" w:rsidP="00A22885">
      <w:pPr>
        <w:pStyle w:val="NormalHanging12a"/>
        <w:ind w:left="1134"/>
      </w:pPr>
      <w:r w:rsidRPr="001B67A8">
        <w:t>aj)</w:t>
      </w:r>
      <w:r w:rsidRPr="001B67A8">
        <w:tab/>
        <w:t>que destaquen la necesidad de que la Unión desempeñe un papel activo donde se produzcan infracciones del Derecho internacional humanitario;</w:t>
      </w:r>
    </w:p>
    <w:p w14:paraId="46880E8F" w14:textId="77777777" w:rsidR="00A22885" w:rsidRPr="001B67A8" w:rsidRDefault="00A22885" w:rsidP="00A22885">
      <w:pPr>
        <w:pStyle w:val="NormalHanging12a"/>
        <w:ind w:left="1134"/>
      </w:pPr>
      <w:r w:rsidRPr="001B67A8">
        <w:t>ak)</w:t>
      </w:r>
      <w:r w:rsidRPr="001B67A8">
        <w:tab/>
        <w:t>que garanticen un enfoque coordinado entre la Unión y sus Estados miembros en materia de prevención de conflictos y consolidación de la paz, frente a lo ocurrido en Afganistán, donde trabajaban en paralelo en diferentes regiones;</w:t>
      </w:r>
    </w:p>
    <w:p w14:paraId="6CA3547F" w14:textId="77777777" w:rsidR="00A22885" w:rsidRPr="001B67A8" w:rsidRDefault="00A22885" w:rsidP="00A22885">
      <w:pPr>
        <w:pStyle w:val="NormalHanging12a"/>
        <w:ind w:left="1134"/>
      </w:pPr>
      <w:r w:rsidRPr="001B67A8">
        <w:t>al)</w:t>
      </w:r>
      <w:r w:rsidRPr="001B67A8">
        <w:tab/>
        <w:t>que refuercen la capacidad de la Unión para analizar y predecir rigurosa y continuamente la situación política y de seguridad en las regiones en crisis y adapten la respuesta de la Unión a las realidades cambiantes sobre el terreno, también garantizando que exista un punto focal responsable para el análisis de conflictos en cada delegación de la Unión; que garanticen que se lleven a cabo esfuerzos complementarios sobre el terreno y esfuerzos diplomáticos entre Gobiernos, representantes y otros agentes pertinentes a nivel estatal;</w:t>
      </w:r>
    </w:p>
    <w:p w14:paraId="50ED7017" w14:textId="1BC26A6B" w:rsidR="00A22885" w:rsidRPr="001B67A8" w:rsidRDefault="00A22885" w:rsidP="00A22885">
      <w:pPr>
        <w:pStyle w:val="NormalHanging12a"/>
        <w:ind w:left="1134"/>
      </w:pPr>
      <w:r w:rsidRPr="001B67A8">
        <w:t>am)</w:t>
      </w:r>
      <w:r w:rsidRPr="001B67A8">
        <w:tab/>
        <w:t>que evalúen las deficiencias en los esfuerzos de diplomacia preventiva de la Unión en Bosnia y Herzegovina para evitar las tensiones debidas a la retórica incendiaria recurrente y los actos secesionistas, que socavan sus aspiraciones europeas; que insten a Bosnia y Herzegovina a que llegue a un acuerdo político común urgente para cumplir la Recomendación de la Comisión de 8 de noviembre de 2023 y poder iniciar las negociaciones de adhesión antes de marzo de 2024, teniendo también en cuenta la volatilidad de la situación geopolítica y los esfuerzos para evitar injerencias malintencionadas externas en la región, allanando así el camino para una paz y estabilidad permanentes en el país y la región;</w:t>
      </w:r>
      <w:r w:rsidR="001B67A8" w:rsidRPr="00E42904">
        <w:t xml:space="preserve"> que apoyen la decisión del Consejo Europeo de los días 14 y 15 de diciembre de 2023 de iniciar las negociaciones de adhesión con Bosnia y Herzegovina una vez que cumpla los criterios de adhesión a la Unión; que esperen con impaciencia el informe de la Comisión sobre los progresos realizados, que debe presentarse a </w:t>
      </w:r>
      <w:r w:rsidR="001B67A8" w:rsidRPr="00E42904">
        <w:lastRenderedPageBreak/>
        <w:t>más tardar en marzo de 2024;</w:t>
      </w:r>
    </w:p>
    <w:p w14:paraId="3FF2082F" w14:textId="77777777" w:rsidR="00A22885" w:rsidRPr="001B67A8" w:rsidRDefault="00A22885" w:rsidP="00A22885">
      <w:pPr>
        <w:pStyle w:val="NormalHanging12a"/>
        <w:ind w:left="1134"/>
      </w:pPr>
      <w:r w:rsidRPr="001B67A8">
        <w:t>an)</w:t>
      </w:r>
      <w:r w:rsidRPr="001B67A8">
        <w:tab/>
        <w:t xml:space="preserve">que amplíen la misión EUFOR ALTHEA en Bosnia y Herzegovina y refuercen su conjunto de instrumentos para la prevención de conflictos; que observen que se trata de la misión de mantenimiento y consolidación de la paz de la Unión más exitosa hasta la fecha, que ha mantenido la estabilidad en la región y ha contribuido a un entorno seguro y protegido en el país; </w:t>
      </w:r>
    </w:p>
    <w:p w14:paraId="4330C725" w14:textId="77777777" w:rsidR="00A22885" w:rsidRPr="001B67A8" w:rsidRDefault="00A22885" w:rsidP="00A22885">
      <w:pPr>
        <w:pStyle w:val="NormalHanging12a"/>
        <w:ind w:left="1134"/>
      </w:pPr>
      <w:r w:rsidRPr="001B67A8">
        <w:t>ao)</w:t>
      </w:r>
      <w:r w:rsidRPr="001B67A8">
        <w:tab/>
        <w:t>que establezcan un mecanismo para verificar y garantizar la aplicación de todos los acuerdos alcanzados hasta la fecha entre Serbia y Kosovo e informen periódicamente al Parlamento con el fin de evitar nuevas tensiones y ofrecer esfuerzos de mediación y facilitación más eficaces entre las partes, también asignando más recursos al Diálogo Belgrado-Pristina facilitado por la Unión y orientando mejor el proceso de diálogo hacia los ciudadanos, con el objetivo de superar el estancamiento actual;</w:t>
      </w:r>
    </w:p>
    <w:p w14:paraId="4154A8A3" w14:textId="77777777" w:rsidR="00A22885" w:rsidRPr="001B67A8" w:rsidRDefault="00A22885" w:rsidP="00A22885">
      <w:pPr>
        <w:pStyle w:val="NormalHanging12a"/>
        <w:ind w:left="1134"/>
      </w:pPr>
      <w:r w:rsidRPr="001B67A8">
        <w:t>ap)</w:t>
      </w:r>
      <w:r w:rsidRPr="001B67A8">
        <w:tab/>
        <w:t>que aspiren a extraer las lecciones aprendidas de los fallidos esfuerzos de diplomacia preventiva entre Armenia y Azerbaiyán que acabaron con la operación militar de Azerbaiyán en el Nagorno Karabaj y situaciones similares a la que se produjo durante y después de la guerra de 2020, cuando, después del fracaso del diálogo internacional de la OSCE, la posición pasiva de la Unión no bastó para impedir el resurgimiento del conflicto violento y redujo la influencia de la Unión respecto a otros agentes regionales, como Rusia, Irán y Turquía, que también siguen ejerciendo su influencia y socavando el peso de la Unión en la región, ni tampoco que se produjera un efecto indirecto en Armenia; que respondan a la inestabilidad en la región del Cáucaso Meridional en general y refuercen los esfuerzos diplomáticos de la Unión en el contexto de las conversaciones internacionales de Ginebra y en otros contextos con el fin de garantizar que Rusia cumpla sus obligaciones en virtud del acuerdo de alto el fuego, de 12 de agosto de 2008, mediado por la Unión, en particular la de retirar sus fuerzas de ocupación de las regiones georgianas de Abjasia y de Tsjinvali / Osetia del Sur;</w:t>
      </w:r>
    </w:p>
    <w:p w14:paraId="67D65904" w14:textId="77777777" w:rsidR="00A22885" w:rsidRPr="001B67A8" w:rsidRDefault="00A22885" w:rsidP="00A22885">
      <w:pPr>
        <w:pStyle w:val="NormalHanging12a"/>
        <w:ind w:left="1134"/>
      </w:pPr>
      <w:r w:rsidRPr="001B67A8">
        <w:t>aq)</w:t>
      </w:r>
      <w:r w:rsidRPr="001B67A8">
        <w:tab/>
        <w:t>que aborden las causas profundas del prolongado conflicto entre Israel y Palestina, que se agravó aún más por el despreciable ataque terrorista perpetrado por Hamás contra Israel el 7 de octubre de 2023 y el posterior contraataque por parte de Israel, que han provocado miles de víctimas en ambas partes y el inmenso sufrimiento de civiles inocentes; que intensifiquen los esfuerzos en coordinación con sus socios de la región y la comunidad internacional en pos de la solución negociada de dos Estados, sobre la base del entendimiento común a escala internacional de que esta solución ofrece la mejor oportunidad para un acuerdo de paz viable, con el objetivo de poner fin a la violencia recurrente y permitir que las personas tanto del lado israelí como del palestino vivan en condiciones de seguridad, libertad y dignidad, y con los mismos derechos; que garanticen que la Unión sea considerada mediadora e intermediaria honesta, defendiendo el Derecho internacional para desempeñar un papel más eficaz en la escena internacional;</w:t>
      </w:r>
    </w:p>
    <w:p w14:paraId="2521EC8F" w14:textId="77777777" w:rsidR="00A22885" w:rsidRPr="001B67A8" w:rsidRDefault="00A22885" w:rsidP="00A22885">
      <w:pPr>
        <w:pStyle w:val="NormalHanging12a"/>
        <w:ind w:left="1134"/>
      </w:pPr>
      <w:r w:rsidRPr="001B67A8">
        <w:t>ar)</w:t>
      </w:r>
      <w:r w:rsidRPr="001B67A8">
        <w:tab/>
        <w:t xml:space="preserve">que promuevan la participación de la Unión en la mediación, la consolidación de la paz y la resolución de conflictos, como en el proceso de paz de Colombia, en que el apoyo de la Unión se centró en abordar las causas profundas del conflicto, incluidas las desigualdades y las violaciones de derechos humanos, a través de </w:t>
      </w:r>
      <w:r w:rsidRPr="001B67A8">
        <w:lastRenderedPageBreak/>
        <w:t>esfuerzos de reconciliación, y el desarrollo territorial económico, a través de la integración rural y el diálogo político multinivel;</w:t>
      </w:r>
    </w:p>
    <w:p w14:paraId="217CF854" w14:textId="77777777" w:rsidR="00A22885" w:rsidRPr="001B67A8" w:rsidRDefault="00A22885" w:rsidP="00A22885">
      <w:pPr>
        <w:pStyle w:val="NormalHanging12a"/>
        <w:ind w:left="1134"/>
      </w:pPr>
      <w:r w:rsidRPr="001B67A8">
        <w:t>as)</w:t>
      </w:r>
      <w:r w:rsidRPr="001B67A8">
        <w:tab/>
        <w:t>que prioricen la diplomacia discreta como el instrumento predilecto al emprender iniciativas de prevención, superar la brecha entre alerta rápida y acción temprana, aumentar la eficacia de la cooperación con otros socios internacionales, mejorar la coordinación en el seno de la Unión, también en asuntos civiles y militares, y aumentar la apropiación local de las iniciativas de la Unión;</w:t>
      </w:r>
    </w:p>
    <w:p w14:paraId="524F61D7" w14:textId="77777777" w:rsidR="00A22885" w:rsidRPr="001B67A8" w:rsidRDefault="00A22885" w:rsidP="00A22885">
      <w:pPr>
        <w:pStyle w:val="NormalHanging12a"/>
        <w:ind w:left="1134"/>
      </w:pPr>
      <w:r w:rsidRPr="001B67A8">
        <w:t>at)</w:t>
      </w:r>
      <w:r w:rsidRPr="001B67A8">
        <w:tab/>
        <w:t xml:space="preserve">que aprovechen la experiencia de la Unión y las mejores prácticas de los países no pertenecientes a la Unión en cooperación transfronteriza como un instrumento sumamente útil para la consolidación de la paz y la resolución de conflictos de manera sostenible entre vecinos, en especial después de la estabilización de los conflictos; </w:t>
      </w:r>
    </w:p>
    <w:p w14:paraId="4A695F34" w14:textId="77777777" w:rsidR="00A22885" w:rsidRPr="001B67A8" w:rsidRDefault="00A22885" w:rsidP="00A22885">
      <w:pPr>
        <w:pStyle w:val="NormalHanging12a"/>
        <w:ind w:left="1134"/>
      </w:pPr>
      <w:r w:rsidRPr="001B67A8">
        <w:t>au)</w:t>
      </w:r>
      <w:r w:rsidRPr="001B67A8">
        <w:tab/>
        <w:t>que desarrollen una agenda, un pacto o unas directrices de la Unión para la paz y la diplomacia bajo los auspicios del VP/AR;</w:t>
      </w:r>
    </w:p>
    <w:p w14:paraId="47762F86" w14:textId="77777777" w:rsidR="00A22885" w:rsidRPr="001B67A8" w:rsidRDefault="00A22885" w:rsidP="00A22885">
      <w:pPr>
        <w:pStyle w:val="NormalHanging12a"/>
        <w:ind w:left="1134"/>
      </w:pPr>
      <w:r w:rsidRPr="001B67A8">
        <w:t>av)</w:t>
      </w:r>
      <w:r w:rsidRPr="001B67A8">
        <w:tab/>
        <w:t>que designen asesores en materia de paz y conflictos, que coordinarán el trabajo de las secciones política, de prensa, de información y de cooperación de las delegaciones;</w:t>
      </w:r>
    </w:p>
    <w:p w14:paraId="1C09F528" w14:textId="77777777" w:rsidR="00A22885" w:rsidRPr="001B67A8" w:rsidRDefault="00A22885" w:rsidP="00A22885">
      <w:pPr>
        <w:pStyle w:val="NormalHanging12a"/>
        <w:ind w:left="1134"/>
      </w:pPr>
      <w:r w:rsidRPr="001B67A8">
        <w:t>aw)</w:t>
      </w:r>
      <w:r w:rsidRPr="001B67A8">
        <w:tab/>
        <w:t>que creen un grupo de trabajo del Consejo sobre prevención y mediación para debatir la priorización de las oportunidades para la involucración preventiva, así como el análisis, el seguimiento y la supervisión resultantes;</w:t>
      </w:r>
    </w:p>
    <w:p w14:paraId="450ED254" w14:textId="77777777" w:rsidR="00A22885" w:rsidRPr="001B67A8" w:rsidRDefault="00A22885" w:rsidP="00A22885">
      <w:pPr>
        <w:pStyle w:val="NormalHanging12a"/>
        <w:ind w:left="1134"/>
      </w:pPr>
      <w:r w:rsidRPr="001B67A8">
        <w:t>ax)</w:t>
      </w:r>
      <w:r w:rsidRPr="001B67A8">
        <w:tab/>
        <w:t>que propongan una mejora institucional a través de un nuevo Centro de Paz y Prevención que actúe como un punto de entrada único para los asuntos de prevención dentro del SEAE, el refuerzo de la cooperación regional y el aumento de la capacidad para intervenir en temas de conflictos, paz, prevención y diplomacia;</w:t>
      </w:r>
    </w:p>
    <w:p w14:paraId="64A7AF57" w14:textId="77777777" w:rsidR="00A22885" w:rsidRPr="001B67A8" w:rsidRDefault="00A22885" w:rsidP="001B67A8">
      <w:pPr>
        <w:pStyle w:val="NormalHanging12a"/>
        <w:ind w:firstLine="0"/>
        <w:rPr>
          <w:b/>
          <w:i/>
        </w:rPr>
      </w:pPr>
      <w:r w:rsidRPr="001B67A8">
        <w:rPr>
          <w:b/>
          <w:i/>
        </w:rPr>
        <w:t>Fortalecimiento de las asociaciones y la coordinación internacional</w:t>
      </w:r>
    </w:p>
    <w:p w14:paraId="0FFE79BF" w14:textId="324676B7" w:rsidR="00A22885" w:rsidRPr="001B67A8" w:rsidRDefault="00A22885" w:rsidP="00A22885">
      <w:pPr>
        <w:pStyle w:val="NormalHanging12a"/>
        <w:ind w:left="1134"/>
      </w:pPr>
      <w:r w:rsidRPr="001B67A8">
        <w:t>ay)</w:t>
      </w:r>
      <w:r w:rsidRPr="001B67A8">
        <w:tab/>
        <w:t xml:space="preserve">que refuercen las asociaciones y la coordinación en materia de diplomacia preventiva con actores internacionales, regionales y subregionales, como las Naciones Unidas, la OSCE y su Oficina de Instituciones Democráticas y Derechos Humanos, la </w:t>
      </w:r>
      <w:r w:rsidR="001B67A8" w:rsidRPr="00E42904">
        <w:t xml:space="preserve">OTAN, la </w:t>
      </w:r>
      <w:r w:rsidRPr="001B67A8">
        <w:t>Unión Africana y sus componentes regionales, las organizaciones regionales africanas (como la CEDEAO), la Organización de los Estados Americanos y la Asociación de Naciones del Asia Sudoriental; que señalen que una asociación más estrecha con las Naciones Unidas y sus organismos, en particular la Comisión de Consolidación de la Paz, puede conducir a una coordinación reforzada en la prevención de conflictos a escala mundial;</w:t>
      </w:r>
    </w:p>
    <w:p w14:paraId="30913F66" w14:textId="77777777" w:rsidR="00A22885" w:rsidRPr="001B67A8" w:rsidRDefault="00A22885" w:rsidP="00A22885">
      <w:pPr>
        <w:pStyle w:val="NormalHanging12a"/>
        <w:ind w:left="1134"/>
      </w:pPr>
      <w:r w:rsidRPr="001B67A8">
        <w:t>az)</w:t>
      </w:r>
      <w:r w:rsidRPr="001B67A8">
        <w:tab/>
        <w:t>que garanticen un enfoque coordinado, dinámico y multilateral de la alerta rápida, la prevención de conflictos y la mediación entre la Unión y otras organizaciones internacionales, como las Naciones Unidas, la Comisión de Consolidación de la Paz, el Consejo de Europa, la OCDE y la OSCE; que velen por que las delegaciones de la Unión se mantengan en constante contacto con los mecanismos sobre el terreno de las Naciones Unidas, como el coordinador residente sobre el terreno de las Naciones Unidas, cuando proceda;</w:t>
      </w:r>
    </w:p>
    <w:p w14:paraId="4F39E992" w14:textId="77777777" w:rsidR="00A22885" w:rsidRPr="001B67A8" w:rsidRDefault="00A22885" w:rsidP="00A22885">
      <w:pPr>
        <w:pStyle w:val="NormalHanging12a"/>
        <w:ind w:left="1134"/>
      </w:pPr>
      <w:r w:rsidRPr="001B67A8">
        <w:lastRenderedPageBreak/>
        <w:t>ba)</w:t>
      </w:r>
      <w:r w:rsidRPr="001B67A8">
        <w:tab/>
        <w:t>que utilicen medios diplomáticos y cooperen con plataformas multilaterales para la paz a fin de reforzar y consolidar las relaciones previas antes de que surjan conflictos, en especial la Comisión de Consolidación de la Paz y el Departamento de Asuntos Políticos y de Consolidación de la Paz de las Naciones Unidas, el Diálogo Internacional sobre la Consolidación de la Paz y del Estado y el Centro para la Prevención de Conflictos de la OSCE;</w:t>
      </w:r>
    </w:p>
    <w:p w14:paraId="7BC264BF" w14:textId="77777777" w:rsidR="00A22885" w:rsidRPr="001B67A8" w:rsidRDefault="00A22885" w:rsidP="00A22885">
      <w:pPr>
        <w:pStyle w:val="NormalHanging12a"/>
        <w:ind w:left="1134"/>
      </w:pPr>
      <w:r w:rsidRPr="001B67A8">
        <w:t>bb)</w:t>
      </w:r>
      <w:r w:rsidRPr="001B67A8">
        <w:tab/>
        <w:t>que reiteren que la asociación entre la Unión y las Naciones Unidas debe utilizar las Resoluciones existentes y las lecciones aprendidas para la prevención de conflictos y colaborar para crear nuevas políticas a través de consultas e intercambios de prácticas periódicos; que hagan hincapié en el papel vital que esta coordinación puede desempeñar en las estrategias de prevención de conflictos;</w:t>
      </w:r>
    </w:p>
    <w:p w14:paraId="6B9FE400" w14:textId="77777777" w:rsidR="00A22885" w:rsidRPr="001B67A8" w:rsidRDefault="00A22885" w:rsidP="00A22885">
      <w:pPr>
        <w:pStyle w:val="NormalHanging12a"/>
        <w:ind w:left="1134"/>
      </w:pPr>
      <w:r w:rsidRPr="001B67A8">
        <w:t>bc)</w:t>
      </w:r>
      <w:r w:rsidRPr="001B67A8">
        <w:tab/>
        <w:t>que acojan favorablemente la Nueva Agenda de Paz de las Naciones Unidas y el papel y las acciones de la Comisión de Consolidación de la Paz en materia de protección de los derechos humanos y esfuerzos de consolidación de la paz; que propongan coordinar las estrategias nacionales de prevención de conflictos con el SEAE y su presentación en la agenda de la Comisión de Consolidación de la Paz, así como una colaboración reforzada con las Naciones Unidas; que observen que estos intercambios y una mejor asociación con instituciones financieras internacionales y regionales podrían contribuir de forma significativa a la prevención de conflictos en las zonas de interés para la Unión, así como a través de misiones preventivas más pequeñas que podrían evaluar las inestabilidades después de que misiones civiles se retiren de países afectados por conflictos o con un posible riesgo de conflicto, con la misión de eliminar los factores que suponen una amenaza para la seguridad;</w:t>
      </w:r>
    </w:p>
    <w:p w14:paraId="6FFAD480" w14:textId="77777777" w:rsidR="00A22885" w:rsidRPr="001B67A8" w:rsidRDefault="00A22885" w:rsidP="00A22885">
      <w:pPr>
        <w:pStyle w:val="NormalHanging12a"/>
        <w:ind w:left="1134"/>
      </w:pPr>
      <w:r w:rsidRPr="001B67A8">
        <w:t>bd)</w:t>
      </w:r>
      <w:r w:rsidRPr="001B67A8">
        <w:tab/>
        <w:t>que garanticen que la Unión, que es el mayor contribuidor al sistema de las Naciones Unidas, asuma posiciones de liderazgo en las Naciones Unidas, de manera proporcional al volumen de sus contribuciones a la organización, que cubren el 30 % de sus costes y el 33 % de los gastos de las misiones de mantenimiento de la paz de las Naciones Unidas;</w:t>
      </w:r>
    </w:p>
    <w:p w14:paraId="04B72020" w14:textId="77777777" w:rsidR="00A22885" w:rsidRPr="001B67A8" w:rsidRDefault="00A22885" w:rsidP="00A22885">
      <w:pPr>
        <w:pStyle w:val="NormalHanging12a"/>
        <w:ind w:left="1134"/>
      </w:pPr>
      <w:r w:rsidRPr="001B67A8">
        <w:t>be)</w:t>
      </w:r>
      <w:r w:rsidRPr="001B67A8">
        <w:tab/>
        <w:t>que utilicen la representación de la Unión en las sedes de las Naciones Unidas en Nueva York, Viena, Ginebra y Nairobi para colaborar activamente con otros Estados miembros de las Naciones Unidas con el fin de promover y proteger el orden diplomático internacional basado en normas fundado por la Carta de las Naciones Unidas, junto con un sistema multilateral funcional y reformado que se articule en torno a unas Naciones Unidas inclusivas y eficaces;</w:t>
      </w:r>
    </w:p>
    <w:p w14:paraId="00581537" w14:textId="13BE83F1" w:rsidR="00A22885" w:rsidRDefault="00A22885" w:rsidP="00A22885">
      <w:pPr>
        <w:pStyle w:val="NormalHanging12a"/>
        <w:ind w:left="1134"/>
      </w:pPr>
      <w:r w:rsidRPr="001B67A8">
        <w:t>bf)</w:t>
      </w:r>
      <w:r w:rsidRPr="001B67A8">
        <w:tab/>
        <w:t>que prosigan los intercambios estructurados de información, la exploración prospectiva conjunta, la previsión estratégica y los análisis con perspectiva de género de los conflictos para garantizar la armonización entre la Unión y sus socios dentro y fuera de la Unión; que observen que estas acciones podrían llegar a acercar a la Unión a convertirse en un agente destacado en la prevención y la resolución de conflictos a escala mundial;</w:t>
      </w:r>
    </w:p>
    <w:p w14:paraId="0ED877FD" w14:textId="066BC016" w:rsidR="001B67A8" w:rsidRPr="001B67A8" w:rsidRDefault="001B67A8" w:rsidP="00A22885">
      <w:pPr>
        <w:pStyle w:val="NormalHanging12a"/>
        <w:ind w:left="1134"/>
      </w:pPr>
      <w:r>
        <w:t>bg</w:t>
      </w:r>
      <w:r w:rsidRPr="00E42904">
        <w:t>)</w:t>
      </w:r>
      <w:r w:rsidRPr="001B67A8">
        <w:tab/>
      </w:r>
      <w:r w:rsidRPr="00E42904">
        <w:t xml:space="preserve">que reconozcan la importancia de las organizaciones confesionales </w:t>
      </w:r>
      <w:r w:rsidRPr="001B67A8">
        <w:t xml:space="preserve">como agentes </w:t>
      </w:r>
      <w:r w:rsidRPr="00E42904">
        <w:t>en la resolución de conflictos y la mediación, lo que las</w:t>
      </w:r>
      <w:r w:rsidRPr="001B67A8">
        <w:t xml:space="preserve"> convierte en socios </w:t>
      </w:r>
      <w:r w:rsidRPr="00E42904">
        <w:t xml:space="preserve">para la diplomacia preventiva; que condenen, en este contexto, los ataques contra agentes religiosos, en particular el encarcelamiento de obispos y sacerdotes en Nicaragua, </w:t>
      </w:r>
      <w:r w:rsidRPr="00E42904">
        <w:lastRenderedPageBreak/>
        <w:t>incluido el finalista del Premio Sájarov, Rolando Álvarez;</w:t>
      </w:r>
    </w:p>
    <w:p w14:paraId="4E328B30" w14:textId="10186D62" w:rsidR="00A22885" w:rsidRPr="001B67A8" w:rsidRDefault="001B67A8" w:rsidP="00A22885">
      <w:pPr>
        <w:pStyle w:val="NormalHanging12a"/>
        <w:ind w:left="1134"/>
      </w:pPr>
      <w:r w:rsidRPr="001B67A8">
        <w:t>b</w:t>
      </w:r>
      <w:r>
        <w:t>h</w:t>
      </w:r>
      <w:r w:rsidR="00A22885" w:rsidRPr="001B67A8">
        <w:t>)</w:t>
      </w:r>
      <w:r w:rsidR="00A22885" w:rsidRPr="001B67A8">
        <w:tab/>
        <w:t>que reconozcan el papel de las organizaciones regionales pertinentes, las partes interesadas de los Estados miembros, los socios afines y otros agentes implicados, incluida la sociedad civil y otros agentes no gubernamentales, como agentes clave en la prevención, la mediación y la resolución eficaces, entre ellos las mujeres y los jóvenes, y como agentes de la paz, utilizando sus relaciones históricas y a personas de reconocido prestigio para mitigar las posibles crisis;</w:t>
      </w:r>
    </w:p>
    <w:p w14:paraId="041290BA" w14:textId="1428FE54" w:rsidR="00A22885" w:rsidRPr="001B67A8" w:rsidRDefault="001B67A8" w:rsidP="00A22885">
      <w:pPr>
        <w:pStyle w:val="NormalHanging12a"/>
        <w:ind w:left="1134"/>
      </w:pPr>
      <w:r w:rsidRPr="001B67A8">
        <w:t>b</w:t>
      </w:r>
      <w:r>
        <w:t>i</w:t>
      </w:r>
      <w:r w:rsidR="00A22885" w:rsidRPr="001B67A8">
        <w:t>)</w:t>
      </w:r>
      <w:r w:rsidR="00A22885" w:rsidRPr="001B67A8">
        <w:tab/>
        <w:t>que involucren de forma activa e inclusiva a los jóvenes en los esfuerzos y la cooperación para prevenir conflictos y mantener la paz, y aplicar el Plan de Acción de la UE para la Juventud —que apoya la aplicación de la Agenda de las Naciones Unidas de Juventud, Paz y Seguridad— en la acción exterior de la Unión;</w:t>
      </w:r>
    </w:p>
    <w:p w14:paraId="5746DABA" w14:textId="03B19910" w:rsidR="00A22885" w:rsidRPr="001B67A8" w:rsidRDefault="001B67A8" w:rsidP="00A22885">
      <w:pPr>
        <w:pStyle w:val="NormalHanging12a"/>
        <w:ind w:left="1134"/>
      </w:pPr>
      <w:r w:rsidRPr="001B67A8">
        <w:t>b</w:t>
      </w:r>
      <w:r>
        <w:t>j</w:t>
      </w:r>
      <w:r w:rsidR="00A22885" w:rsidRPr="001B67A8">
        <w:t>)</w:t>
      </w:r>
      <w:r w:rsidR="00A22885" w:rsidRPr="001B67A8">
        <w:tab/>
        <w:t>que garanticen que las delegaciones de la Unión trabajen con un punto focal para la prevención de conflictos y la consolidación de la paz; que velen por que las delegaciones de la Unión, y en particular los puntos focales antes mencionados, proporcionen información constante sobre el terreno al Sistema de Alerta Rápida de Conflictos de la UE, el INTCEN de la Unión y el Centro de Respuesta a las Crisis del SEAE;</w:t>
      </w:r>
    </w:p>
    <w:p w14:paraId="54420363" w14:textId="4F49A54C" w:rsidR="00A22885" w:rsidRPr="001B67A8" w:rsidRDefault="001B67A8" w:rsidP="00A22885">
      <w:pPr>
        <w:pStyle w:val="NormalHanging12a"/>
        <w:ind w:left="1134"/>
      </w:pPr>
      <w:r w:rsidRPr="001B67A8">
        <w:t>b</w:t>
      </w:r>
      <w:r>
        <w:t>k</w:t>
      </w:r>
      <w:r w:rsidR="00A22885" w:rsidRPr="001B67A8">
        <w:t>)</w:t>
      </w:r>
      <w:r w:rsidR="00A22885" w:rsidRPr="001B67A8">
        <w:tab/>
        <w:t>que redoblen los esfuerzos para luchar contra las operaciones de desinformación, información errónea e injerencia extranjera de agentes maliciosos que buscan fomentar conflictos y polarizar a las comunidades, que pueden conducir a la desestabilización de regiones enteras; que refuercen la cooperación con socios afines, como la OTAN, para contrarrestar la desinformación, las amenazas híbridas y la injerencia extranjera procedentes de países no pertenecientes a la Unión, lo que representa una parte esencial de la diplomacia preventiva;</w:t>
      </w:r>
    </w:p>
    <w:p w14:paraId="0388C370" w14:textId="77777777" w:rsidR="00A22885" w:rsidRPr="001B67A8" w:rsidRDefault="00A22885" w:rsidP="001B67A8">
      <w:pPr>
        <w:pStyle w:val="NormalHanging12a"/>
        <w:ind w:firstLine="0"/>
        <w:rPr>
          <w:b/>
          <w:i/>
        </w:rPr>
      </w:pPr>
      <w:r w:rsidRPr="001B67A8">
        <w:rPr>
          <w:b/>
          <w:i/>
        </w:rPr>
        <w:t>Diplomacia preventiva y grupos vulnerables o en riesgo</w:t>
      </w:r>
    </w:p>
    <w:p w14:paraId="30BE4454" w14:textId="57572E13" w:rsidR="00A22885" w:rsidRPr="001B67A8" w:rsidRDefault="001B67A8" w:rsidP="00A22885">
      <w:pPr>
        <w:pStyle w:val="NormalHanging12a"/>
        <w:ind w:left="1134"/>
      </w:pPr>
      <w:r w:rsidRPr="001B67A8">
        <w:t>b</w:t>
      </w:r>
      <w:r>
        <w:t>l</w:t>
      </w:r>
      <w:r w:rsidR="00A22885" w:rsidRPr="001B67A8">
        <w:t>)</w:t>
      </w:r>
      <w:r w:rsidR="00A22885" w:rsidRPr="001B67A8">
        <w:tab/>
        <w:t>que reconozcan las vulnerabilidades específicas en situaciones de conflicto de grupos en riesgo, como mujeres, niños, personas con discapacidad, personas en prisión, en especial presos políticos, defensores de los derechos humanos, periodistas y personas LGBTI;</w:t>
      </w:r>
    </w:p>
    <w:p w14:paraId="0E501D8A" w14:textId="468F6419" w:rsidR="00A22885" w:rsidRPr="001B67A8" w:rsidRDefault="001B67A8" w:rsidP="00A22885">
      <w:pPr>
        <w:pStyle w:val="NormalHanging12a"/>
        <w:ind w:left="1134"/>
      </w:pPr>
      <w:r w:rsidRPr="001B67A8">
        <w:t>b</w:t>
      </w:r>
      <w:r>
        <w:t>m</w:t>
      </w:r>
      <w:r w:rsidR="00A22885" w:rsidRPr="001B67A8">
        <w:t>)</w:t>
      </w:r>
      <w:r w:rsidR="00A22885" w:rsidRPr="001B67A8">
        <w:tab/>
        <w:t>que garanticen que los esfuerzos de diplomacia preventiva de la Unión sean lo bastante sensibles a estas vulnerabilidades y aborden las preocupaciones y necesidades específicas de los grupos en riesgo;</w:t>
      </w:r>
    </w:p>
    <w:p w14:paraId="3289F480" w14:textId="05FFDAB8" w:rsidR="00A22885" w:rsidRPr="001B67A8" w:rsidRDefault="001B67A8" w:rsidP="00A22885">
      <w:pPr>
        <w:pStyle w:val="NormalHanging12a"/>
        <w:ind w:left="1134"/>
      </w:pPr>
      <w:r w:rsidRPr="001B67A8">
        <w:t>b</w:t>
      </w:r>
      <w:r>
        <w:t>n</w:t>
      </w:r>
      <w:r w:rsidR="00A22885" w:rsidRPr="001B67A8">
        <w:t>) que reconozcan las vulnerabilidades específicas en situaciones de conflicto que afrontan las organizaciones no gubernamentales sobre el terreno, en especial aquellas que trabajen en relación con los derechos sexuales y reproductivos y con la población en riesgo;</w:t>
      </w:r>
    </w:p>
    <w:p w14:paraId="7175A345" w14:textId="77777777" w:rsidR="00A22885" w:rsidRPr="001B67A8" w:rsidRDefault="00A22885" w:rsidP="001B67A8">
      <w:pPr>
        <w:pStyle w:val="NormalHanging12a"/>
        <w:ind w:firstLine="0"/>
        <w:rPr>
          <w:b/>
          <w:i/>
        </w:rPr>
      </w:pPr>
      <w:r w:rsidRPr="001B67A8">
        <w:rPr>
          <w:b/>
          <w:i/>
        </w:rPr>
        <w:t>Reforzar el conjunto de instrumentos de diplomacia preventiva de la Unión</w:t>
      </w:r>
    </w:p>
    <w:p w14:paraId="490586ED" w14:textId="43766AD5" w:rsidR="00A22885" w:rsidRPr="001B67A8" w:rsidRDefault="001B67A8" w:rsidP="00A22885">
      <w:pPr>
        <w:pStyle w:val="NormalHanging12a"/>
        <w:ind w:left="1134"/>
      </w:pPr>
      <w:r w:rsidRPr="001B67A8">
        <w:t>b</w:t>
      </w:r>
      <w:r>
        <w:t>o</w:t>
      </w:r>
      <w:r w:rsidR="00A22885" w:rsidRPr="001B67A8">
        <w:t>)</w:t>
      </w:r>
      <w:r w:rsidR="00A22885" w:rsidRPr="001B67A8">
        <w:tab/>
        <w:t>que mejoren la capacidad de la Unión para actuar en situaciones en las que no haya socios afines con el fin de mejorar su posición y su influencia geopolítica en la prevención y resolución de conflictos y de reforzar el papel de la Unión como un agente más proactivo y resiliente en el orden internacional;</w:t>
      </w:r>
    </w:p>
    <w:p w14:paraId="74160B7C" w14:textId="30ED4ABE" w:rsidR="00A22885" w:rsidRPr="001B67A8" w:rsidRDefault="001B67A8" w:rsidP="00A22885">
      <w:pPr>
        <w:pStyle w:val="NormalHanging12a"/>
        <w:ind w:left="1134"/>
      </w:pPr>
      <w:r w:rsidRPr="001B67A8">
        <w:lastRenderedPageBreak/>
        <w:t>b</w:t>
      </w:r>
      <w:r>
        <w:t>p</w:t>
      </w:r>
      <w:r w:rsidR="00A22885" w:rsidRPr="001B67A8">
        <w:t>)</w:t>
      </w:r>
      <w:r w:rsidR="00A22885" w:rsidRPr="001B67A8">
        <w:tab/>
        <w:t>que refuercen el programa temático sobre paz, estabilidad y prevención de conflictos del IVDCI - Europa Global para permitir a la Unión financiar mejor las acciones para promover la paz, la estabilidad y la prevención de conflictos; que aumenten los fondos disponibles para la prevención de conflictos en el marco del programa temático del IVDCI - Europa Global para el período hasta 2027 e incrementen las capacidades administrativas pertinentes (ISP.2), ya que esto reflejaría los profundos cambios en el entorno de seguridad, en particular desde febrero de 2022; que apliquen rápidamente el enfoque del triple nexo (nexo entre la acción humanitaria, el desarrollo y la paz) con el fin de apoyar los esfuerzos de prevención de conflictos y reforzar la resiliencia de las comunidades en zonas afectadas por conflictos enquistados con distintos niveles de fragilidad, inseguridad y pobreza;</w:t>
      </w:r>
    </w:p>
    <w:p w14:paraId="0CC388A4" w14:textId="1A591AF1" w:rsidR="00A22885" w:rsidRPr="001B67A8" w:rsidRDefault="001B67A8" w:rsidP="00A22885">
      <w:pPr>
        <w:pStyle w:val="NormalHanging12a"/>
        <w:ind w:left="1134"/>
      </w:pPr>
      <w:r w:rsidRPr="001B67A8">
        <w:t>b</w:t>
      </w:r>
      <w:r>
        <w:t>q</w:t>
      </w:r>
      <w:r w:rsidR="00A22885" w:rsidRPr="001B67A8">
        <w:t>)</w:t>
      </w:r>
      <w:r w:rsidR="00A22885" w:rsidRPr="001B67A8">
        <w:tab/>
        <w:t>que recuerden que la prevención de conflictos no puede instrumentalizarse para fines de seguridad y geopolíticos, con lo que se corre el riesgo de generar repercusiones contraproducentes para la paz y la seguridad a largo plazo;</w:t>
      </w:r>
    </w:p>
    <w:p w14:paraId="445DA0F8" w14:textId="676B40B4" w:rsidR="00A22885" w:rsidRPr="001B67A8" w:rsidRDefault="001B67A8" w:rsidP="00A22885">
      <w:pPr>
        <w:pStyle w:val="NormalHanging12a"/>
        <w:ind w:left="1134"/>
      </w:pPr>
      <w:r w:rsidRPr="001B67A8">
        <w:t>b</w:t>
      </w:r>
      <w:r>
        <w:t>r</w:t>
      </w:r>
      <w:r w:rsidR="00A22885" w:rsidRPr="001B67A8">
        <w:t>)</w:t>
      </w:r>
      <w:r w:rsidR="00A22885" w:rsidRPr="001B67A8">
        <w:tab/>
        <w:t>que refuercen la capacidad de la Unión para hablar con una sola voz y responder como un verdadero actor mundial en situaciones de crisis aplicando las reformas necesarias a los procesos de toma de decisiones;</w:t>
      </w:r>
    </w:p>
    <w:p w14:paraId="56F51612" w14:textId="189E193A" w:rsidR="00A22885" w:rsidRPr="001B67A8" w:rsidRDefault="001B67A8" w:rsidP="00A22885">
      <w:pPr>
        <w:pStyle w:val="NormalHanging12a"/>
        <w:ind w:left="1134"/>
      </w:pPr>
      <w:r w:rsidRPr="001B67A8">
        <w:t>b</w:t>
      </w:r>
      <w:r>
        <w:t>s</w:t>
      </w:r>
      <w:r w:rsidR="00A22885" w:rsidRPr="001B67A8">
        <w:t>)</w:t>
      </w:r>
      <w:r w:rsidR="00A22885" w:rsidRPr="001B67A8">
        <w:tab/>
        <w:t>que reconozcan el papel de la diplomacia climática de la Unión para lograr la ambición de la Unión en relación con la diplomacia preventiva; que inviertan más en apoyar a las comunidades a escala mundial que se encuentren en la primera línea de la emergencia climática y se preparen para el ya inevitable aumento de los fenómenos meteorológicos extremos con el fin de mitigar el consiguiente incremento de las condiciones previas a conflictos y violencia; que aborden el papel de la escasez de recursos relacionada con el clima y de la respuesta a las catástrofes naturales en la exacerbación de los conflictos y proporcionen soluciones inclusivas a la inseguridad climática y relacionada con los recursos; que utilicen la 28.ª Conferencia de las Naciones Unidas sobre el Cambio Climático (CP 28), y en particular la inclusión de «Paz» como tema por primera vez este año, como una oportunidad para liderar a la comunidad internacional en la integración y la adaptación de la diplomacia para la paz y el clima;</w:t>
      </w:r>
    </w:p>
    <w:p w14:paraId="135C916D" w14:textId="043A85C3" w:rsidR="00A22885" w:rsidRPr="001B67A8" w:rsidRDefault="001B67A8" w:rsidP="00A22885">
      <w:pPr>
        <w:pStyle w:val="NormalHanging12a"/>
        <w:ind w:left="1134"/>
      </w:pPr>
      <w:r w:rsidRPr="001B67A8">
        <w:t>b</w:t>
      </w:r>
      <w:r>
        <w:t>t</w:t>
      </w:r>
      <w:r w:rsidR="00A22885" w:rsidRPr="001B67A8">
        <w:t>)</w:t>
      </w:r>
      <w:r w:rsidR="00A22885" w:rsidRPr="001B67A8">
        <w:tab/>
        <w:t>que trabajen para garantizar que la Unión asuma una posición destacada de liderazgo en las operaciones de mantenimiento de la paz, el establecimiento de la paz y la mediación, la prevención de conflictos y el refuerzo de la seguridad internacional en todo el mundo, fomentando unas conexiones más resilientes y duraderas con otros países a través de sus instrumentos y mecanismos, como Global Gateway;</w:t>
      </w:r>
    </w:p>
    <w:p w14:paraId="6143B0C0" w14:textId="542A4C73" w:rsidR="00A22885" w:rsidRPr="001B67A8" w:rsidRDefault="001B67A8" w:rsidP="00A22885">
      <w:pPr>
        <w:pStyle w:val="NormalHanging12a"/>
        <w:ind w:left="1134"/>
      </w:pPr>
      <w:r w:rsidRPr="001B67A8">
        <w:t>b</w:t>
      </w:r>
      <w:r>
        <w:t>u</w:t>
      </w:r>
      <w:r w:rsidR="00A22885" w:rsidRPr="001B67A8">
        <w:t>)</w:t>
      </w:r>
      <w:r w:rsidR="00A22885" w:rsidRPr="001B67A8">
        <w:tab/>
        <w:t>que recuerden que una mayor atención a la protección y conservación del patrimonio cultural tras los conflictos y las crisis puede ayudar a proteger las identidades, desarrollar el entendimiento mutuo y sentar las bases de la recuperación sostenible, la reconciliación y la paz duradera en situaciones posteriores a conflictos; que señalen que estas prácticas pueden sentar las bases para unas acciones de diplomacia preventiva con éxito;</w:t>
      </w:r>
    </w:p>
    <w:p w14:paraId="7CE0B1C1" w14:textId="75C3C3F9" w:rsidR="00A22885" w:rsidRPr="001B67A8" w:rsidRDefault="001B67A8" w:rsidP="00A22885">
      <w:pPr>
        <w:pStyle w:val="NormalHanging12a"/>
        <w:ind w:left="1134"/>
      </w:pPr>
      <w:r w:rsidRPr="001B67A8">
        <w:t>b</w:t>
      </w:r>
      <w:r>
        <w:t>v</w:t>
      </w:r>
      <w:r w:rsidR="00A22885" w:rsidRPr="001B67A8">
        <w:t>)</w:t>
      </w:r>
      <w:r w:rsidR="00A22885" w:rsidRPr="001B67A8">
        <w:tab/>
        <w:t xml:space="preserve">que colaboren con la Comisión, el Consejo y el Parlamento con objeto de reforzar los recursos financieros y humanos del SEAE, tanto en su sede central como en </w:t>
      </w:r>
      <w:r w:rsidR="00A22885" w:rsidRPr="001B67A8">
        <w:lastRenderedPageBreak/>
        <w:t>las delegaciones de la Unión, con el fin de que el Servicio pueda reforzar sus capacidades de diplomacia preventiva, entre otras, y estar mejor preparado para hacer frente a retos y conflictos mundiales actuales y emergentes;</w:t>
      </w:r>
    </w:p>
    <w:p w14:paraId="53102A8E" w14:textId="72420C62" w:rsidR="00A22885" w:rsidRPr="001B67A8" w:rsidRDefault="001B67A8" w:rsidP="00A22885">
      <w:pPr>
        <w:pStyle w:val="NormalHanging12a"/>
        <w:ind w:left="1134"/>
      </w:pPr>
      <w:r w:rsidRPr="001B67A8">
        <w:t>b</w:t>
      </w:r>
      <w:r>
        <w:t>w</w:t>
      </w:r>
      <w:r w:rsidR="00A22885" w:rsidRPr="001B67A8">
        <w:t>)</w:t>
      </w:r>
      <w:r w:rsidR="00A22885" w:rsidRPr="001B67A8">
        <w:tab/>
        <w:t>que desplieguen el Diálogo Jean Monnet, el diálogo interparlamentario y el proceso de diálogo parlamentario, que pueden contribuir a construir una cultura parlamentaria democrática y a prevenir conflictos en los países en vías de adhesión, en especial al apaciguamiento de las relaciones entre Serbia y Kosovo;</w:t>
      </w:r>
    </w:p>
    <w:p w14:paraId="2E3D63BA" w14:textId="6AE1FF37" w:rsidR="00A22885" w:rsidRPr="001B67A8" w:rsidRDefault="001B67A8" w:rsidP="00A22885">
      <w:pPr>
        <w:pStyle w:val="NormalHanging12a"/>
        <w:ind w:left="1134"/>
      </w:pPr>
      <w:r w:rsidRPr="001B67A8">
        <w:t>b</w:t>
      </w:r>
      <w:r>
        <w:t>x</w:t>
      </w:r>
      <w:r w:rsidR="00A22885" w:rsidRPr="001B67A8">
        <w:t>)</w:t>
      </w:r>
      <w:r w:rsidR="00A22885" w:rsidRPr="001B67A8">
        <w:tab/>
        <w:t>que insistan en el aumento presupuestario para las acciones de la PESC y otros instrumentos adecuados de respuesta ante conflictos y crisis, con el fin de hacer corresponder plenamente las actividades y capacidades de la Unión con los actuales desafíos y conflictos a escala mundial;</w:t>
      </w:r>
    </w:p>
    <w:p w14:paraId="04279DC2" w14:textId="7B08C54E" w:rsidR="00A22885" w:rsidRPr="001B67A8" w:rsidRDefault="001B67A8" w:rsidP="00A22885">
      <w:pPr>
        <w:pStyle w:val="NormalHanging12a"/>
        <w:ind w:left="1134"/>
      </w:pPr>
      <w:r w:rsidRPr="001B67A8">
        <w:t>b</w:t>
      </w:r>
      <w:r>
        <w:t>y</w:t>
      </w:r>
      <w:r w:rsidR="00A22885" w:rsidRPr="001B67A8">
        <w:t>)</w:t>
      </w:r>
      <w:r w:rsidR="00A22885" w:rsidRPr="001B67A8">
        <w:tab/>
        <w:t>que desarrollen una estrategia exhaustiva de la Unión para la diplomacia preventiva que incluya acciones e iniciativas de compromiso a largo plazo para terceros países en conflicto; que fomenten el desarrollo de estructuras de gobernanza de varios niveles para países no pertenecientes a la Unión en situación de conflicto, así como su integración dentro de organizaciones y estructuras regionales, contribuyendo a la eliminación de los desencadenantes de la violencia y de la escalada de los conflictos y a su resolución sostenible; que hagan balance, a este respecto, de las mejores prácticas a escala mundial y apoyen a los agentes y los mecanismos nacionales de prevención prestando el apoyo político, técnico y financiero necesario;</w:t>
      </w:r>
    </w:p>
    <w:p w14:paraId="7EDBBE04" w14:textId="1A8649EF" w:rsidR="00A22885" w:rsidRPr="001B67A8" w:rsidRDefault="001B67A8" w:rsidP="00A22885">
      <w:pPr>
        <w:pStyle w:val="NormalHanging12a"/>
        <w:ind w:left="1134"/>
      </w:pPr>
      <w:r w:rsidRPr="001B67A8">
        <w:t>b</w:t>
      </w:r>
      <w:r>
        <w:t>z</w:t>
      </w:r>
      <w:r w:rsidR="00A22885" w:rsidRPr="001B67A8">
        <w:t>)</w:t>
      </w:r>
      <w:r w:rsidR="00A22885" w:rsidRPr="001B67A8">
        <w:tab/>
        <w:t>que refuercen y actualicen el enfoque integrado de la Unión de los conflictos y crisis exteriores de 2018, prestando una atención especial a la prevención y resolución de conflictos que combine la promoción y la defensa de los derechos humanos, la ayuda humanitaria, al desarrollo, a la consolidación de la paz, a la seguridad y las sanciones, con la actividad diplomática, abordando plenamente todos los aspectos del conflicto, también en asociación con interlocutores locales e internacionales;</w:t>
      </w:r>
    </w:p>
    <w:p w14:paraId="4F15958A" w14:textId="2CCF0E66" w:rsidR="00A22885" w:rsidRPr="001B67A8" w:rsidRDefault="001B67A8" w:rsidP="00A22885">
      <w:pPr>
        <w:pStyle w:val="NormalHanging12a"/>
        <w:ind w:left="1134"/>
      </w:pPr>
      <w:r>
        <w:t>ca</w:t>
      </w:r>
      <w:r w:rsidR="00A22885" w:rsidRPr="001B67A8">
        <w:t>)</w:t>
      </w:r>
      <w:r w:rsidR="00A22885" w:rsidRPr="001B67A8">
        <w:tab/>
        <w:t>que recalquen la necesidad de establecer un Cuerpo Civil Europeo de Pacificación que reúna la experiencia de agentes institucionales y no institucionales en materia de prevención de conflictos, resolución pacífica de conflictos y reconciliación, con vistas a hacer la gestión de crisis civiles por parte de la Unión más creíble, coherente, eficaz, flexible y visible;</w:t>
      </w:r>
    </w:p>
    <w:p w14:paraId="0A16B32A" w14:textId="1E6817DA" w:rsidR="00A22885" w:rsidRPr="001B67A8" w:rsidRDefault="001B67A8" w:rsidP="00A22885">
      <w:pPr>
        <w:pStyle w:val="NormalHanging12a"/>
        <w:ind w:left="1134"/>
      </w:pPr>
      <w:r>
        <w:t>cb</w:t>
      </w:r>
      <w:r w:rsidR="00A22885" w:rsidRPr="001B67A8">
        <w:t>)</w:t>
      </w:r>
      <w:r w:rsidR="00A22885" w:rsidRPr="001B67A8">
        <w:tab/>
        <w:t>que consideren, sin perjuicio de la dimensión y las soluciones políticas de los conflictos, el recurso a los litigios a través de una corte o tribunal internacional, como la Corte Penal Internacional y el Tribunal Internacional del Derecho del Mar, como un método de diplomacia preventiva;</w:t>
      </w:r>
    </w:p>
    <w:p w14:paraId="23E4188B" w14:textId="1A67D3E6" w:rsidR="00A22885" w:rsidRPr="001B67A8" w:rsidRDefault="001B67A8" w:rsidP="00A22885">
      <w:pPr>
        <w:pStyle w:val="NormalHanging12a"/>
        <w:ind w:left="1134"/>
      </w:pPr>
      <w:r w:rsidRPr="001B67A8">
        <w:t>c</w:t>
      </w:r>
      <w:r>
        <w:t>c</w:t>
      </w:r>
      <w:r w:rsidR="00A22885" w:rsidRPr="001B67A8">
        <w:t>)</w:t>
      </w:r>
      <w:r w:rsidR="00A22885" w:rsidRPr="001B67A8">
        <w:tab/>
        <w:t xml:space="preserve">que intensifiquen sus esfuerzos de diplomacia pública y visibilidad y sus campañas de comunicación para garantizar que la Unión sea considerada un agente mundial para la paz y un interlocutor clave en la diplomacia preventiva y el establecimiento de la paz, incluida la dimensión de la prevención de conflictos de sus misiones y operaciones, y que sus acciones y éxitos no se vean socavados por discursos falsos difundidos o reivindicados por otros agentes mundiales presentes en regiones en conflicto; que asignen los recursos necesarios al SEAE y, en </w:t>
      </w:r>
      <w:r w:rsidR="00A22885" w:rsidRPr="001B67A8">
        <w:lastRenderedPageBreak/>
        <w:t>particular, a la Dirección de Comunicación Estratégica y Prospectiva del SEAE y de las delegaciones de la Unión para garantizar la inclusividad y la coherencia de sus actividades de cooperación con los países socios;</w:t>
      </w:r>
    </w:p>
    <w:p w14:paraId="008E4E83" w14:textId="1C38DFE5" w:rsidR="00A22885" w:rsidRPr="001B67A8" w:rsidRDefault="001B67A8" w:rsidP="00A22885">
      <w:pPr>
        <w:pStyle w:val="NormalHanging12a"/>
        <w:ind w:left="1134"/>
      </w:pPr>
      <w:r w:rsidRPr="001B67A8">
        <w:t>c</w:t>
      </w:r>
      <w:r>
        <w:t>d</w:t>
      </w:r>
      <w:r w:rsidR="00A22885" w:rsidRPr="001B67A8">
        <w:t>)</w:t>
      </w:r>
      <w:r w:rsidR="00A22885" w:rsidRPr="001B67A8">
        <w:tab/>
        <w:t>que continúen profesionalizando la diplomacia preventiva garantizando que sea parte del programa de formación de la estructura permanente del proyecto piloto del Parlamento para la creación de la escuela diplomática europea;</w:t>
      </w:r>
    </w:p>
    <w:p w14:paraId="6E66AC0A" w14:textId="4CF216A7" w:rsidR="00A22885" w:rsidRPr="001B67A8" w:rsidRDefault="001B67A8" w:rsidP="00A22885">
      <w:pPr>
        <w:pStyle w:val="NormalHanging12a"/>
        <w:ind w:left="1134"/>
      </w:pPr>
      <w:r w:rsidRPr="001B67A8">
        <w:t>c</w:t>
      </w:r>
      <w:r>
        <w:t>e</w:t>
      </w:r>
      <w:r w:rsidR="00A22885" w:rsidRPr="001B67A8">
        <w:t>)</w:t>
      </w:r>
      <w:r w:rsidR="00A22885" w:rsidRPr="001B67A8">
        <w:tab/>
        <w:t>que tomen como punto de partida los mecanismos de cooperación existentes en la Unión y que funcionan correctamente, como el Mecanismo de Protección Civil y las misiones y operaciones de la PCSD, para aprovechar los conocimientos especializados de los Estados miembros y evitar la duplicación de esfuerzos y recursos; que consideren que los Estados miembros deben participar más en la identificación de las prioridades de prevención y las opciones de actuación, lo que debe conducir a una mejora del intercambio y de la coordinación entre ellos;</w:t>
      </w:r>
    </w:p>
    <w:p w14:paraId="73E2DB2A" w14:textId="77777777" w:rsidR="00A22885" w:rsidRPr="001B67A8" w:rsidRDefault="00A22885" w:rsidP="00A22885">
      <w:pPr>
        <w:pStyle w:val="NormalHanging12a"/>
        <w:ind w:left="1134"/>
        <w:jc w:val="center"/>
      </w:pPr>
      <w:r w:rsidRPr="001B67A8">
        <w:t>°</w:t>
      </w:r>
    </w:p>
    <w:p w14:paraId="60FED66A" w14:textId="77777777" w:rsidR="00A22885" w:rsidRPr="001B67A8" w:rsidRDefault="00A22885" w:rsidP="00A22885">
      <w:pPr>
        <w:pStyle w:val="NormalHanging12a"/>
        <w:ind w:left="1134"/>
        <w:jc w:val="center"/>
      </w:pPr>
      <w:r w:rsidRPr="001B67A8">
        <w:t>°</w:t>
      </w:r>
      <w:r w:rsidRPr="001B67A8">
        <w:tab/>
        <w:t>°</w:t>
      </w:r>
    </w:p>
    <w:p w14:paraId="2B747999" w14:textId="77777777" w:rsidR="00E365E1" w:rsidRPr="001B67A8" w:rsidRDefault="00A22885" w:rsidP="00EE737A">
      <w:pPr>
        <w:pStyle w:val="NormalHanging12a"/>
      </w:pPr>
      <w:r w:rsidRPr="001B67A8">
        <w:t>2.</w:t>
      </w:r>
      <w:r w:rsidRPr="001B67A8">
        <w:tab/>
        <w:t>Encarga a su presidenta que transmita la presente Recomendación al Consejo, a la Comisión y al vicepresidente de la Comisión / alto representante de la Unión para Asuntos Exteriores y Política de Seguridad.</w:t>
      </w:r>
      <w:bookmarkStart w:id="8" w:name="TextBodyEnd"/>
      <w:bookmarkStart w:id="9" w:name="_GoBack"/>
      <w:bookmarkEnd w:id="8"/>
      <w:bookmarkEnd w:id="9"/>
    </w:p>
    <w:sectPr w:rsidR="00E365E1" w:rsidRPr="001B67A8" w:rsidSect="00D42D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27A47" w14:textId="77777777" w:rsidR="00CA5846" w:rsidRPr="00D42D80" w:rsidRDefault="00CA5846">
      <w:r w:rsidRPr="00D42D80">
        <w:separator/>
      </w:r>
    </w:p>
  </w:endnote>
  <w:endnote w:type="continuationSeparator" w:id="0">
    <w:p w14:paraId="0C17AF26" w14:textId="77777777" w:rsidR="00CA5846" w:rsidRPr="00D42D80" w:rsidRDefault="00CA5846">
      <w:r w:rsidRPr="00D42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8EEF" w14:textId="77777777" w:rsidR="00064002" w:rsidRPr="00D42D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852A" w14:textId="77777777" w:rsidR="00064002" w:rsidRPr="00D42D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57BC9" w14:textId="77777777" w:rsidR="00064002" w:rsidRPr="00D42D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8C965" w14:textId="77777777" w:rsidR="00CA5846" w:rsidRPr="00D42D80" w:rsidRDefault="00CA5846">
      <w:r w:rsidRPr="00D42D80">
        <w:separator/>
      </w:r>
    </w:p>
  </w:footnote>
  <w:footnote w:type="continuationSeparator" w:id="0">
    <w:p w14:paraId="65D6D46B" w14:textId="77777777" w:rsidR="00CA5846" w:rsidRPr="00D42D80" w:rsidRDefault="00CA5846">
      <w:r w:rsidRPr="00D42D80">
        <w:continuationSeparator/>
      </w:r>
    </w:p>
  </w:footnote>
  <w:footnote w:id="1">
    <w:p w14:paraId="64C0C375" w14:textId="77777777" w:rsidR="00A22885" w:rsidRPr="001B67A8" w:rsidRDefault="00A22885" w:rsidP="00D42D80">
      <w:pPr>
        <w:pStyle w:val="FootnoteText"/>
        <w:ind w:left="567" w:hanging="567"/>
        <w:rPr>
          <w:sz w:val="24"/>
          <w:lang w:val="pt-PT"/>
        </w:rPr>
      </w:pPr>
      <w:r w:rsidRPr="00D42D80">
        <w:rPr>
          <w:rStyle w:val="FootnoteReference"/>
          <w:sz w:val="24"/>
          <w:lang w:val="es-ES_tradnl"/>
        </w:rPr>
        <w:footnoteRef/>
      </w:r>
      <w:r w:rsidR="00D42D80" w:rsidRPr="001B67A8">
        <w:rPr>
          <w:sz w:val="24"/>
          <w:lang w:val="pt-PT"/>
        </w:rPr>
        <w:t xml:space="preserve"> </w:t>
      </w:r>
      <w:r w:rsidR="00D42D80" w:rsidRPr="001B67A8">
        <w:rPr>
          <w:sz w:val="24"/>
          <w:lang w:val="pt-PT"/>
        </w:rPr>
        <w:tab/>
      </w:r>
      <w:r w:rsidRPr="001B67A8">
        <w:rPr>
          <w:sz w:val="24"/>
          <w:lang w:val="pt-PT"/>
        </w:rPr>
        <w:t>DO C 150 de 28.5.1999, p. 164.</w:t>
      </w:r>
    </w:p>
  </w:footnote>
  <w:footnote w:id="2">
    <w:p w14:paraId="52174541" w14:textId="77777777" w:rsidR="00A22885" w:rsidRPr="001B67A8" w:rsidRDefault="00A22885" w:rsidP="00D42D80">
      <w:pPr>
        <w:pStyle w:val="FootnoteText"/>
        <w:ind w:left="567" w:hanging="567"/>
        <w:rPr>
          <w:sz w:val="24"/>
          <w:lang w:val="pt-PT"/>
        </w:rPr>
      </w:pPr>
      <w:r w:rsidRPr="00D42D80">
        <w:rPr>
          <w:rStyle w:val="FootnoteReference"/>
          <w:sz w:val="24"/>
          <w:lang w:val="es-ES_tradnl"/>
        </w:rPr>
        <w:footnoteRef/>
      </w:r>
      <w:r w:rsidR="00D42D80" w:rsidRPr="001B67A8">
        <w:rPr>
          <w:sz w:val="24"/>
          <w:lang w:val="pt-PT"/>
        </w:rPr>
        <w:t xml:space="preserve"> </w:t>
      </w:r>
      <w:r w:rsidR="00D42D80" w:rsidRPr="001B67A8">
        <w:rPr>
          <w:sz w:val="24"/>
          <w:lang w:val="pt-PT"/>
        </w:rPr>
        <w:tab/>
      </w:r>
      <w:r w:rsidRPr="001B67A8">
        <w:rPr>
          <w:sz w:val="24"/>
          <w:lang w:val="pt-PT"/>
        </w:rPr>
        <w:t>DO C 404 de 6.10.2021, p. 202.</w:t>
      </w:r>
    </w:p>
  </w:footnote>
  <w:footnote w:id="3">
    <w:p w14:paraId="61C8C213" w14:textId="77777777" w:rsidR="00A22885" w:rsidRPr="001B67A8" w:rsidRDefault="00A22885" w:rsidP="00D42D80">
      <w:pPr>
        <w:pStyle w:val="FootnoteText"/>
        <w:ind w:left="567" w:hanging="567"/>
        <w:rPr>
          <w:sz w:val="24"/>
          <w:lang w:val="pt-PT"/>
        </w:rPr>
      </w:pPr>
      <w:r w:rsidRPr="00D42D80">
        <w:rPr>
          <w:rStyle w:val="FootnoteReference"/>
          <w:sz w:val="24"/>
          <w:lang w:val="es-ES_tradnl"/>
        </w:rPr>
        <w:footnoteRef/>
      </w:r>
      <w:r w:rsidR="00D42D80" w:rsidRPr="001B67A8">
        <w:rPr>
          <w:sz w:val="24"/>
          <w:lang w:val="pt-PT"/>
        </w:rPr>
        <w:t xml:space="preserve"> </w:t>
      </w:r>
      <w:r w:rsidR="00D42D80" w:rsidRPr="001B67A8">
        <w:rPr>
          <w:sz w:val="24"/>
          <w:lang w:val="pt-PT"/>
        </w:rPr>
        <w:tab/>
      </w:r>
      <w:r w:rsidRPr="001B67A8">
        <w:rPr>
          <w:sz w:val="24"/>
          <w:lang w:val="pt-PT"/>
        </w:rPr>
        <w:t>DO C 23 de 21.1.2021, p. 16.</w:t>
      </w:r>
    </w:p>
  </w:footnote>
  <w:footnote w:id="4">
    <w:p w14:paraId="6DCA4F95" w14:textId="77777777" w:rsidR="00A22885" w:rsidRPr="001B67A8" w:rsidRDefault="00A22885" w:rsidP="00D42D80">
      <w:pPr>
        <w:pStyle w:val="FootnoteText"/>
        <w:ind w:left="567" w:hanging="567"/>
        <w:rPr>
          <w:sz w:val="24"/>
          <w:lang w:val="pt-PT"/>
        </w:rPr>
      </w:pPr>
      <w:r w:rsidRPr="00D42D80">
        <w:rPr>
          <w:rStyle w:val="FootnoteReference"/>
          <w:sz w:val="24"/>
          <w:lang w:val="es-ES_tradnl"/>
        </w:rPr>
        <w:footnoteRef/>
      </w:r>
      <w:r w:rsidR="00D42D80" w:rsidRPr="001B67A8">
        <w:rPr>
          <w:sz w:val="24"/>
          <w:lang w:val="pt-PT"/>
        </w:rPr>
        <w:t xml:space="preserve"> </w:t>
      </w:r>
      <w:r w:rsidR="00D42D80" w:rsidRPr="001B67A8">
        <w:rPr>
          <w:sz w:val="24"/>
          <w:lang w:val="pt-PT"/>
        </w:rPr>
        <w:tab/>
      </w:r>
      <w:r w:rsidRPr="001B67A8">
        <w:rPr>
          <w:sz w:val="24"/>
          <w:lang w:val="pt-PT"/>
        </w:rPr>
        <w:t>Textos Aprobados, P9_TA(2023)0106.</w:t>
      </w:r>
    </w:p>
  </w:footnote>
  <w:footnote w:id="5">
    <w:p w14:paraId="055BEA90" w14:textId="77777777" w:rsidR="00A22885" w:rsidRPr="001B67A8" w:rsidRDefault="00A22885" w:rsidP="00D42D80">
      <w:pPr>
        <w:pStyle w:val="FootnoteText"/>
        <w:ind w:left="567" w:hanging="567"/>
        <w:rPr>
          <w:sz w:val="24"/>
          <w:lang w:val="es-ES"/>
        </w:rPr>
      </w:pPr>
      <w:r w:rsidRPr="00D42D80">
        <w:rPr>
          <w:rStyle w:val="FootnoteReference"/>
          <w:sz w:val="24"/>
          <w:lang w:val="es-ES_tradnl"/>
        </w:rPr>
        <w:footnoteRef/>
      </w:r>
      <w:r w:rsidR="00D42D80" w:rsidRPr="001B67A8">
        <w:rPr>
          <w:sz w:val="24"/>
          <w:lang w:val="es-ES"/>
        </w:rPr>
        <w:t xml:space="preserve"> </w:t>
      </w:r>
      <w:r w:rsidR="00D42D80" w:rsidRPr="001B67A8">
        <w:rPr>
          <w:sz w:val="24"/>
          <w:lang w:val="es-ES"/>
        </w:rPr>
        <w:tab/>
      </w:r>
      <w:r w:rsidRPr="001B67A8">
        <w:rPr>
          <w:sz w:val="24"/>
          <w:lang w:val="es-ES"/>
        </w:rPr>
        <w:t>DO C 28 de 27.1.2020, p. 97.</w:t>
      </w:r>
    </w:p>
  </w:footnote>
  <w:footnote w:id="6">
    <w:p w14:paraId="32424B4A" w14:textId="77777777" w:rsidR="00A22885" w:rsidRPr="00D42D80" w:rsidRDefault="00A22885" w:rsidP="00D42D80">
      <w:pPr>
        <w:pStyle w:val="FootnoteText"/>
        <w:ind w:left="567" w:hanging="567"/>
        <w:rPr>
          <w:sz w:val="24"/>
          <w:lang w:val="es-ES_tradnl"/>
        </w:rPr>
      </w:pPr>
      <w:r w:rsidRPr="00D42D80">
        <w:rPr>
          <w:rStyle w:val="FootnoteReference"/>
          <w:sz w:val="24"/>
          <w:lang w:val="es-ES_tradnl"/>
        </w:rPr>
        <w:footnoteRef/>
      </w:r>
      <w:r w:rsidR="00D42D80" w:rsidRPr="00D42D80">
        <w:rPr>
          <w:sz w:val="24"/>
          <w:lang w:val="es-ES_tradnl"/>
        </w:rPr>
        <w:t xml:space="preserve"> </w:t>
      </w:r>
      <w:r w:rsidR="00D42D80" w:rsidRPr="00D42D80">
        <w:rPr>
          <w:sz w:val="24"/>
          <w:lang w:val="es-ES_tradnl"/>
        </w:rPr>
        <w:tab/>
      </w:r>
      <w:r w:rsidRPr="00D42D80">
        <w:rPr>
          <w:sz w:val="24"/>
          <w:lang w:val="es-ES_tradnl"/>
        </w:rPr>
        <w:t>Decisión 2010/427/UE del Consejo, de 26 de julio de 2010, por la que se establece la organización y el funcionamiento del Servicio Europeo de Acción Exterior (DO L 201 de 3.8.2010, p. 30).</w:t>
      </w:r>
    </w:p>
  </w:footnote>
  <w:footnote w:id="7">
    <w:p w14:paraId="344F1978" w14:textId="77777777" w:rsidR="00A22885" w:rsidRPr="00D42D80" w:rsidRDefault="00A22885" w:rsidP="00D42D80">
      <w:pPr>
        <w:pStyle w:val="FootnoteText"/>
        <w:ind w:left="567" w:hanging="567"/>
        <w:rPr>
          <w:sz w:val="24"/>
          <w:lang w:val="es-ES_tradnl"/>
        </w:rPr>
      </w:pPr>
      <w:r w:rsidRPr="00D42D80">
        <w:rPr>
          <w:rStyle w:val="FootnoteReference"/>
          <w:sz w:val="24"/>
          <w:lang w:val="es-ES_tradnl"/>
        </w:rPr>
        <w:footnoteRef/>
      </w:r>
      <w:r w:rsidR="00D42D80" w:rsidRPr="00D42D80">
        <w:rPr>
          <w:sz w:val="24"/>
          <w:lang w:val="es-ES_tradnl"/>
        </w:rPr>
        <w:t xml:space="preserve"> </w:t>
      </w:r>
      <w:r w:rsidR="00D42D80" w:rsidRPr="00D42D80">
        <w:rPr>
          <w:sz w:val="24"/>
          <w:lang w:val="es-ES_tradnl"/>
        </w:rPr>
        <w:tab/>
      </w:r>
      <w:r w:rsidRPr="00D42D80">
        <w:rPr>
          <w:sz w:val="24"/>
          <w:lang w:val="es-ES_tradnl"/>
        </w:rPr>
        <w:t>«</w:t>
      </w:r>
      <w:hyperlink r:id="rId1" w:history="1">
        <w:r w:rsidRPr="00D42D80">
          <w:rPr>
            <w:rStyle w:val="Hyperlink"/>
            <w:sz w:val="24"/>
            <w:lang w:val="es-ES_tradnl"/>
          </w:rPr>
          <w:t>Peace and Official Development Assistance</w:t>
        </w:r>
      </w:hyperlink>
      <w:r w:rsidRPr="00D42D80">
        <w:rPr>
          <w:sz w:val="24"/>
          <w:lang w:val="es-ES_tradnl"/>
        </w:rPr>
        <w:t>» (Paz y asistencia oficial para el desarrollo), Comité de Asistencia para el Desarrollo de la OCDE, octubre de 2023.</w:t>
      </w:r>
    </w:p>
  </w:footnote>
  <w:footnote w:id="8">
    <w:p w14:paraId="5990E44A" w14:textId="77777777" w:rsidR="00A22885" w:rsidRPr="00D42D80" w:rsidRDefault="00A22885" w:rsidP="00D42D80">
      <w:pPr>
        <w:pStyle w:val="FootnoteText"/>
        <w:ind w:left="567" w:hanging="567"/>
        <w:rPr>
          <w:sz w:val="24"/>
          <w:lang w:val="es-ES_tradnl"/>
        </w:rPr>
      </w:pPr>
      <w:r w:rsidRPr="00D42D80">
        <w:rPr>
          <w:rStyle w:val="FootnoteReference"/>
          <w:sz w:val="24"/>
          <w:lang w:val="es-ES_tradnl"/>
        </w:rPr>
        <w:footnoteRef/>
      </w:r>
      <w:r w:rsidR="00D42D80" w:rsidRPr="00D42D80">
        <w:rPr>
          <w:sz w:val="24"/>
          <w:lang w:val="es-ES_tradnl"/>
        </w:rPr>
        <w:t xml:space="preserve"> </w:t>
      </w:r>
      <w:r w:rsidR="00D42D80" w:rsidRPr="00D42D80">
        <w:rPr>
          <w:sz w:val="24"/>
          <w:lang w:val="es-ES_tradnl"/>
        </w:rPr>
        <w:tab/>
      </w:r>
      <w:r w:rsidRPr="00D42D80">
        <w:rPr>
          <w:sz w:val="24"/>
          <w:lang w:val="es-ES_tradnl"/>
        </w:rPr>
        <w:t>«</w:t>
      </w:r>
      <w:hyperlink r:id="rId2" w:history="1">
        <w:r w:rsidRPr="00D42D80">
          <w:rPr>
            <w:rStyle w:val="Hyperlink"/>
            <w:sz w:val="24"/>
            <w:lang w:val="es-ES_tradnl"/>
          </w:rPr>
          <w:t>Gendered impacts of armed conflict and implications for the application of IHL</w:t>
        </w:r>
      </w:hyperlink>
      <w:r w:rsidRPr="00D42D80">
        <w:rPr>
          <w:sz w:val="24"/>
          <w:lang w:val="es-ES_tradnl"/>
        </w:rPr>
        <w:t xml:space="preserve">» (Efectos en función del género de los conflictos armados e implicaciones para la aplicación del Derecho internacional humanitario), Humanitarian Law &amp; Policy, 30 de junio de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3044" w14:textId="77777777" w:rsidR="00064002" w:rsidRPr="00D42D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A7CC4" w14:textId="77777777" w:rsidR="00064002" w:rsidRPr="00D42D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4F6B9" w14:textId="77777777" w:rsidR="00064002" w:rsidRPr="00D42D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ES"/>
    <w:docVar w:name="dvnumam" w:val="0"/>
    <w:docVar w:name="dvpe" w:val="752.799"/>
    <w:docVar w:name="dvrapporteur" w:val="Ponente: "/>
    <w:docVar w:name="dvtitre" w:val="Resolución del Parlamento Europeo, de 17 de enero de 2024, sobre la Recomendación del Parlamento Europeo al Consejo, a la Comisión y al vicepresidente de la Comisión / alto representante de la Unión para Asuntos Exteriores y Política de Seguridad sobre el papel de la diplomacia preventiva en el tratamiento de conflictos enquistados en todo el mundo: ¿oportunidad perdida o cambio para el futuro?(2023/2050(INI))"/>
  </w:docVars>
  <w:rsids>
    <w:rsidRoot w:val="00CA5846"/>
    <w:rsid w:val="00002272"/>
    <w:rsid w:val="00064002"/>
    <w:rsid w:val="000677B9"/>
    <w:rsid w:val="000831BA"/>
    <w:rsid w:val="000A42CC"/>
    <w:rsid w:val="000E7DD9"/>
    <w:rsid w:val="0010095E"/>
    <w:rsid w:val="00125B37"/>
    <w:rsid w:val="0014126E"/>
    <w:rsid w:val="00187494"/>
    <w:rsid w:val="00192C06"/>
    <w:rsid w:val="001B67A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88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846"/>
    <w:rsid w:val="00CC2357"/>
    <w:rsid w:val="00CF071A"/>
    <w:rsid w:val="00D058B8"/>
    <w:rsid w:val="00D42D80"/>
    <w:rsid w:val="00D56C11"/>
    <w:rsid w:val="00D834A0"/>
    <w:rsid w:val="00D872DF"/>
    <w:rsid w:val="00D91E21"/>
    <w:rsid w:val="00DA7FCD"/>
    <w:rsid w:val="00E365E1"/>
    <w:rsid w:val="00E42904"/>
    <w:rsid w:val="00E820A4"/>
    <w:rsid w:val="00EB006A"/>
    <w:rsid w:val="00EB4772"/>
    <w:rsid w:val="00ED169E"/>
    <w:rsid w:val="00ED4235"/>
    <w:rsid w:val="00EE737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3D725"/>
  <w15:chartTrackingRefBased/>
  <w15:docId w15:val="{15FE5A49-E5FB-45C0-8BD5-F8BAA2B0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2885"/>
    <w:pPr>
      <w:spacing w:before="480" w:after="240"/>
    </w:pPr>
  </w:style>
  <w:style w:type="paragraph" w:customStyle="1" w:styleId="NormalHanging12a">
    <w:name w:val="NormalHanging12a"/>
    <w:basedOn w:val="Normal"/>
    <w:link w:val="NormalHanging12aChar"/>
    <w:qFormat/>
    <w:rsid w:val="00A22885"/>
    <w:pPr>
      <w:spacing w:after="240"/>
      <w:ind w:left="567" w:hanging="567"/>
    </w:pPr>
  </w:style>
  <w:style w:type="character" w:styleId="Hyperlink">
    <w:name w:val="Hyperlink"/>
    <w:basedOn w:val="DefaultParagraphFont"/>
    <w:rsid w:val="00A22885"/>
    <w:rPr>
      <w:color w:val="0563C1" w:themeColor="hyperlink"/>
      <w:u w:val="single"/>
    </w:rPr>
  </w:style>
  <w:style w:type="character" w:customStyle="1" w:styleId="NormalHanging12aChar">
    <w:name w:val="NormalHanging12a Char"/>
    <w:basedOn w:val="DefaultParagraphFont"/>
    <w:link w:val="NormalHanging12a"/>
    <w:rsid w:val="00A22885"/>
    <w:rPr>
      <w:sz w:val="24"/>
      <w:lang w:val="es-ES_tradnl"/>
    </w:rPr>
  </w:style>
  <w:style w:type="paragraph" w:styleId="BalloonText">
    <w:name w:val="Balloon Text"/>
    <w:basedOn w:val="Normal"/>
    <w:link w:val="BalloonTextChar"/>
    <w:rsid w:val="00EE737A"/>
    <w:rPr>
      <w:rFonts w:ascii="Segoe UI" w:hAnsi="Segoe UI" w:cs="Segoe UI"/>
      <w:sz w:val="18"/>
      <w:szCs w:val="18"/>
    </w:rPr>
  </w:style>
  <w:style w:type="character" w:customStyle="1" w:styleId="BalloonTextChar">
    <w:name w:val="Balloon Text Char"/>
    <w:basedOn w:val="DefaultParagraphFont"/>
    <w:link w:val="BalloonText"/>
    <w:rsid w:val="00EE737A"/>
    <w:rPr>
      <w:rFonts w:ascii="Segoe UI" w:hAnsi="Segoe UI" w:cs="Segoe UI"/>
      <w:sz w:val="18"/>
      <w:szCs w:val="18"/>
      <w:lang w:val="es-ES_tradnl"/>
    </w:rPr>
  </w:style>
  <w:style w:type="character" w:styleId="CommentReference">
    <w:name w:val="annotation reference"/>
    <w:basedOn w:val="DefaultParagraphFont"/>
    <w:rsid w:val="00192C06"/>
    <w:rPr>
      <w:sz w:val="16"/>
      <w:szCs w:val="16"/>
    </w:rPr>
  </w:style>
  <w:style w:type="paragraph" w:styleId="CommentText">
    <w:name w:val="annotation text"/>
    <w:basedOn w:val="Normal"/>
    <w:link w:val="CommentTextChar"/>
    <w:rsid w:val="00192C06"/>
    <w:rPr>
      <w:sz w:val="20"/>
    </w:rPr>
  </w:style>
  <w:style w:type="character" w:customStyle="1" w:styleId="CommentTextChar">
    <w:name w:val="Comment Text Char"/>
    <w:basedOn w:val="DefaultParagraphFont"/>
    <w:link w:val="CommentText"/>
    <w:rsid w:val="00192C06"/>
    <w:rPr>
      <w:lang w:val="es-ES_tradnl"/>
    </w:rPr>
  </w:style>
  <w:style w:type="paragraph" w:styleId="CommentSubject">
    <w:name w:val="annotation subject"/>
    <w:basedOn w:val="CommentText"/>
    <w:next w:val="CommentText"/>
    <w:link w:val="CommentSubjectChar"/>
    <w:rsid w:val="00192C06"/>
    <w:rPr>
      <w:b/>
      <w:bCs/>
    </w:rPr>
  </w:style>
  <w:style w:type="character" w:customStyle="1" w:styleId="CommentSubjectChar">
    <w:name w:val="Comment Subject Char"/>
    <w:basedOn w:val="CommentTextChar"/>
    <w:link w:val="CommentSubject"/>
    <w:rsid w:val="00192C06"/>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53599-9F8C-47F9-A820-D87218CF7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9014</Words>
  <Characters>51384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2024-01-17T15:11:00Z</dcterms:created>
  <dcterms:modified xsi:type="dcterms:W3CDTF">2024-01-17T15:11:00Z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A9-0404/2023</vt:lpwstr>
  </property>
  <property fmtid="{D5CDD505-2E9C-101B-9397-08002B2CF9AE}" pid="4" name="&lt;Type&gt;">
    <vt:lpwstr>RR</vt:lpwstr>
  </property>
</Properties>
</file>