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557" w:rsidTr="0010095E">
        <w:trPr>
          <w:trHeight w:hRule="exact" w:val="1418"/>
        </w:trPr>
        <w:tc>
          <w:tcPr>
            <w:tcW w:w="6804" w:type="dxa"/>
            <w:shd w:val="clear" w:color="auto" w:fill="auto"/>
            <w:vAlign w:val="center"/>
          </w:tcPr>
          <w:p w:rsidR="00751A4A" w:rsidRPr="004C2557" w:rsidRDefault="00695367" w:rsidP="0010095E">
            <w:pPr>
              <w:pStyle w:val="EPName"/>
            </w:pPr>
            <w:r w:rsidRPr="00476EF7">
              <w:t>Europa-Parlamentet</w:t>
            </w:r>
          </w:p>
          <w:p w:rsidR="00751A4A" w:rsidRPr="004C2557" w:rsidRDefault="00817416" w:rsidP="00756632">
            <w:pPr>
              <w:pStyle w:val="EPTerm"/>
              <w:rPr>
                <w:rStyle w:val="HideTWBExt"/>
                <w:noProof w:val="0"/>
                <w:vanish w:val="0"/>
                <w:color w:val="auto"/>
              </w:rPr>
            </w:pPr>
            <w:r w:rsidRPr="004C2557">
              <w:t>2019-2024</w:t>
            </w:r>
          </w:p>
        </w:tc>
        <w:tc>
          <w:tcPr>
            <w:tcW w:w="2268" w:type="dxa"/>
            <w:shd w:val="clear" w:color="auto" w:fill="auto"/>
          </w:tcPr>
          <w:p w:rsidR="00751A4A" w:rsidRPr="00476EF7" w:rsidRDefault="00187494" w:rsidP="0010095E">
            <w:pPr>
              <w:pStyle w:val="EPLogo"/>
            </w:pPr>
            <w:r w:rsidRPr="00476E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2557" w:rsidRDefault="00D058B8" w:rsidP="004C5D52">
      <w:pPr>
        <w:pStyle w:val="LineTop"/>
      </w:pPr>
    </w:p>
    <w:p w:rsidR="00680577" w:rsidRPr="004C2557" w:rsidRDefault="00695367" w:rsidP="00680577">
      <w:pPr>
        <w:pStyle w:val="EPBodyTA1"/>
      </w:pPr>
      <w:r w:rsidRPr="004C2557">
        <w:t>VEDTAGNE TEKSTER</w:t>
      </w:r>
    </w:p>
    <w:p w:rsidR="00D058B8" w:rsidRPr="004C2557" w:rsidRDefault="00D058B8" w:rsidP="00D058B8">
      <w:pPr>
        <w:pStyle w:val="LineBottom"/>
      </w:pPr>
    </w:p>
    <w:p w:rsidR="00695367" w:rsidRPr="00FC57F6" w:rsidRDefault="00695367" w:rsidP="00695367">
      <w:pPr>
        <w:pStyle w:val="ATHeading1"/>
      </w:pPr>
      <w:bookmarkStart w:id="0" w:name="TANumber"/>
      <w:r w:rsidRPr="00FC57F6">
        <w:t>P9_TA(2024)00</w:t>
      </w:r>
      <w:r w:rsidR="007D6A3A">
        <w:t>35</w:t>
      </w:r>
      <w:bookmarkStart w:id="1" w:name="_GoBack"/>
      <w:bookmarkEnd w:id="0"/>
      <w:bookmarkEnd w:id="1"/>
    </w:p>
    <w:p w:rsidR="00695367" w:rsidRPr="00FC57F6" w:rsidRDefault="00695367" w:rsidP="00695367">
      <w:pPr>
        <w:pStyle w:val="ATHeading2"/>
      </w:pPr>
      <w:bookmarkStart w:id="2" w:name="title"/>
      <w:r w:rsidRPr="00FC57F6">
        <w:t>Den Europæiske Ombudsmands virksomhed – årsberetning 2022</w:t>
      </w:r>
      <w:bookmarkEnd w:id="2"/>
    </w:p>
    <w:p w:rsidR="00695367" w:rsidRPr="00476EF7" w:rsidRDefault="00695367" w:rsidP="00695367">
      <w:pPr>
        <w:rPr>
          <w:i/>
          <w:vanish/>
        </w:rPr>
      </w:pPr>
      <w:r w:rsidRPr="00476EF7">
        <w:rPr>
          <w:i/>
        </w:rPr>
        <w:fldChar w:fldCharType="begin"/>
      </w:r>
      <w:r w:rsidRPr="00476EF7">
        <w:rPr>
          <w:i/>
        </w:rPr>
        <w:instrText xml:space="preserve"> TC"(</w:instrText>
      </w:r>
      <w:bookmarkStart w:id="3" w:name="DocNumber"/>
      <w:r w:rsidRPr="00476EF7">
        <w:rPr>
          <w:i/>
        </w:rPr>
        <w:instrText>A</w:instrText>
      </w:r>
      <w:r w:rsidRPr="004C2557">
        <w:rPr>
          <w:i/>
        </w:rPr>
        <w:instrText>9</w:instrText>
      </w:r>
      <w:r w:rsidRPr="00FC57F6">
        <w:rPr>
          <w:i/>
        </w:rPr>
        <w:instrText>-0414/2023</w:instrText>
      </w:r>
      <w:bookmarkEnd w:id="3"/>
      <w:r w:rsidRPr="00FC57F6">
        <w:rPr>
          <w:i/>
        </w:rPr>
        <w:instrText xml:space="preserve"> - Ordfører: Peter Jahr)"\l3 \n&gt; \* MERGEFORMAT </w:instrText>
      </w:r>
      <w:r w:rsidRPr="00476EF7">
        <w:rPr>
          <w:i/>
        </w:rPr>
        <w:fldChar w:fldCharType="end"/>
      </w:r>
    </w:p>
    <w:p w:rsidR="00695367" w:rsidRPr="00FC57F6" w:rsidRDefault="00695367" w:rsidP="00695367">
      <w:pPr>
        <w:rPr>
          <w:vanish/>
        </w:rPr>
      </w:pPr>
      <w:bookmarkStart w:id="4" w:name="Commission"/>
      <w:r w:rsidRPr="004C2557">
        <w:rPr>
          <w:vanish/>
        </w:rPr>
        <w:t>Udvalget for Andragender</w:t>
      </w:r>
      <w:bookmarkEnd w:id="4"/>
    </w:p>
    <w:p w:rsidR="00695367" w:rsidRPr="00FC57F6" w:rsidRDefault="00695367" w:rsidP="00695367">
      <w:pPr>
        <w:rPr>
          <w:vanish/>
        </w:rPr>
      </w:pPr>
      <w:bookmarkStart w:id="5" w:name="PE"/>
      <w:r w:rsidRPr="00FC57F6">
        <w:rPr>
          <w:vanish/>
        </w:rPr>
        <w:t>PE751.674</w:t>
      </w:r>
      <w:bookmarkEnd w:id="5"/>
    </w:p>
    <w:p w:rsidR="00695367" w:rsidRPr="00FC57F6" w:rsidRDefault="00695367" w:rsidP="00695367">
      <w:pPr>
        <w:pStyle w:val="ATHeading3"/>
      </w:pPr>
      <w:bookmarkStart w:id="6" w:name="Sujet"/>
      <w:r w:rsidRPr="00FC57F6">
        <w:t xml:space="preserve">Europa-Parlamentets beslutning af </w:t>
      </w:r>
      <w:r w:rsidR="00476EF7" w:rsidRPr="00FC57F6">
        <w:t>17</w:t>
      </w:r>
      <w:r w:rsidRPr="00FC57F6">
        <w:t>. januar 2024 om Den Europæiske Ombudsmands virksomhed – årsberetning 2022</w:t>
      </w:r>
      <w:bookmarkEnd w:id="6"/>
      <w:r w:rsidRPr="00FC57F6">
        <w:t xml:space="preserve"> </w:t>
      </w:r>
      <w:bookmarkStart w:id="7" w:name="References"/>
      <w:r w:rsidRPr="00FC57F6">
        <w:t>(2023/2120(INI))</w:t>
      </w:r>
      <w:bookmarkEnd w:id="7"/>
    </w:p>
    <w:p w:rsidR="00A07886" w:rsidRPr="004C2557" w:rsidRDefault="00A07886" w:rsidP="00A07886">
      <w:pPr>
        <w:pStyle w:val="EPComma"/>
      </w:pPr>
      <w:bookmarkStart w:id="8" w:name="TextBodyBegin"/>
      <w:bookmarkEnd w:id="8"/>
      <w:r w:rsidRPr="00476EF7">
        <w:rPr>
          <w:i/>
        </w:rPr>
        <w:t>Europa-Parlamentet,</w:t>
      </w:r>
    </w:p>
    <w:p w:rsidR="00A07886" w:rsidRPr="00FC57F6" w:rsidRDefault="00A07886" w:rsidP="00A07886">
      <w:pPr>
        <w:pStyle w:val="NormalHanging12a"/>
      </w:pPr>
      <w:r w:rsidRPr="00FC57F6">
        <w:t>–</w:t>
      </w:r>
      <w:r w:rsidRPr="00FC57F6">
        <w:tab/>
        <w:t>der henviser til Den Europæiske Ombudsmands virksomhed – årsberetning 2022,</w:t>
      </w:r>
    </w:p>
    <w:p w:rsidR="00A07886" w:rsidRPr="00FC57F6" w:rsidRDefault="00A07886" w:rsidP="00A07886">
      <w:pPr>
        <w:pStyle w:val="NormalHanging12a"/>
      </w:pPr>
      <w:r w:rsidRPr="00FC57F6">
        <w:t>–</w:t>
      </w:r>
      <w:r w:rsidRPr="00FC57F6">
        <w:tab/>
        <w:t>der henviser til artikel 10, stk. 3, i traktaten om Den Europæiske Union,</w:t>
      </w:r>
    </w:p>
    <w:p w:rsidR="00A07886" w:rsidRPr="00FC57F6" w:rsidRDefault="00A07886" w:rsidP="00A07886">
      <w:pPr>
        <w:pStyle w:val="NormalHanging12a"/>
      </w:pPr>
      <w:r w:rsidRPr="00FC57F6">
        <w:t>–</w:t>
      </w:r>
      <w:r w:rsidRPr="00FC57F6">
        <w:tab/>
        <w:t>der henviser til artikel 15, artikel 24, stk. 3, artikel 228 og artikel 298, stk. 1, i traktaten om Den Europæiske Unions funktionsmåde (TEUF),</w:t>
      </w:r>
    </w:p>
    <w:p w:rsidR="00A07886" w:rsidRPr="00FC57F6" w:rsidRDefault="00A07886" w:rsidP="00A07886">
      <w:pPr>
        <w:pStyle w:val="NormalHanging12a"/>
      </w:pPr>
      <w:r w:rsidRPr="00FC57F6">
        <w:t>–</w:t>
      </w:r>
      <w:r w:rsidRPr="00FC57F6">
        <w:tab/>
        <w:t>der henviser til artikel 11, 41, 42 og 43 i Den Europæiske Unions charter om grundlæggende rettigheder ("chartret"),</w:t>
      </w:r>
    </w:p>
    <w:p w:rsidR="00A07886" w:rsidRPr="00FC57F6" w:rsidRDefault="00A07886" w:rsidP="00A07886">
      <w:pPr>
        <w:pStyle w:val="NormalHanging12a"/>
      </w:pPr>
      <w:r w:rsidRPr="00FC57F6">
        <w:t>–</w:t>
      </w:r>
      <w:r w:rsidRPr="00FC57F6">
        <w:tab/>
        <w:t>der henviser til FN's konvention om rettigheder for personer med handicap (UNCRPD),</w:t>
      </w:r>
    </w:p>
    <w:p w:rsidR="00A07886" w:rsidRPr="004C2557" w:rsidRDefault="00A07886" w:rsidP="00A07886">
      <w:pPr>
        <w:pStyle w:val="NormalHanging12a"/>
      </w:pPr>
      <w:r w:rsidRPr="00FC57F6">
        <w:t>–</w:t>
      </w:r>
      <w:r w:rsidRPr="00FC57F6">
        <w:tab/>
        <w:t xml:space="preserve">der henviser til Europa-Parlamentets forordning (EU, </w:t>
      </w:r>
      <w:proofErr w:type="spellStart"/>
      <w:r w:rsidRPr="00FC57F6">
        <w:t>Euratom</w:t>
      </w:r>
      <w:proofErr w:type="spellEnd"/>
      <w:r w:rsidRPr="00FC57F6">
        <w:t xml:space="preserve">) 2021/1163 af 24. juni 2021 om Ombudsmandens statut og de almindelige betingelser for udøvelsen af dennes hverv (Den Europæiske Ombudsmands statut) og om ophævelse af afgørelse 94/262/EKSF, EF, </w:t>
      </w:r>
      <w:proofErr w:type="spellStart"/>
      <w:r w:rsidRPr="00FC57F6">
        <w:t>Euratom</w:t>
      </w:r>
      <w:proofErr w:type="spellEnd"/>
      <w:r w:rsidRPr="00476EF7">
        <w:rPr>
          <w:rStyle w:val="FootnoteReference"/>
        </w:rPr>
        <w:footnoteReference w:id="1"/>
      </w:r>
      <w:r w:rsidRPr="00476EF7">
        <w:t>,</w:t>
      </w:r>
    </w:p>
    <w:p w:rsidR="00A07886" w:rsidRPr="00FC57F6" w:rsidRDefault="00A07886" w:rsidP="00A07886">
      <w:pPr>
        <w:pStyle w:val="NormalHanging12a"/>
      </w:pPr>
      <w:r w:rsidRPr="00FC57F6">
        <w:t>–</w:t>
      </w:r>
      <w:r w:rsidRPr="00FC57F6">
        <w:tab/>
        <w:t>der henviser til den europæiske kodeks for god forvaltningsskik som vedtaget af Europa-Parlamentet den 6. september 2001,</w:t>
      </w:r>
    </w:p>
    <w:p w:rsidR="00A07886" w:rsidRPr="00FC57F6" w:rsidRDefault="00A07886" w:rsidP="00A07886">
      <w:pPr>
        <w:pStyle w:val="NormalHanging12a"/>
      </w:pPr>
      <w:r w:rsidRPr="00FC57F6">
        <w:t>–</w:t>
      </w:r>
      <w:r w:rsidRPr="00FC57F6">
        <w:tab/>
        <w:t>der henviser til rammeaftalen om samarbejde, som blev indgået mellem Europa-Parlamentet og Den Europæiske Ombudsmand den 15. marts 2006 og trådte i kraft den 1. april 2006,</w:t>
      </w:r>
    </w:p>
    <w:p w:rsidR="00A07886" w:rsidRPr="00FC57F6" w:rsidRDefault="00A07886" w:rsidP="00A07886">
      <w:pPr>
        <w:pStyle w:val="NormalHanging12a"/>
      </w:pPr>
      <w:r w:rsidRPr="00FC57F6">
        <w:t>–</w:t>
      </w:r>
      <w:r w:rsidRPr="00FC57F6">
        <w:tab/>
        <w:t>der henviser til sine tidligere beslutninger om Den Europæiske Ombudsmands virksomhed,</w:t>
      </w:r>
    </w:p>
    <w:p w:rsidR="00A07886" w:rsidRPr="00FC57F6" w:rsidRDefault="00A07886" w:rsidP="00A07886">
      <w:pPr>
        <w:pStyle w:val="NormalHanging12a"/>
      </w:pPr>
      <w:r w:rsidRPr="00FC57F6">
        <w:lastRenderedPageBreak/>
        <w:t>–</w:t>
      </w:r>
      <w:r w:rsidRPr="00FC57F6">
        <w:tab/>
        <w:t>der henviser til forretningsordenens artikel 54 og artikel 142, stk. 2,</w:t>
      </w:r>
    </w:p>
    <w:p w:rsidR="00A07886" w:rsidRPr="00FC57F6" w:rsidRDefault="00A07886" w:rsidP="00A07886">
      <w:pPr>
        <w:pStyle w:val="NormalHanging12a"/>
      </w:pPr>
      <w:r w:rsidRPr="00FC57F6">
        <w:t>–</w:t>
      </w:r>
      <w:r w:rsidRPr="00FC57F6">
        <w:tab/>
        <w:t>der henviser til betænkning fra Udvalget for Andragender (A9-0414/2023),</w:t>
      </w:r>
    </w:p>
    <w:p w:rsidR="00A07886" w:rsidRPr="00FC57F6" w:rsidRDefault="00A07886" w:rsidP="00A07886">
      <w:pPr>
        <w:pStyle w:val="NormalHanging12a"/>
      </w:pPr>
      <w:r w:rsidRPr="00FC57F6">
        <w:t>A.</w:t>
      </w:r>
      <w:r w:rsidRPr="00FC57F6">
        <w:tab/>
        <w:t xml:space="preserve">der henviser til, at Den Europæiske Ombudsmands årsberetning for 2022 formelt blev forelagt for Europa-Parlamentets formand den 28. april 2023, og at Ombudsmanden, Emily </w:t>
      </w:r>
      <w:proofErr w:type="spellStart"/>
      <w:r w:rsidRPr="00FC57F6">
        <w:t>O'Reilly</w:t>
      </w:r>
      <w:proofErr w:type="spellEnd"/>
      <w:r w:rsidRPr="00FC57F6">
        <w:t>, forelagde den for Udvalget for Andragender den 27. juni 2023 i Bruxelles;</w:t>
      </w:r>
    </w:p>
    <w:p w:rsidR="00A07886" w:rsidRPr="00FC57F6" w:rsidRDefault="00A07886" w:rsidP="00A07886">
      <w:pPr>
        <w:pStyle w:val="NormalHanging12a"/>
      </w:pPr>
      <w:r w:rsidRPr="00FC57F6">
        <w:t>B.</w:t>
      </w:r>
      <w:r w:rsidRPr="00FC57F6">
        <w:tab/>
        <w:t>der henviser til, at Den Europæiske Ombudsmand i henhold til artikel 20, 24 og 228 i TEUF er beføjet til at modtage klager over tilfælde af fejl eller forsømmelser i forbindelse med handlinger foretaget af Unionens institutioner, organer, kontorer eller agenturer, med undtagelse af Den Europæiske Unions Domstol (EU-Domstolen) under udøvelsen af dens domstolsfunktioner;</w:t>
      </w:r>
    </w:p>
    <w:p w:rsidR="00A07886" w:rsidRPr="00FC57F6" w:rsidRDefault="00A07886" w:rsidP="00A07886">
      <w:pPr>
        <w:pStyle w:val="NormalHanging12a"/>
      </w:pPr>
      <w:r w:rsidRPr="00FC57F6">
        <w:t>C.</w:t>
      </w:r>
      <w:r w:rsidRPr="00FC57F6">
        <w:tab/>
        <w:t>der henviser til, at det af artikel 15 i TEUF fremgår, at "for at fremme gode styreformer og sikre civilsamfundets deltagelse arbejder Unionens institutioner, organer, kontorer og agenturer så åbent som muligt", og at "alle unionsborgere og alle fysiske og juridiske personer, der har bopæl eller vedtægtsmæssigt hjemsted i en medlemsstat, har ret til aktindsigt i dokumenter fra Unionens institutioner, organer, kontorer og agenturer"; der henviser til, at det er afgørende for beskyttelsen af EU-borgernes rettigheder og grundlæggende frihedsrettigheder at sikre, at de tilbydes tjenesteydelser af høj kvalitet, og at EU-forvaltningen er imødekommende over for deres behov og bekymringer;</w:t>
      </w:r>
    </w:p>
    <w:p w:rsidR="00A07886" w:rsidRPr="00FC57F6" w:rsidRDefault="00A07886" w:rsidP="00A07886">
      <w:pPr>
        <w:pStyle w:val="NormalHanging12a"/>
      </w:pPr>
      <w:r w:rsidRPr="00FC57F6">
        <w:t>D.</w:t>
      </w:r>
      <w:r w:rsidRPr="00FC57F6">
        <w:tab/>
        <w:t>der henviser til, at det i artikel 41 i chartret, som omhandler retten til god forvaltning, fastslås, at "enhver har ret til at få sin sag behandlet uvildigt, retfærdigt og inden for en rimelig frist af Unionens institutioner, organer, kontorer og agenturer";</w:t>
      </w:r>
    </w:p>
    <w:p w:rsidR="00A07886" w:rsidRPr="00FC57F6" w:rsidRDefault="00A07886" w:rsidP="00A07886">
      <w:pPr>
        <w:pStyle w:val="NormalHanging12a"/>
      </w:pPr>
      <w:r w:rsidRPr="00FC57F6">
        <w:t>E.</w:t>
      </w:r>
      <w:r w:rsidRPr="00FC57F6">
        <w:tab/>
        <w:t>der henviser til, at det af artikel 43 i chartret fremgår, at "enhver unionsborger samt enhver fysisk eller juridisk person med bopæl eller hjemsted i en medlemsstat har ret til at klage til Den Europæiske Ombudsmand over tilfælde af fejl og forsømmelser i forbindelse med handlinger foretaget af Unionens institutioner, organer, kontorer og agenturer med undtagelse af Den Europæiske Unions Domstol under udøvelsen af dens domstolsfunktioner";</w:t>
      </w:r>
    </w:p>
    <w:p w:rsidR="00A07886" w:rsidRPr="00FC57F6" w:rsidRDefault="00A07886" w:rsidP="00A07886">
      <w:pPr>
        <w:pStyle w:val="NormalHanging12a"/>
      </w:pPr>
      <w:r w:rsidRPr="00FC57F6">
        <w:t>F.</w:t>
      </w:r>
      <w:r w:rsidRPr="00FC57F6">
        <w:tab/>
        <w:t>der henviser til, at det af artikel 298, stk. 1, i TEUF fremgår, at Unionens institutioner, organer, kontorer og agenturer under udførelsen af deres opgaver støtter sig på en åben, effektiv og uafhængig europæisk forvaltning;</w:t>
      </w:r>
    </w:p>
    <w:p w:rsidR="00A07886" w:rsidRPr="00FC57F6" w:rsidRDefault="00A07886" w:rsidP="00A07886">
      <w:pPr>
        <w:pStyle w:val="NormalHanging12a"/>
      </w:pPr>
      <w:r w:rsidRPr="00FC57F6">
        <w:t>G.</w:t>
      </w:r>
      <w:r w:rsidRPr="00FC57F6">
        <w:tab/>
        <w:t xml:space="preserve">der henviser til, at Ombudsmanden i 2022 indledte </w:t>
      </w:r>
      <w:r w:rsidRPr="00FC57F6">
        <w:rPr>
          <w:rStyle w:val="graphbold"/>
          <w:rFonts w:ascii="Times New Roman" w:hAnsi="Times New Roman" w:cs="Times New Roman"/>
          <w:b w:val="0"/>
          <w:sz w:val="24"/>
          <w:szCs w:val="24"/>
        </w:rPr>
        <w:t>348</w:t>
      </w:r>
      <w:r w:rsidRPr="00476EF7">
        <w:t> undersøgelser, heraf 344</w:t>
      </w:r>
      <w:r w:rsidRPr="00FC57F6">
        <w:t xml:space="preserve"> på grundlag af klager og 4 på eget initiativ, og at 330 undersøgelser (325 på grundlag af klager og 5 på eget initiativ) blev afsluttet;</w:t>
      </w:r>
    </w:p>
    <w:p w:rsidR="00A07886" w:rsidRPr="00FC57F6" w:rsidRDefault="00A07886" w:rsidP="00A07886">
      <w:pPr>
        <w:pStyle w:val="NormalHanging12a"/>
      </w:pPr>
      <w:r w:rsidRPr="00FC57F6">
        <w:t>H.</w:t>
      </w:r>
      <w:r w:rsidRPr="00FC57F6">
        <w:tab/>
        <w:t>der henviser til, at langt størstedelen af undersøgelserne i 2022 vedrørte Kommissionen (197 undersøgelser eller 57,1 %), efterfulgt af Det Europæiske Personaleudvælgelseskontor (22 undersøgelser eller 6,3 %), Europa-Parlamentet (19 undersøgelser eller 5,5 %) og Tjenesten for EU's Optræden Udadtil (16 undersøgelser eller 4,6 %); der henviser til, at de resterende undersøgelser var fordelt som følger: Det Europæiske Agentur for Grænse- og Kystbevogtning (</w:t>
      </w:r>
      <w:proofErr w:type="spellStart"/>
      <w:r w:rsidRPr="00FC57F6">
        <w:t>Frontex</w:t>
      </w:r>
      <w:proofErr w:type="spellEnd"/>
      <w:r w:rsidRPr="00FC57F6">
        <w:t xml:space="preserve">) (14 undersøgelser eller 4,3 %), Den Europæiske Unions Luftfartssikkerhedsagentur (7 undersøgelser eller 2 %), andre EU-institutioner eller -organer (46 undersøgelser eller </w:t>
      </w:r>
      <w:r w:rsidRPr="00FC57F6">
        <w:lastRenderedPageBreak/>
        <w:t>13,5 %) og andre EU-agenturer (23 undersøgelser eller 6,7 %);</w:t>
      </w:r>
    </w:p>
    <w:p w:rsidR="00A07886" w:rsidRPr="00FC57F6" w:rsidRDefault="00A07886" w:rsidP="00A07886">
      <w:pPr>
        <w:pStyle w:val="NormalHanging12a"/>
      </w:pPr>
      <w:r w:rsidRPr="00FC57F6">
        <w:t>I.</w:t>
      </w:r>
      <w:r w:rsidRPr="00FC57F6">
        <w:tab/>
        <w:t>der henviser til, at den største procentdel af Ombudsmandens undersøgelser i 2022 vedrørte Kommissionen, hvis administrative aktiviteter får betydelig offentlig opmærksomhed, eftersom det er EU's udøvende myndighed;</w:t>
      </w:r>
    </w:p>
    <w:p w:rsidR="00A07886" w:rsidRPr="00FC57F6" w:rsidRDefault="00A07886" w:rsidP="00A07886">
      <w:pPr>
        <w:pStyle w:val="NormalHanging12a"/>
      </w:pPr>
      <w:r w:rsidRPr="00FC57F6">
        <w:t>J.</w:t>
      </w:r>
      <w:r w:rsidRPr="00FC57F6">
        <w:tab/>
        <w:t>der henviser til, at der i de undersøgelser, som Ombudsmanden afsluttede i 2022, ikke blev konstateret fejl eller forsømmelser i 37 % af sagerne, en løsning blev fundet af institutionen i 46,1 % af sagerne, ingen yderligere undersøgelser var berettigede i 12,7 % af sagerne, og der blev konstateret fejl og forsømmelser i 4,5 % af sagerne;</w:t>
      </w:r>
    </w:p>
    <w:p w:rsidR="00A07886" w:rsidRPr="00FC57F6" w:rsidRDefault="00A07886" w:rsidP="00A07886">
      <w:pPr>
        <w:pStyle w:val="NormalHanging12a"/>
      </w:pPr>
      <w:r w:rsidRPr="00FC57F6">
        <w:t>K.</w:t>
      </w:r>
      <w:r w:rsidRPr="00FC57F6">
        <w:tab/>
        <w:t>der henviser til, at de tre vigtigste problemer i de undersøgelser, som Ombudsmanden afsluttede i 2022, drejede sig om gennemsigtighed og ansvarlighed (f.eks. adgang til oplysninger og dokumenter) (32 %), servicekultur (20 %) og respekt for de grundlæggende rettigheder (15 %); der henviser til, at andre bekymringer omfattede korrekt brug af skønsbeføjelser (herunder i traktatbrudsprocedurer), ansættelse, god forvaltning af personalespørgsmål, overholdelse af proceduremæssige rettigheder, korrekt forvaltning af traktatbrudsprocedurer, forsvarlig økonomisk forvaltning, etik og offentlig deltagelse i EU's beslutningstagning;</w:t>
      </w:r>
    </w:p>
    <w:p w:rsidR="00A07886" w:rsidRPr="00FC57F6" w:rsidRDefault="00A07886" w:rsidP="00A07886">
      <w:pPr>
        <w:pStyle w:val="NormalHanging12a"/>
      </w:pPr>
      <w:r w:rsidRPr="00FC57F6">
        <w:t>L.</w:t>
      </w:r>
      <w:r w:rsidRPr="00FC57F6">
        <w:tab/>
        <w:t>der henviser til, at Ombudsmanden i 2022 anmodede Rådet om at give hurtigere adgang til lovgivningsdokumenter, således at offentligheden effektivt kan deltage i drøftelserne om udkast til EU-lovgivning</w:t>
      </w:r>
      <w:r w:rsidRPr="00476EF7">
        <w:rPr>
          <w:vertAlign w:val="superscript"/>
        </w:rPr>
        <w:footnoteReference w:id="2"/>
      </w:r>
      <w:r w:rsidRPr="00476EF7">
        <w:t>;</w:t>
      </w:r>
    </w:p>
    <w:p w:rsidR="00A07886" w:rsidRPr="00FC57F6" w:rsidRDefault="00A07886" w:rsidP="00A07886">
      <w:pPr>
        <w:pStyle w:val="NormalHanging12a"/>
      </w:pPr>
      <w:r w:rsidRPr="00FC57F6">
        <w:t>M.</w:t>
      </w:r>
      <w:r w:rsidRPr="00FC57F6">
        <w:tab/>
        <w:t>der henviser til, at Ombudsmanden konstaterede tilfælde af fejl og forsømmelser</w:t>
      </w:r>
      <w:r w:rsidRPr="00476EF7">
        <w:rPr>
          <w:rStyle w:val="FootnoteReference"/>
        </w:rPr>
        <w:footnoteReference w:id="3"/>
      </w:r>
      <w:r w:rsidRPr="00476EF7">
        <w:rPr>
          <w:vertAlign w:val="superscript"/>
        </w:rPr>
        <w:t xml:space="preserve">, </w:t>
      </w:r>
      <w:r w:rsidRPr="00476EF7">
        <w:rPr>
          <w:rStyle w:val="FootnoteReference"/>
        </w:rPr>
        <w:footnoteReference w:id="4"/>
      </w:r>
      <w:r w:rsidRPr="00476EF7">
        <w:t xml:space="preserve"> i forbindelse med Kommissionens behandling af en anmodning om aktindsigt i tekstbeskeder udvekslet mellem Kommissionens formand og den administrerende direktør for en medicinalvirksomhed (Pfizer);</w:t>
      </w:r>
    </w:p>
    <w:p w:rsidR="00A07886" w:rsidRPr="00FC57F6" w:rsidRDefault="00A07886" w:rsidP="00A07886">
      <w:pPr>
        <w:pStyle w:val="NormalHanging12a"/>
      </w:pPr>
      <w:r w:rsidRPr="00FC57F6">
        <w:t>N.</w:t>
      </w:r>
      <w:r w:rsidRPr="00FC57F6">
        <w:tab/>
        <w:t>der henviser til, at Ombudsmanden i 2022 indledte en undersøgelse af, hvordan Den Europæiske Centralbank (ECB) håndterer såkaldte svingdørssituationer</w:t>
      </w:r>
      <w:r w:rsidRPr="00476EF7">
        <w:rPr>
          <w:vertAlign w:val="superscript"/>
        </w:rPr>
        <w:footnoteReference w:id="5"/>
      </w:r>
      <w:r w:rsidRPr="00476EF7">
        <w:t>;</w:t>
      </w:r>
    </w:p>
    <w:p w:rsidR="00A07886" w:rsidRPr="00FC57F6" w:rsidRDefault="00A07886" w:rsidP="00A07886">
      <w:pPr>
        <w:pStyle w:val="NormalHanging12a"/>
      </w:pPr>
      <w:r w:rsidRPr="00FC57F6">
        <w:t>O.</w:t>
      </w:r>
      <w:r w:rsidRPr="00FC57F6">
        <w:tab/>
        <w:t xml:space="preserve">der henviser til, at Ombudsmanden indledte en strategisk undersøgelse af systemiske og betydelige forsinkelser i Kommissionens behandling af anmodninger om aktindsigt; der </w:t>
      </w:r>
      <w:r w:rsidRPr="00FC57F6">
        <w:lastRenderedPageBreak/>
        <w:t>henviser til, at Ombudsmanden konstaterede fejl og forsømmelser i Kommissionens behandling af sådanne anmodninger, navnlig med hensyn til anmodninger om gennemgang af oprindelige afgørelser ("genfremsatte begæringer")</w:t>
      </w:r>
      <w:r w:rsidRPr="00476EF7">
        <w:rPr>
          <w:rStyle w:val="FootnoteReference"/>
        </w:rPr>
        <w:footnoteReference w:id="6"/>
      </w:r>
      <w:r w:rsidRPr="00476EF7">
        <w:t>;</w:t>
      </w:r>
    </w:p>
    <w:p w:rsidR="00A07886" w:rsidRPr="00FC57F6" w:rsidRDefault="00A07886" w:rsidP="00A07886">
      <w:pPr>
        <w:pStyle w:val="NormalHanging12a"/>
      </w:pPr>
      <w:r w:rsidRPr="00FC57F6">
        <w:t>P.</w:t>
      </w:r>
      <w:r w:rsidRPr="00FC57F6">
        <w:tab/>
        <w:t>der henviser til, at Ombudsmanden i 2022 også gennemførte bredere strategiske undersøgelser og initiativer vedrørende systemiske spørgsmål i EU-institutionerne, der omfattede etiske spørgsmål, "svingdørssituationer", ansvarlighed i beslutningstagningen, aktindsigt og grundlæggende rettigheder;</w:t>
      </w:r>
    </w:p>
    <w:p w:rsidR="00A07886" w:rsidRPr="00FC57F6" w:rsidRDefault="00A07886" w:rsidP="00A07886">
      <w:pPr>
        <w:pStyle w:val="NormalHanging12a"/>
      </w:pPr>
      <w:r w:rsidRPr="00FC57F6">
        <w:t>Q.</w:t>
      </w:r>
      <w:r w:rsidRPr="00FC57F6">
        <w:tab/>
        <w:t>der henviser til, at Ombudsmanden i 2022 fremsatte en henstilling til Rådet om at give fuld aktindsigt i de efterspurgte lovgivningsdokumenter, efter at hun havde undersøgt Rådets afslag herpå i forbindelse med forhandlinger om udkastet til forordningen om digitale markeder og efterfølgende havde konkluderet, at der forelå fejl og forsømmelser;</w:t>
      </w:r>
    </w:p>
    <w:p w:rsidR="00A07886" w:rsidRPr="00FC57F6" w:rsidRDefault="00A07886" w:rsidP="00A07886">
      <w:pPr>
        <w:pStyle w:val="NormalHanging12a"/>
        <w:rPr>
          <w:szCs w:val="24"/>
        </w:rPr>
      </w:pPr>
      <w:r w:rsidRPr="00FC57F6">
        <w:t>R.</w:t>
      </w:r>
      <w:r w:rsidRPr="00FC57F6">
        <w:tab/>
        <w:t>der henviser til, at Ombudsmandens kontor i 2022 yderligere øgede offentlighedens bevidsthed om Ombudsmandens rolle med hensyn til at opretholde høje standarder for ansvarlighed og gennemsigtighed i EU-forvaltningen;</w:t>
      </w:r>
    </w:p>
    <w:p w:rsidR="00A07886" w:rsidRPr="00FC57F6" w:rsidRDefault="00A07886" w:rsidP="00A07886">
      <w:pPr>
        <w:pStyle w:val="NormalHanging12a"/>
      </w:pPr>
      <w:r w:rsidRPr="00FC57F6">
        <w:t>S.</w:t>
      </w:r>
      <w:r w:rsidRPr="00FC57F6">
        <w:tab/>
        <w:t>der henviser til, at Ombudsmanden besluttede at iværksætte en offentlig høring om gennemsigtighed og deltagelse i EU's beslutningstagning på miljøområdet i lyset af klimakrisen samt forringelsen af miljøet og økosystemerne med henblik på at vurdere EU's tilgang som part i Århuskonventionen med hensyn til at sikre en høj grad af offentlig adgang til miljøoplysninger og offentlig deltagelse i beslutningsprocesser på miljøområdet;</w:t>
      </w:r>
    </w:p>
    <w:p w:rsidR="00A07886" w:rsidRPr="00FC57F6" w:rsidRDefault="00A07886" w:rsidP="00A07886">
      <w:pPr>
        <w:pStyle w:val="NormalHanging12a"/>
      </w:pPr>
      <w:r w:rsidRPr="00FC57F6">
        <w:t>T.</w:t>
      </w:r>
      <w:r w:rsidRPr="00FC57F6">
        <w:tab/>
        <w:t>der henviser til, at Ombudsmanden i 2022 indtrængende opfordrede Kommissionen til at behandle anmodninger om aktindsigt vedrørende EU's genopretningsmidler på en mere sammenhængende måde og at redegøre bedre for sin begrundelse, hvis den beslutter ikke at give adgang til de oplysninger, der anmodes om</w:t>
      </w:r>
      <w:r w:rsidRPr="00476EF7">
        <w:rPr>
          <w:vertAlign w:val="superscript"/>
        </w:rPr>
        <w:footnoteReference w:id="7"/>
      </w:r>
      <w:r w:rsidRPr="00476EF7">
        <w:t>;</w:t>
      </w:r>
    </w:p>
    <w:p w:rsidR="00A07886" w:rsidRPr="00FC57F6" w:rsidRDefault="00A07886" w:rsidP="00A07886">
      <w:pPr>
        <w:pStyle w:val="NormalHanging12a"/>
      </w:pPr>
      <w:r w:rsidRPr="00FC57F6">
        <w:t>U.</w:t>
      </w:r>
      <w:r w:rsidRPr="00FC57F6">
        <w:tab/>
        <w:t>der henviser til, at Ombudsmanden i 2022 indledte en undersøgelse af Kommissionens afslag på at give aktindsigt i dokumenter vedrørende dens forslag til forordning om det europæiske sundhedsdataområde</w:t>
      </w:r>
      <w:r w:rsidRPr="00476EF7">
        <w:rPr>
          <w:vertAlign w:val="superscript"/>
        </w:rPr>
        <w:footnoteReference w:id="8"/>
      </w:r>
      <w:r w:rsidRPr="00476EF7">
        <w:t>;</w:t>
      </w:r>
    </w:p>
    <w:p w:rsidR="00A07886" w:rsidRPr="00FC57F6" w:rsidRDefault="00A07886" w:rsidP="00A07886">
      <w:pPr>
        <w:pStyle w:val="NormalHanging12a"/>
      </w:pPr>
      <w:r w:rsidRPr="00FC57F6">
        <w:t>V.</w:t>
      </w:r>
      <w:r w:rsidRPr="00FC57F6">
        <w:tab/>
        <w:t xml:space="preserve">der henviser til, at Ombudsmanden i 2022 indledte en undersøgelse af, hvordan Kommissionen behandlede en anmodning om aktindsigt i interesseerklæringer fra </w:t>
      </w:r>
      <w:r w:rsidRPr="00FC57F6">
        <w:lastRenderedPageBreak/>
        <w:t xml:space="preserve">medlemmerne af Udvalget for </w:t>
      </w:r>
      <w:proofErr w:type="spellStart"/>
      <w:r w:rsidRPr="00FC57F6">
        <w:t>Forskriftskontrol</w:t>
      </w:r>
      <w:proofErr w:type="spellEnd"/>
      <w:r w:rsidRPr="00476EF7">
        <w:rPr>
          <w:vertAlign w:val="superscript"/>
        </w:rPr>
        <w:footnoteReference w:id="9"/>
      </w:r>
      <w:r w:rsidRPr="00476EF7">
        <w:t>;</w:t>
      </w:r>
    </w:p>
    <w:p w:rsidR="00A07886" w:rsidRPr="00FC57F6" w:rsidRDefault="00A07886" w:rsidP="00A07886">
      <w:pPr>
        <w:pStyle w:val="NormalHanging12a"/>
      </w:pPr>
      <w:r w:rsidRPr="00FC57F6">
        <w:t>W.</w:t>
      </w:r>
      <w:r w:rsidRPr="00FC57F6">
        <w:tab/>
        <w:t xml:space="preserve">der henviser til, at Ombudsmanden har understreget, at EU's regler om offentlige udbud ikke er solide og klare nok til at forebygge interessekonflikter, og har kritiseret Kommissionen for ikke i tilstrækkelig grad at foretage en kritisk undersøgelse, inden den tildelte en kontrakt, hvis formål var at få gennemført en undersøgelse om integration af miljømæssige, sociale og ledelsesmæssige mål i EU's bankregler, til </w:t>
      </w:r>
      <w:proofErr w:type="spellStart"/>
      <w:r w:rsidRPr="00FC57F6">
        <w:t>BlackRock</w:t>
      </w:r>
      <w:proofErr w:type="spellEnd"/>
      <w:r w:rsidRPr="00FC57F6">
        <w:t xml:space="preserve"> Investment Management, som er et selskab, der forvalter investeringer i sektoren for fossile brændstoffer og banksektoren, som er områder, der falder ind under anvendelsesområdet for de nye regler om miljømæssige, sociale og ledelsesmæssige kriterier;</w:t>
      </w:r>
    </w:p>
    <w:p w:rsidR="00A07886" w:rsidRPr="00FC57F6" w:rsidRDefault="00A07886" w:rsidP="00A07886">
      <w:pPr>
        <w:pStyle w:val="NormalHanging12a"/>
        <w:rPr>
          <w:szCs w:val="24"/>
        </w:rPr>
      </w:pPr>
      <w:r w:rsidRPr="00FC57F6">
        <w:t>1.</w:t>
      </w:r>
      <w:r w:rsidRPr="00FC57F6">
        <w:tab/>
        <w:t>godkender Den Europæiske Ombudsmands årsberetning for 2022;</w:t>
      </w:r>
    </w:p>
    <w:p w:rsidR="00A07886" w:rsidRPr="00FC57F6" w:rsidRDefault="00A07886" w:rsidP="00A07886">
      <w:pPr>
        <w:pStyle w:val="NormalHanging12a"/>
        <w:rPr>
          <w:szCs w:val="24"/>
        </w:rPr>
      </w:pPr>
      <w:r w:rsidRPr="00FC57F6">
        <w:t>2.</w:t>
      </w:r>
      <w:r w:rsidRPr="00FC57F6">
        <w:tab/>
        <w:t xml:space="preserve">lykønsker Emily </w:t>
      </w:r>
      <w:proofErr w:type="spellStart"/>
      <w:r w:rsidRPr="00FC57F6">
        <w:t>O'Reilly</w:t>
      </w:r>
      <w:proofErr w:type="spellEnd"/>
      <w:r w:rsidRPr="00FC57F6">
        <w:t xml:space="preserve"> med hendes gode arbejde og hendes fortsatte bestræbelser på at forbedre den administrative praksis og fremme ansvarlighed og fuld gennemsigtighed i EU's institutioner, organer, kontorer og agenturer samt sikre EU-borgernes adgang til EU-dokumenter;</w:t>
      </w:r>
    </w:p>
    <w:p w:rsidR="00A07886" w:rsidRPr="00FC57F6" w:rsidRDefault="00A07886" w:rsidP="00A07886">
      <w:pPr>
        <w:pStyle w:val="NormalHanging12a"/>
        <w:rPr>
          <w:szCs w:val="24"/>
        </w:rPr>
      </w:pPr>
      <w:r w:rsidRPr="00FC57F6">
        <w:t>3.</w:t>
      </w:r>
      <w:r w:rsidRPr="00FC57F6">
        <w:tab/>
        <w:t>udtrykker sin påskønnelse af Den Europæiske Ombudsmands fortsatte konstruktive samarbejde med Europa-Parlamentet, navnlig med dets Udvalg for Andragender, og med andre EU-institutioner; gentager sit tilsagn om at støtte ombudsmanden i udøvelsen af hendes hverv;</w:t>
      </w:r>
    </w:p>
    <w:p w:rsidR="00A07886" w:rsidRPr="00FC57F6" w:rsidRDefault="00A07886" w:rsidP="00A07886">
      <w:pPr>
        <w:pStyle w:val="NormalHanging12a"/>
      </w:pPr>
      <w:r w:rsidRPr="00FC57F6">
        <w:t>4.</w:t>
      </w:r>
      <w:r w:rsidRPr="00FC57F6">
        <w:tab/>
        <w:t>lykønsker Ombudsmandens kontor med den betydeligt forbedrede effektivitet med hensyn til varigheden af undersøgelser i afsluttede sager, som faldt fra 13 måneder i gennemsnit i 2013 til under seks måneder i gennemsnit i 2022; understreger, at de opnåede resultater dækker flere områder af EU-forvaltningen med begrænsede ressourcer;</w:t>
      </w:r>
    </w:p>
    <w:p w:rsidR="00A07886" w:rsidRPr="00FC57F6" w:rsidRDefault="00A07886" w:rsidP="00A07886">
      <w:pPr>
        <w:pStyle w:val="NormalHanging12a"/>
      </w:pPr>
      <w:r w:rsidRPr="00FC57F6">
        <w:t xml:space="preserve">5. </w:t>
      </w:r>
      <w:r w:rsidRPr="00FC57F6">
        <w:tab/>
        <w:t>opfordrer Rådet til fuldt ud at rette sig efter gennemsigtighedsstandarderne for et parlamentarisk demokrati og deltagelsesdemokrati som krævet i henhold til traktaterne, og som Ombudsmanden har anmodet om; minder om, at EU-Domstolen har fastslået, at principperne om offentlighed og gennemsigtighed er uløseligt forbundet med EU's lovgivningsproces, og at manglen på gennemsigtighed og information svækker borgernes tillid til legitimiteten af EU's lovgivningsproces som helhed;</w:t>
      </w:r>
    </w:p>
    <w:p w:rsidR="00A07886" w:rsidRPr="00FC57F6" w:rsidRDefault="00A07886" w:rsidP="00A07886">
      <w:pPr>
        <w:pStyle w:val="NormalHanging12a"/>
      </w:pPr>
      <w:r w:rsidRPr="00FC57F6">
        <w:t>6.</w:t>
      </w:r>
      <w:r w:rsidRPr="00FC57F6">
        <w:tab/>
        <w:t>opfordrer Rådet til at give borgerne rettidig adgang til dets lovgivningsdokumenter, mens lovgivningsprocessen er i gang, for fuldt ud at respektere borgernes traktatbaserede ret til at deltage i Unionens demokratiske liv, hvilket igen vil øge borgernes tillid til EU's overordnede beslutningsproces;</w:t>
      </w:r>
    </w:p>
    <w:p w:rsidR="00A07886" w:rsidRPr="00FC57F6" w:rsidRDefault="00A07886" w:rsidP="00A07886">
      <w:pPr>
        <w:pStyle w:val="NormalHanging12a"/>
      </w:pPr>
      <w:r w:rsidRPr="00FC57F6">
        <w:t>7.</w:t>
      </w:r>
      <w:r w:rsidRPr="00FC57F6">
        <w:tab/>
        <w:t xml:space="preserve">glæder sig over, at der er indledt en undersøgelse på eget initiativ for at vurdere, hvordan Kommissionen sikrer, at dens interaktioner med repræsentanter for tobaksindustrien er gennemsigtige; understreger, at Kommissionens generelle forsømmelighed med hensyn til proaktivt at offentliggøre detaljerede oplysninger om </w:t>
      </w:r>
      <w:r w:rsidRPr="00FC57F6">
        <w:lastRenderedPageBreak/>
        <w:t>dens møder med tobakslobbyister udgjorde et tilfælde af fejl og forsømmelser som anført af ombudsmanden i hendes foreløbige konklusioner; minder om, at EU har undertegnet og formelt bekræftet Verdenssundhedsorganisationens rammekonvention om tobakskontrol og er forpligtet til at overholde bestemmelserne heri, der fastsætter, at interaktioner med tobaksindustrien kun bør finde sted, hvis det er strengt nødvendigt ud fra et lovgivningsmæssigt synspunkt, og til at gøre de pågældende interaktioner gennemsigtige for at forhindre tobaksindustrien i at have en negativ indflydelse på de offentlige sundhedspolitikker;</w:t>
      </w:r>
    </w:p>
    <w:p w:rsidR="00A07886" w:rsidRPr="00FC57F6" w:rsidRDefault="00A07886" w:rsidP="00A07886">
      <w:pPr>
        <w:pStyle w:val="NormalHanging12a"/>
      </w:pPr>
      <w:r w:rsidRPr="00FC57F6">
        <w:t>8.</w:t>
      </w:r>
      <w:r w:rsidRPr="00FC57F6">
        <w:tab/>
        <w:t>finder det altafgørende, at Ombudsmanden iværksætter en undersøgelse for at vurdere graden af uafhængighed for den rådgivende industrielle gruppe under den europæiske platform for indkøb af gas, der er nedsat af Kommissionen;</w:t>
      </w:r>
    </w:p>
    <w:p w:rsidR="00A07886" w:rsidRPr="00FC57F6" w:rsidRDefault="00A07886" w:rsidP="00A07886">
      <w:pPr>
        <w:pStyle w:val="NormalHanging12a"/>
      </w:pPr>
      <w:r w:rsidRPr="00FC57F6">
        <w:t>9.</w:t>
      </w:r>
      <w:r w:rsidRPr="00FC57F6">
        <w:tab/>
        <w:t>støtter resultatet af Ombudsmandens undersøgelse af, hvordan Kommissionen sikrer, at eksterne eksperter, der udfører evalueringer af projektforslag under Den Europæiske Forsvarsfond, ikke har interessekonflikter; understreger den altafgørende betydning af at foretage en grundig vurdering af interessekonflikter inden udpegning af eksperter og af, at forpligtelser med hensyn til gennemsigtighed og etik gennemføres med fast hånd;</w:t>
      </w:r>
    </w:p>
    <w:p w:rsidR="00A07886" w:rsidRPr="00FC57F6" w:rsidRDefault="00A07886" w:rsidP="00A07886">
      <w:pPr>
        <w:pStyle w:val="NormalHanging12a"/>
      </w:pPr>
      <w:r w:rsidRPr="00FC57F6">
        <w:t>10.</w:t>
      </w:r>
      <w:r w:rsidRPr="00FC57F6">
        <w:tab/>
        <w:t xml:space="preserve">glæder sig over Kommissionens forslag som svar på Ombudsmandens konklusioner efter hendes undersøgelse af </w:t>
      </w:r>
      <w:proofErr w:type="spellStart"/>
      <w:r w:rsidRPr="00FC57F6">
        <w:t>BlackRock</w:t>
      </w:r>
      <w:proofErr w:type="spellEnd"/>
      <w:r w:rsidRPr="00FC57F6">
        <w:t>-sagen om at ændre finansforordningen, så den omfatter muligheden for at afvise tilbudsgivere, hvis de har en interessekonflikt; opfordrer Kommissionen til fuldt ud at efterkomme Ombudsmandens forslag ved at vedtage styrkede og klarere regler, der skal forebygge interessekonflikter i forbindelse med alle offentlige udbudsprocedurer, herunder inden for rammerne af sine interne retningslinjer;</w:t>
      </w:r>
    </w:p>
    <w:p w:rsidR="00A07886" w:rsidRPr="00FC57F6" w:rsidRDefault="00A07886" w:rsidP="00A07886">
      <w:pPr>
        <w:pStyle w:val="NormalHanging12a"/>
        <w:rPr>
          <w:szCs w:val="24"/>
        </w:rPr>
      </w:pPr>
      <w:r w:rsidRPr="00FC57F6">
        <w:rPr>
          <w:shd w:val="clear" w:color="auto" w:fill="FFFFFF"/>
        </w:rPr>
        <w:t>11.</w:t>
      </w:r>
      <w:r w:rsidRPr="00FC57F6">
        <w:rPr>
          <w:shd w:val="clear" w:color="auto" w:fill="FFFFFF"/>
        </w:rPr>
        <w:tab/>
      </w:r>
      <w:r w:rsidRPr="00FC57F6">
        <w:t xml:space="preserve">fremhæver, at Kommissionen efter en undersøgelse foretaget af Ombudsmanden af fænomenet "svingdørssituationer" </w:t>
      </w:r>
      <w:r w:rsidRPr="00FC57F6">
        <w:rPr>
          <w:shd w:val="clear" w:color="auto" w:fill="FFFFFF"/>
        </w:rPr>
        <w:t xml:space="preserve">er i færd med at forbedre sin håndtering af </w:t>
      </w:r>
      <w:r w:rsidRPr="00FC57F6">
        <w:t>problemet og anmoder tidligere ansatte om oplysninger om, hvordan de overholder de relevante restriktioner; bemærker Kommissionens hurtigere offentliggørelse af en årlig oversigt over overordnede tjenestemænd, der anmoder om tilladelse til at skifte til en ny stilling, og dens vurdering af disse anmodninger; understreger, at Kommissionen ikke bør give tilladelse, hvis den omhandlede stilling ikke kan underlægges begrænsninger, der på passende vis mindsker risikoen for interessekonflikter, eller hvis sådanne restriktioner ikke på troværdig vis kan overvåges og håndhæves, herunder forpligtelsen for den nye arbejdsgiver til at offentliggøre begrænsningerne; mener, at Kommissionen rettidigt bør offentliggøre oplysninger om alle tidligere overordnede tjenestemænds aktiviteter efter tjenesteperiodens ophør, som den vurderer, og dermed forbedre den offentlige kontrol med disse beslutninger, hvilket er afgørende for overvågningen; glæder sig over, at det er forbudt for personale på orlov uden løn at tage arbejde inden for områder, hvor der er risiko for interessekonflikter; tilskynder Ombudsmanden til at overvåge Kommissionens håndtering af disse spørgsmål;</w:t>
      </w:r>
    </w:p>
    <w:p w:rsidR="00A07886" w:rsidRPr="00FC57F6" w:rsidRDefault="00A07886" w:rsidP="00A07886">
      <w:pPr>
        <w:pStyle w:val="NormalHanging12a"/>
        <w:rPr>
          <w:szCs w:val="24"/>
        </w:rPr>
      </w:pPr>
      <w:r w:rsidRPr="00FC57F6">
        <w:t>12.</w:t>
      </w:r>
      <w:r w:rsidRPr="00FC57F6">
        <w:tab/>
        <w:t xml:space="preserve">glæder sig over den undersøgelse på eget initiativ, som Ombudsmanden har indledt for at vurdere, hvordan ECB håndterer problemet med "svingdørssituationer", og støtter Ombudsmandens opfordring til ECB om at anvende strengere regler for ansatte, der flytter til den private sektor; støtter henstillingen om, at </w:t>
      </w:r>
      <w:proofErr w:type="spellStart"/>
      <w:r w:rsidRPr="00FC57F6">
        <w:t>ECB's</w:t>
      </w:r>
      <w:proofErr w:type="spellEnd"/>
      <w:r w:rsidRPr="00FC57F6">
        <w:t xml:space="preserve"> personale bør være underlagt strenge krav vedrørende karensperioder, og at den periode, hvori tidligere ansatte i ECB har forbud mod at udøve lobbyvirksomhed over for deres tidligere kolleger, bør forlænges;</w:t>
      </w:r>
    </w:p>
    <w:p w:rsidR="00A07886" w:rsidRPr="00FC57F6" w:rsidRDefault="00A07886" w:rsidP="00A07886">
      <w:pPr>
        <w:pStyle w:val="NormalHanging12a"/>
      </w:pPr>
      <w:r w:rsidRPr="00FC57F6">
        <w:lastRenderedPageBreak/>
        <w:t>13.</w:t>
      </w:r>
      <w:r w:rsidRPr="00FC57F6">
        <w:tab/>
        <w:t>understreger, at den såkaldte Qatargate kastede et nyt lys over lobbyvirksomhed og udformningen af politikker i EU; anerkender Ombudsmandens kritiske vurdering af skandalen og glæder sig over udformningen af nye foranstaltninger, som skal forbedre integritetsstandarderne inden for Europa-Parlamentet og derved beskytte EU's demokrati; betragter disse foranstaltninger som et vigtigt skridt hen imod at udvide EU's lovramme, idet de har til formål at fremme højere standarder for etik og bekæmpelse af korruption og derved sikre, at EU-institutionerne fremstår som eksempler på integritet og ansvarlighed;</w:t>
      </w:r>
    </w:p>
    <w:p w:rsidR="00A07886" w:rsidRPr="00FC57F6" w:rsidRDefault="00A07886" w:rsidP="00A07886">
      <w:pPr>
        <w:pStyle w:val="NormalHanging12a"/>
      </w:pPr>
      <w:r w:rsidRPr="00FC57F6">
        <w:t>14.</w:t>
      </w:r>
      <w:r w:rsidRPr="00FC57F6">
        <w:tab/>
        <w:t>glæder sig over Ombudsmandens fortsatte bestræbelser på at gøre lobbyvirksomhed mere gennemsigtig og etisk, navnlig ved at kræve, at Kommissionen styrker adfærdskodeksen for kommissærer, fører offentlige protokoller for møder mellem kommissærer og lobbyister og proaktivt offentliggør kommissærernes rejseudgifter;</w:t>
      </w:r>
    </w:p>
    <w:p w:rsidR="00A07886" w:rsidRPr="00FC57F6" w:rsidRDefault="00A07886" w:rsidP="00A07886">
      <w:pPr>
        <w:pStyle w:val="NormalHanging12a"/>
        <w:rPr>
          <w:shd w:val="clear" w:color="auto" w:fill="FFFFFF"/>
        </w:rPr>
      </w:pPr>
      <w:r w:rsidRPr="00FC57F6">
        <w:t>15.</w:t>
      </w:r>
      <w:r w:rsidRPr="00FC57F6">
        <w:tab/>
        <w:t xml:space="preserve">understreger, at borgernes deltagelse i EU's beslutningstagning er vigtig for dens legitimitet; glæder sig over Ombudsmandens tilsagn om at fremme ansvarlighed i EU's beslutningstagning, navnlig på miljøområdet; glæder sig over og støtter Ombudsmandens anmodninger til Den Europæiske Investeringsbank (EIB) om at træffe flere gennemsigtighedsforanstaltninger for at gøre det lettere for offentligheden at se de potentielle miljøvirkninger af de projekter, den finansierer, samt </w:t>
      </w:r>
      <w:r w:rsidRPr="00FC57F6">
        <w:rPr>
          <w:shd w:val="clear" w:color="auto" w:fill="FFFFFF"/>
        </w:rPr>
        <w:t xml:space="preserve">Ombudsmandens hensigt om at intensivere sin kontrol med </w:t>
      </w:r>
      <w:r w:rsidRPr="00FC57F6">
        <w:t xml:space="preserve">EIB's </w:t>
      </w:r>
      <w:r w:rsidRPr="00FC57F6">
        <w:rPr>
          <w:shd w:val="clear" w:color="auto" w:fill="FFFFFF"/>
        </w:rPr>
        <w:t xml:space="preserve">aktiviteter </w:t>
      </w:r>
      <w:r w:rsidRPr="00FC57F6">
        <w:t xml:space="preserve">i lyset af EIB's hidtil utilstrækkelige opfølgning, </w:t>
      </w:r>
      <w:r w:rsidRPr="00FC57F6">
        <w:rPr>
          <w:shd w:val="clear" w:color="auto" w:fill="FFFFFF"/>
        </w:rPr>
        <w:t>navnlig med hensyn til rettidig offentliggørelse af oplysninger om projekter vedrørende miljøet og EIB's finanser med henblik på at give offentligheden tilstrækkelig tid til at give udtryk for bekymring;</w:t>
      </w:r>
    </w:p>
    <w:p w:rsidR="00A07886" w:rsidRPr="00FC57F6" w:rsidRDefault="00A07886" w:rsidP="00A07886">
      <w:pPr>
        <w:pStyle w:val="NormalHanging12a"/>
      </w:pPr>
      <w:r w:rsidRPr="00FC57F6">
        <w:t>16.</w:t>
      </w:r>
      <w:r w:rsidRPr="00FC57F6">
        <w:tab/>
        <w:t>roser Ombudsmandens arbejde med at prioritere sin vurdering af gennemsigtigheden i EU's beslutningstagning på miljøområdet, bl.a. efter at have konstateret fejl og forsømmelser i forbindelse med Kommissionens undladelse af i behørigt omfang at tage højde for miljøvirkningerne af handelsaftalen mellem EU og MERCOSUR, inden den afsluttede forhandlingerne, de alvorlige mangler i Kommissionens behandling af anmodninger om offentlig adgang til miljøoplysninger samt manglen på klare regler til at sikre, at de eksperter, som Kommissionen hører i forbindelse med udformningen af miljøpolitikker, ikke har interessekonflikter;</w:t>
      </w:r>
    </w:p>
    <w:p w:rsidR="00A07886" w:rsidRPr="00FC57F6" w:rsidRDefault="00A07886" w:rsidP="00A07886">
      <w:pPr>
        <w:pStyle w:val="NormalHanging12a"/>
        <w:rPr>
          <w:szCs w:val="24"/>
          <w:shd w:val="clear" w:color="auto" w:fill="FFFFFF"/>
        </w:rPr>
      </w:pPr>
      <w:r w:rsidRPr="00FC57F6">
        <w:rPr>
          <w:shd w:val="clear" w:color="auto" w:fill="FFFFFF"/>
        </w:rPr>
        <w:t>17.</w:t>
      </w:r>
      <w:r w:rsidRPr="00FC57F6">
        <w:rPr>
          <w:shd w:val="clear" w:color="auto" w:fill="FFFFFF"/>
        </w:rPr>
        <w:tab/>
      </w:r>
      <w:r w:rsidRPr="00FC57F6">
        <w:t xml:space="preserve">understreger, at Ombudsmanden fandt det beklageligt, at proaktiv gennemsigtighed hovedsageligt først fandt sted, efter at de nationale planer under genopretnings- og </w:t>
      </w:r>
      <w:proofErr w:type="spellStart"/>
      <w:r w:rsidRPr="00FC57F6">
        <w:t>resiliensfaciliteten</w:t>
      </w:r>
      <w:proofErr w:type="spellEnd"/>
      <w:r w:rsidRPr="00FC57F6">
        <w:t xml:space="preserve"> allerede var blevet godkendt, og dermed forhindrede offentligheden i at følge forhandlingerne tilstrækkeligt; er bekymret over de langvarige forsinkelser, som har præget Kommissionens behandling af anmodninger om aktindsigt i dokumenter vedrørende genopretnings- og </w:t>
      </w:r>
      <w:proofErr w:type="spellStart"/>
      <w:r w:rsidRPr="00FC57F6">
        <w:t>resiliensfaciliteten</w:t>
      </w:r>
      <w:proofErr w:type="spellEnd"/>
      <w:r w:rsidRPr="00FC57F6">
        <w:t xml:space="preserve">, i nogle tilfælde på et år eller mere; opfordrer indtrængende Kommissionen til at tilskynde medlemsstaterne til at opføre alle støttemodtagere under genopretnings- og </w:t>
      </w:r>
      <w:proofErr w:type="spellStart"/>
      <w:r w:rsidRPr="00FC57F6">
        <w:t>resiliensfaciliteten</w:t>
      </w:r>
      <w:proofErr w:type="spellEnd"/>
      <w:r w:rsidRPr="00FC57F6">
        <w:t xml:space="preserve"> på en offentlig portal, til fortsat at offentliggøre sine foreløbige vurderinger af medlemsstaternes betalingsanmodninger og til at give offentligheden konkrete oplysninger om dens tilsyns- og revisionsarbejde for at sikre meningsfuld ansvarlighed, for så vidt angår alle anvendte midler; </w:t>
      </w:r>
      <w:r w:rsidRPr="00FC57F6">
        <w:rPr>
          <w:shd w:val="clear" w:color="auto" w:fill="FFFFFF"/>
        </w:rPr>
        <w:t xml:space="preserve">glæder sig over, at Organisationen for Økonomisk Samarbejde og Udvikling i samarbejde med Den Europæiske Ombudsmands kontor har offentliggjort det </w:t>
      </w:r>
      <w:r w:rsidRPr="00FC57F6">
        <w:t>politiske oplæg med titlen "</w:t>
      </w:r>
      <w:proofErr w:type="spellStart"/>
      <w:r w:rsidRPr="00FC57F6">
        <w:t>Towards</w:t>
      </w:r>
      <w:proofErr w:type="spellEnd"/>
      <w:r w:rsidRPr="00FC57F6">
        <w:t xml:space="preserve"> </w:t>
      </w:r>
      <w:proofErr w:type="spellStart"/>
      <w:r w:rsidRPr="00FC57F6">
        <w:t>good</w:t>
      </w:r>
      <w:proofErr w:type="spellEnd"/>
      <w:r w:rsidRPr="00FC57F6">
        <w:t xml:space="preserve"> </w:t>
      </w:r>
      <w:proofErr w:type="spellStart"/>
      <w:r w:rsidRPr="00FC57F6">
        <w:t>practice</w:t>
      </w:r>
      <w:proofErr w:type="spellEnd"/>
      <w:r w:rsidRPr="00FC57F6">
        <w:t xml:space="preserve"> principles for </w:t>
      </w:r>
      <w:proofErr w:type="spellStart"/>
      <w:r w:rsidRPr="00FC57F6">
        <w:t>government</w:t>
      </w:r>
      <w:proofErr w:type="spellEnd"/>
      <w:r w:rsidRPr="00FC57F6">
        <w:t xml:space="preserve"> </w:t>
      </w:r>
      <w:proofErr w:type="spellStart"/>
      <w:r w:rsidRPr="00FC57F6">
        <w:t>transparency</w:t>
      </w:r>
      <w:proofErr w:type="spellEnd"/>
      <w:r w:rsidRPr="00FC57F6">
        <w:t xml:space="preserve"> in the </w:t>
      </w:r>
      <w:proofErr w:type="spellStart"/>
      <w:r w:rsidRPr="00FC57F6">
        <w:t>use</w:t>
      </w:r>
      <w:proofErr w:type="spellEnd"/>
      <w:r w:rsidRPr="00FC57F6">
        <w:t xml:space="preserve"> of </w:t>
      </w:r>
      <w:proofErr w:type="spellStart"/>
      <w:r w:rsidRPr="00FC57F6">
        <w:t>recovery</w:t>
      </w:r>
      <w:proofErr w:type="spellEnd"/>
      <w:r w:rsidRPr="00FC57F6">
        <w:t xml:space="preserve"> funds" (På vej mod principper for god praksis for regeringsgennemsigtighed i brugen af genopretningsmidler), </w:t>
      </w:r>
      <w:r w:rsidRPr="00FC57F6">
        <w:rPr>
          <w:shd w:val="clear" w:color="auto" w:fill="FFFFFF"/>
        </w:rPr>
        <w:t xml:space="preserve">som giver vejledning til regeringerne om at sikre gennemsigtighed og ansvarlighed i forbindelse med </w:t>
      </w:r>
      <w:r w:rsidRPr="00FC57F6">
        <w:rPr>
          <w:shd w:val="clear" w:color="auto" w:fill="FFFFFF"/>
        </w:rPr>
        <w:lastRenderedPageBreak/>
        <w:t>anvendelsen af covid-19-genopretningsmidler;</w:t>
      </w:r>
      <w:r w:rsidRPr="00FC57F6">
        <w:t xml:space="preserve"> glæder sig i den sammenhæng over Ombudsmandens bestræbelser på at forbedre gennemsigtighedsstandarderne for genopretnings- og </w:t>
      </w:r>
      <w:proofErr w:type="spellStart"/>
      <w:r w:rsidRPr="00FC57F6">
        <w:t>resiliensfaciliteten</w:t>
      </w:r>
      <w:proofErr w:type="spellEnd"/>
      <w:r w:rsidRPr="00FC57F6">
        <w:t>;</w:t>
      </w:r>
    </w:p>
    <w:p w:rsidR="00A07886" w:rsidRPr="00FC57F6" w:rsidRDefault="00A07886" w:rsidP="00A07886">
      <w:pPr>
        <w:pStyle w:val="NormalHanging12a"/>
      </w:pPr>
      <w:r w:rsidRPr="00FC57F6">
        <w:t>18.</w:t>
      </w:r>
      <w:r w:rsidRPr="00FC57F6">
        <w:tab/>
        <w:t>fremhæver, at Ombudsmanden i sit strategiske initiativ om, hvordan Kommissionen har sikret gennemsigtighed og afbalanceret interesserepræsentation under den fælles landbrugspolitik, fandt, at der manglede centrale elementer i de nationale strategiske planer under den fælles landbrugspolitik, herunder specifikke foranstaltninger vedrørende budgetposter og delmål, der skal opfyldes, hvilket gjorde det vanskeligt for borgerne og interesserede parter at forstå de betingelser, hvorunder medlemsstaterne kan bruge bistanden fra den nye fælles landbrugspolitik; støtter Ombudsmandens opfordring til Kommissionen om proaktivt at offentliggøre flere oplysninger om godkendelsen af medlemsstaternes strategiske planer under den fælles landbrugspolitik; anmoder kommissæren med ansvar for landbrug og dennes kabinet samt Kommissionens Generaldirektorat for Landbrug og Udvikling af Landdistrikter om at efterkomme Ombudsmandens henstillinger og forsøge at opnå en retfærdig og afbalanceret repræsentation af både landbrugernes og civilsamfundets interesser i deres møder og udvekslinger med interesserepræsentanter, eftersom kommissæren med ansvar for landbrug og dennes kabinet, som påpeget af ombudsmanden i hendes skrivelse fra februar 2022, afholdt flere møder med repræsentanter for industrien end med miljøorganisationer og andre organisationer såsom forskningsinstitutioner; anmoder Kommissionen om at indtage en aktiv rolle med hensyn til at sikre overholdelsen af de gennemsigtighedsforpligtelser, der påhviler medlemsstaterne, herunder forpligtelsen til at offentliggøre de større enheder, som modtagerne af midler tilhører, og forpligtelsen til at offentliggøre de samlede betalinger, som en støttemodtager har modtaget, for at sikre, at offentligheden har alle nødvendige oplysninger om modtagere af midler under den fælles landbrugspolitik;</w:t>
      </w:r>
    </w:p>
    <w:p w:rsidR="00A07886" w:rsidRPr="00FC57F6" w:rsidRDefault="00A07886" w:rsidP="00A07886">
      <w:pPr>
        <w:pStyle w:val="NormalHanging12a"/>
      </w:pPr>
      <w:r w:rsidRPr="00FC57F6">
        <w:t>19.</w:t>
      </w:r>
      <w:r w:rsidRPr="00FC57F6">
        <w:tab/>
        <w:t>beklager, at Kommissionens tilgang til nedsættelsen af grupper for civil dialog på områder, der er omfattet af den fælles landbrugspolitik, ikke fulgte Ombudsmandens henstillinger og havde adskillige mangler, navnlig at den ikke på en gennemsigtig og klar måde sikrer en afbalanceret repræsentation mellem økonomiske og ikkeøkonomiske interesser ved sammensætningen af grupperne;</w:t>
      </w:r>
    </w:p>
    <w:p w:rsidR="00A07886" w:rsidRPr="00FC57F6" w:rsidRDefault="00A07886" w:rsidP="00A07886">
      <w:pPr>
        <w:pStyle w:val="NormalHanging12a"/>
      </w:pPr>
      <w:r w:rsidRPr="00FC57F6">
        <w:t>20.</w:t>
      </w:r>
      <w:r w:rsidRPr="00FC57F6">
        <w:tab/>
        <w:t>fremhæver betydningen af, at alle institutioner behandler anmodninger om aktindsigt rettidigt, således at oplysningernes relevans bevares; støtter ombudsmandens særberetning i forbindelse med hendes strategiske undersøgelse af den tid, det tager Kommissionen at behandle anmodninger om aktindsigt</w:t>
      </w:r>
      <w:r w:rsidRPr="00476EF7">
        <w:rPr>
          <w:rStyle w:val="FootnoteReference"/>
        </w:rPr>
        <w:footnoteReference w:id="10"/>
      </w:r>
      <w:r w:rsidRPr="00476EF7">
        <w:t xml:space="preserve">; </w:t>
      </w:r>
      <w:r w:rsidRPr="00FC57F6">
        <w:t>er bekymret over de systemiske og betydelige forsinkelser i Kommissionens behandling af sådanne anmodninger; understreger, at retten til aktindsigt er en grundlæggende rettighed i henhold til forordning (EF) nr. 1049/2001</w:t>
      </w:r>
      <w:r w:rsidRPr="00476EF7">
        <w:rPr>
          <w:rStyle w:val="FootnoteReference"/>
        </w:rPr>
        <w:footnoteReference w:id="11"/>
      </w:r>
      <w:r w:rsidRPr="00476EF7">
        <w:t>; opfordrer indtrængende Kommissio</w:t>
      </w:r>
      <w:r w:rsidRPr="00FC57F6">
        <w:t xml:space="preserve">nen til at forbedre sin administrative praksis for at overholde de frister, der fastsættes af lovgiveren, og på en klar og proaktiv måde demonstrere, at dens behandling af </w:t>
      </w:r>
      <w:r w:rsidRPr="00FC57F6">
        <w:lastRenderedPageBreak/>
        <w:t>anmodninger om aktindsigt har gennemsigtighed som en hovedregel og en prioritet; understreger behovet for, at EU-institutionerne afsætter tilstrækkelige menneskelige ressourcer til at forbedre effektiviteten i behandlingen af anmodninger om aktindsigt; minder om, at Ombudsmanden kom med en henstilling om en grundlæggende omstrukturering af Kommissionens tilgang til behandlingen af anmodninger om aktindsigt;</w:t>
      </w:r>
    </w:p>
    <w:p w:rsidR="00A07886" w:rsidRPr="00FC57F6" w:rsidRDefault="00A07886" w:rsidP="00A07886">
      <w:pPr>
        <w:pStyle w:val="NormalHanging12a"/>
      </w:pPr>
      <w:r w:rsidRPr="00FC57F6">
        <w:t>21.</w:t>
      </w:r>
      <w:r w:rsidRPr="00FC57F6">
        <w:tab/>
        <w:t xml:space="preserve">anerkender Ombudsmandens undersøgelse af Kommissionens undladelse af at klarlægge og dermed vurdere den potentielle offentliggørelse af tekstbeskeder udvekslet mellem Kommissionens formand og den administrerende direktør for en medicinalvirksomhed om køb af en covid-19-vaccine; er bekymret over, at Kommissionens tilgang udgjorde et tilfælde af fejl og forsømmelser; understreger, at arbejdsrelaterede tekst- og </w:t>
      </w:r>
      <w:proofErr w:type="spellStart"/>
      <w:r w:rsidRPr="00FC57F6">
        <w:t>straksbeskeder</w:t>
      </w:r>
      <w:proofErr w:type="spellEnd"/>
      <w:r w:rsidRPr="00FC57F6">
        <w:t xml:space="preserve"> udgør "dokumenter" som omhandlet i forordning (EF) nr. 1049/2001, og at det er særlig vigtigt, at dette princip respekteres; glæder sig over Ombudsmandens henstillinger til EU-forvaltningen om registrering af arbejdsrelaterede tekst- og </w:t>
      </w:r>
      <w:proofErr w:type="spellStart"/>
      <w:r w:rsidRPr="00FC57F6">
        <w:t>straksbeskeder</w:t>
      </w:r>
      <w:proofErr w:type="spellEnd"/>
      <w:r w:rsidRPr="00FC57F6">
        <w:t>; understreger betydningen af, at EU-institutionerne efterkommer disse henstillinger til fulde for at bringe EU-forvaltningens praksis i overensstemmelse med moderne kommunikationsmetoder; noterer sig Kommissionens svar om, at den vil udstede yderligere retningslinjer for moderne kommunikationsværktøjer som f.eks. tekstbeskeder;</w:t>
      </w:r>
    </w:p>
    <w:p w:rsidR="00A07886" w:rsidRPr="00FC57F6" w:rsidRDefault="00A07886" w:rsidP="00A07886">
      <w:pPr>
        <w:pStyle w:val="NormalHanging12a"/>
      </w:pPr>
      <w:r w:rsidRPr="00FC57F6">
        <w:t>22.</w:t>
      </w:r>
      <w:r w:rsidRPr="00FC57F6">
        <w:tab/>
        <w:t>opfordrer Rådet til at tage ved lære af Ombudsmandens undersøgelse af Rådets afslag på at give fuld aktindsigt i dokumenter vedrørende forhandlinger om udkastet til forordningen om digitale markeder, som i 2022 førte til, at Ombudsmanden konstaterede fejl og forsømmelser; opfordrer Rådet til at anvende de højeste gennemsigtighedsstandarder i disse tilfælde, især når Ombudsmanden allerede har udpeget problemer i tidligere strategiske undersøgelser af gennemsigtigheden i Rådets lovgivningsproces og dets beslutningstagning under covid-19-krisen; minder om, at gennemsigtighed er et af de centrale principper, der er fastsat i EU-traktaterne, og at manglende gennemsigtighed risikerer at mindske borgernes tillid til EU-institutionerne og EU som helhed;</w:t>
      </w:r>
    </w:p>
    <w:p w:rsidR="00A07886" w:rsidRPr="00FC57F6" w:rsidRDefault="00A07886" w:rsidP="00A07886">
      <w:pPr>
        <w:pStyle w:val="NormalHanging12a"/>
      </w:pPr>
      <w:r w:rsidRPr="00FC57F6">
        <w:t>23.</w:t>
      </w:r>
      <w:r w:rsidRPr="00FC57F6">
        <w:tab/>
        <w:t>understreger vigtigheden af Ombudsmandens undersøgelser af EU-forvaltningens overholdelse af menneskerettighederne; støtter Ombudsmandens opfordring til Kommissionen om at oprette en ny og separat portal for behandling af klager vedrørende påståede menneskerettighedskrænkelser og gøre den tilgængelig for klager vedrørende menneskerettigheder fra civilsamfundsorganisationer og andre interessenter i lande, som EU har handelsaftaler med;</w:t>
      </w:r>
    </w:p>
    <w:p w:rsidR="00A07886" w:rsidRPr="00FC57F6" w:rsidRDefault="00A07886" w:rsidP="00A07886">
      <w:pPr>
        <w:pStyle w:val="NormalHanging12a"/>
      </w:pPr>
      <w:r w:rsidRPr="00FC57F6">
        <w:t>24.</w:t>
      </w:r>
      <w:r w:rsidRPr="00FC57F6">
        <w:tab/>
        <w:t xml:space="preserve">påpeger, at Ombudsmanden gennemførte en strategisk undersøgelse af, hvordan </w:t>
      </w:r>
      <w:proofErr w:type="spellStart"/>
      <w:r w:rsidRPr="00FC57F6">
        <w:t>Frontex</w:t>
      </w:r>
      <w:proofErr w:type="spellEnd"/>
      <w:r w:rsidRPr="00FC57F6">
        <w:t xml:space="preserve"> overholder sine forpligtelser vedrørende grundlæggende rettigheder under sit udvidede mandat i henhold til forordning (EU) 2019/1896</w:t>
      </w:r>
      <w:r w:rsidRPr="00476EF7">
        <w:rPr>
          <w:rStyle w:val="FootnoteReference"/>
          <w:lang w:eastAsia="x-none"/>
        </w:rPr>
        <w:footnoteReference w:id="12"/>
      </w:r>
      <w:r w:rsidRPr="00476EF7">
        <w:t>; understreger betydningen af at anvende høje gen</w:t>
      </w:r>
      <w:r w:rsidRPr="00FC57F6">
        <w:t xml:space="preserve">nemsigtighedsstandarder, der giver mulighed for offentlig kontrol og sikrer fuld overholdelse af de grundlæggende rettigheder i alle </w:t>
      </w:r>
      <w:proofErr w:type="spellStart"/>
      <w:r w:rsidRPr="00FC57F6">
        <w:t>Frontex</w:t>
      </w:r>
      <w:proofErr w:type="spellEnd"/>
      <w:r w:rsidRPr="00FC57F6">
        <w:t xml:space="preserve">' operationer for at forbedre agenturets ansvarlighed; opfordrer </w:t>
      </w:r>
      <w:proofErr w:type="spellStart"/>
      <w:r w:rsidRPr="00FC57F6">
        <w:t>Frontex</w:t>
      </w:r>
      <w:proofErr w:type="spellEnd"/>
      <w:r w:rsidRPr="00FC57F6">
        <w:t xml:space="preserve"> til at sikre en passende opfølgning på henstillingerne fra Ombudsmanden;</w:t>
      </w:r>
    </w:p>
    <w:p w:rsidR="00A07886" w:rsidRPr="00FC57F6" w:rsidRDefault="00A07886" w:rsidP="00A07886">
      <w:pPr>
        <w:pStyle w:val="NormalHanging12a"/>
      </w:pPr>
      <w:r w:rsidRPr="00FC57F6">
        <w:lastRenderedPageBreak/>
        <w:t>25.</w:t>
      </w:r>
      <w:r w:rsidRPr="00FC57F6">
        <w:tab/>
        <w:t>noterer sig Ombudsmandens undersøgelse af Kommissionens system til overvågning af de kroatiske myndigheders overholdelse af de grundlæggende rettigheder i forbindelse med grænseforvaltningsoperationer, der støttes med EU-midler, hvori Ombudsmanden i sin konklusion kritiserede Kommissionen for dens forsinkede indførelse af en passende mekanisme for overvågning af de kroatiske myndigheders grænseforvaltning; tilskynder Kommissionen til altid at reagere hurtigt på Ombudsmandens forbedringsforslag, navnlig i tilfælde som dette, hvor der er konstateret betydelige mangler;</w:t>
      </w:r>
    </w:p>
    <w:p w:rsidR="00A07886" w:rsidRPr="00FC57F6" w:rsidRDefault="00A07886" w:rsidP="00A07886">
      <w:pPr>
        <w:pStyle w:val="NormalHanging12a"/>
      </w:pPr>
      <w:r w:rsidRPr="00FC57F6">
        <w:t>26.</w:t>
      </w:r>
      <w:r w:rsidRPr="00FC57F6">
        <w:tab/>
        <w:t>glæder sig over, at netværket af EU-agenturer på grundlag af Ombudsmandens praktiske henstillinger om brugen af officielle sprog i kommunikationen med offentligheden nåede til enighed om retningslinjerne for flersprogede politikker;</w:t>
      </w:r>
    </w:p>
    <w:p w:rsidR="00A07886" w:rsidRPr="00FC57F6" w:rsidRDefault="00A07886" w:rsidP="00A07886">
      <w:pPr>
        <w:pStyle w:val="NormalHanging12a"/>
      </w:pPr>
      <w:r w:rsidRPr="00FC57F6">
        <w:t>27.</w:t>
      </w:r>
      <w:r w:rsidRPr="00FC57F6">
        <w:tab/>
        <w:t>noterer sig, at Den Europæiske Ombudsmands statut i 2022 blev ajourført med gennemførelsesbestemmelser om Ombudsmandens arbejdsprocedurer; mener, at de nye bestemmelser vil bidrage til at forbedre Ombudsmandens arbejde;</w:t>
      </w:r>
    </w:p>
    <w:p w:rsidR="00A07886" w:rsidRPr="00FC57F6" w:rsidRDefault="00A07886" w:rsidP="00A07886">
      <w:pPr>
        <w:pStyle w:val="NormalHanging12a"/>
        <w:rPr>
          <w:szCs w:val="24"/>
        </w:rPr>
      </w:pPr>
      <w:r w:rsidRPr="00FC57F6">
        <w:t>28.</w:t>
      </w:r>
      <w:r w:rsidRPr="00FC57F6">
        <w:tab/>
        <w:t>glæder sig over Ombudsmandens tilsagn om at overvåge EU-forvaltningens gennemførelse af FN's konvention om rettigheder for personer med handicap; påskønner Ombudsmandens arbejde som medlem af EU-rammen for FN's konvention om rettigheder for personer med handicap;</w:t>
      </w:r>
    </w:p>
    <w:p w:rsidR="00A07886" w:rsidRPr="00FC57F6" w:rsidRDefault="00A07886" w:rsidP="00A07886">
      <w:pPr>
        <w:pStyle w:val="NormalHanging12a"/>
        <w:rPr>
          <w:szCs w:val="24"/>
        </w:rPr>
      </w:pPr>
      <w:r w:rsidRPr="00FC57F6">
        <w:t>29.</w:t>
      </w:r>
      <w:r w:rsidRPr="00FC57F6">
        <w:tab/>
        <w:t xml:space="preserve">understreger resultaterne af Ombudsmandens undersøgelse på eget initiativ af, hvordan Kommissionen overvåger de europæiske struktur- og investeringsfonde (ESI-fondene) for at sikre, at midlerne anvendes til at styrke handicappedes ret til en uafhængig tilværelse og inklusion; glæder sig over forslaget om </w:t>
      </w:r>
      <w:r w:rsidRPr="00FC57F6">
        <w:rPr>
          <w:shd w:val="clear" w:color="auto" w:fill="FFFFFF"/>
        </w:rPr>
        <w:t xml:space="preserve">klarere retningslinjer for behovet for at fremme </w:t>
      </w:r>
      <w:proofErr w:type="spellStart"/>
      <w:r w:rsidRPr="00FC57F6">
        <w:rPr>
          <w:shd w:val="clear" w:color="auto" w:fill="FFFFFF"/>
        </w:rPr>
        <w:t>afinstitutionalisering</w:t>
      </w:r>
      <w:proofErr w:type="spellEnd"/>
      <w:r w:rsidRPr="00FC57F6">
        <w:rPr>
          <w:shd w:val="clear" w:color="auto" w:fill="FFFFFF"/>
        </w:rPr>
        <w:t xml:space="preserve"> i forbindelse med anvendelsen af </w:t>
      </w:r>
      <w:r w:rsidRPr="00FC57F6">
        <w:t>ESI-fondene</w:t>
      </w:r>
      <w:r w:rsidRPr="00FC57F6">
        <w:rPr>
          <w:shd w:val="clear" w:color="auto" w:fill="FFFFFF"/>
        </w:rPr>
        <w:t>;</w:t>
      </w:r>
    </w:p>
    <w:p w:rsidR="00A07886" w:rsidRPr="00FC57F6" w:rsidRDefault="00A07886" w:rsidP="00A07886">
      <w:pPr>
        <w:pStyle w:val="NormalHanging12a"/>
        <w:rPr>
          <w:szCs w:val="24"/>
        </w:rPr>
      </w:pPr>
      <w:r w:rsidRPr="00FC57F6">
        <w:t>30.</w:t>
      </w:r>
      <w:r w:rsidRPr="00FC57F6">
        <w:tab/>
        <w:t xml:space="preserve">opfordrer Ombudsmanden til at fortsætte udvekslingen af erfaringer og bedste praksis med nationale ombudsmænd gennem det europæiske netværk af ombudsmænd (ENO); glæder sig over, at </w:t>
      </w:r>
      <w:proofErr w:type="spellStart"/>
      <w:r w:rsidRPr="00FC57F6">
        <w:t>ENO's</w:t>
      </w:r>
      <w:proofErr w:type="spellEnd"/>
      <w:r w:rsidRPr="00FC57F6">
        <w:t xml:space="preserve"> årlige konference i 2022 fokuserede på bedste praksis for at hjælpe flygtninge og behandlede virkningerne af digitaliseringen af offentlige tjenester på borgernes rettigheder; roser optagelsen af de ukrainske og moldoviske ombudsmandsinstitutioner i ENO;</w:t>
      </w:r>
    </w:p>
    <w:p w:rsidR="00A07886" w:rsidRPr="00FC57F6" w:rsidRDefault="00A07886" w:rsidP="00A07886">
      <w:pPr>
        <w:pStyle w:val="NormalHanging12a"/>
      </w:pPr>
      <w:r w:rsidRPr="00FC57F6">
        <w:t>31.</w:t>
      </w:r>
      <w:r w:rsidRPr="00FC57F6">
        <w:tab/>
        <w:t>glæder sig over Ombudsmandens fortsatte bestræbelser på yderligere at forbedre synligheden af sine aktiviteter, herunder via onlineværktøjer og det flersprogede websted, der tilbyder hjælp på alle 24 officielle EU-sprog;</w:t>
      </w:r>
    </w:p>
    <w:p w:rsidR="00A07886" w:rsidRPr="00FC57F6" w:rsidRDefault="00A07886" w:rsidP="00A07886">
      <w:pPr>
        <w:pStyle w:val="NormalHanging12a"/>
      </w:pPr>
      <w:r w:rsidRPr="00FC57F6">
        <w:t>32.</w:t>
      </w:r>
      <w:r w:rsidRPr="00FC57F6">
        <w:tab/>
        <w:t>glæder sig over den frugtbare og langvarige dialog mellem Ombudsmanden og Europa-Parlamentets Udvalg for Andragender; understreger, at det intensive samarbejde mellem de to organer bidrager til at øge EU-institutionernes demokratiske ansvarlighed og bringe dem tættere på borgerne;</w:t>
      </w:r>
    </w:p>
    <w:p w:rsidR="00A07886" w:rsidRPr="00FC57F6" w:rsidRDefault="00A07886" w:rsidP="00A07886">
      <w:pPr>
        <w:pStyle w:val="NormalHanging12a"/>
        <w:rPr>
          <w:szCs w:val="24"/>
        </w:rPr>
      </w:pPr>
      <w:r w:rsidRPr="00FC57F6">
        <w:t>33.</w:t>
      </w:r>
      <w:r w:rsidRPr="00FC57F6">
        <w:tab/>
        <w:t>pålægger sin formand at sende denne beslutning og betænkningen fra Udvalget for Andragender til Rådet, Kommissionen, Den Europæiske Ombudsmand, medlemsstaternes regeringer og parlamenter samt deres ombudsmænd eller tilsvarende kompetente organer.</w:t>
      </w:r>
    </w:p>
    <w:sectPr w:rsidR="00A07886" w:rsidRPr="00FC57F6" w:rsidSect="009A19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367" w:rsidRPr="009A1921" w:rsidRDefault="00695367">
      <w:r w:rsidRPr="009A1921">
        <w:separator/>
      </w:r>
    </w:p>
  </w:endnote>
  <w:endnote w:type="continuationSeparator" w:id="0">
    <w:p w:rsidR="00695367" w:rsidRPr="009A1921" w:rsidRDefault="00695367">
      <w:r w:rsidRPr="009A19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367" w:rsidRPr="009A1921" w:rsidRDefault="00695367">
      <w:r w:rsidRPr="009A1921">
        <w:separator/>
      </w:r>
    </w:p>
  </w:footnote>
  <w:footnote w:type="continuationSeparator" w:id="0">
    <w:p w:rsidR="00695367" w:rsidRPr="009A1921" w:rsidRDefault="00695367">
      <w:r w:rsidRPr="009A1921">
        <w:continuationSeparator/>
      </w:r>
    </w:p>
  </w:footnote>
  <w:footnote w:id="1">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EUT L </w:t>
      </w:r>
      <w:r w:rsidRPr="004D7233">
        <w:rPr>
          <w:sz w:val="24"/>
          <w:lang w:val="da-DK"/>
        </w:rPr>
        <w:t>253</w:t>
      </w:r>
      <w:r w:rsidRPr="009A1921">
        <w:rPr>
          <w:sz w:val="24"/>
          <w:lang w:val="da-DK"/>
        </w:rPr>
        <w:t xml:space="preserve"> af </w:t>
      </w:r>
      <w:r w:rsidRPr="004D7233">
        <w:rPr>
          <w:sz w:val="24"/>
          <w:lang w:val="da-DK"/>
        </w:rPr>
        <w:t>16</w:t>
      </w:r>
      <w:r w:rsidRPr="009A1921">
        <w:rPr>
          <w:sz w:val="24"/>
          <w:lang w:val="da-DK"/>
        </w:rPr>
        <w:t>.</w:t>
      </w:r>
      <w:r w:rsidRPr="004D7233">
        <w:rPr>
          <w:sz w:val="24"/>
          <w:lang w:val="da-DK"/>
        </w:rPr>
        <w:t>7</w:t>
      </w:r>
      <w:r w:rsidRPr="009A1921">
        <w:rPr>
          <w:sz w:val="24"/>
          <w:lang w:val="da-DK"/>
        </w:rPr>
        <w:t>.</w:t>
      </w:r>
      <w:r w:rsidRPr="004D7233">
        <w:rPr>
          <w:sz w:val="24"/>
          <w:lang w:val="da-DK"/>
        </w:rPr>
        <w:t>2021</w:t>
      </w:r>
      <w:r w:rsidRPr="009A1921">
        <w:rPr>
          <w:sz w:val="24"/>
          <w:lang w:val="da-DK"/>
        </w:rPr>
        <w:t>, s. </w:t>
      </w:r>
      <w:r w:rsidRPr="004D7233">
        <w:rPr>
          <w:sz w:val="24"/>
          <w:lang w:val="da-DK"/>
        </w:rPr>
        <w:t>1</w:t>
      </w:r>
      <w:r w:rsidRPr="009A1921">
        <w:rPr>
          <w:sz w:val="24"/>
          <w:lang w:val="da-DK"/>
        </w:rPr>
        <w:t>.</w:t>
      </w:r>
    </w:p>
  </w:footnote>
  <w:footnote w:id="2">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 "</w:t>
      </w:r>
      <w:proofErr w:type="spellStart"/>
      <w:r w:rsidRPr="009A1921">
        <w:fldChar w:fldCharType="begin"/>
      </w:r>
      <w:r w:rsidRPr="009A1921">
        <w:rPr>
          <w:sz w:val="24"/>
          <w:lang w:val="da-DK"/>
        </w:rPr>
        <w:instrText xml:space="preserve"> HYPERLINK "https://www.ombudsman.europa.eu/da/news-document/en/157774" </w:instrText>
      </w:r>
      <w:r w:rsidRPr="009A1921">
        <w:fldChar w:fldCharType="separate"/>
      </w:r>
      <w:r w:rsidRPr="009A1921">
        <w:rPr>
          <w:rStyle w:val="Hyperlink"/>
          <w:sz w:val="24"/>
          <w:lang w:val="da-DK"/>
        </w:rPr>
        <w:t>Council</w:t>
      </w:r>
      <w:proofErr w:type="spellEnd"/>
      <w:r w:rsidRPr="009A1921">
        <w:rPr>
          <w:rStyle w:val="Hyperlink"/>
          <w:sz w:val="24"/>
          <w:lang w:val="da-DK"/>
        </w:rPr>
        <w:t xml:space="preserve"> </w:t>
      </w:r>
      <w:proofErr w:type="spellStart"/>
      <w:r w:rsidRPr="009A1921">
        <w:rPr>
          <w:rStyle w:val="Hyperlink"/>
          <w:sz w:val="24"/>
          <w:lang w:val="da-DK"/>
        </w:rPr>
        <w:t>should</w:t>
      </w:r>
      <w:proofErr w:type="spellEnd"/>
      <w:r w:rsidRPr="009A1921">
        <w:rPr>
          <w:rStyle w:val="Hyperlink"/>
          <w:sz w:val="24"/>
          <w:lang w:val="da-DK"/>
        </w:rPr>
        <w:t xml:space="preserve"> give faster public </w:t>
      </w:r>
      <w:proofErr w:type="spellStart"/>
      <w:r w:rsidRPr="009A1921">
        <w:rPr>
          <w:rStyle w:val="Hyperlink"/>
          <w:sz w:val="24"/>
          <w:lang w:val="da-DK"/>
        </w:rPr>
        <w:t>access</w:t>
      </w:r>
      <w:proofErr w:type="spellEnd"/>
      <w:r w:rsidRPr="009A1921">
        <w:rPr>
          <w:rStyle w:val="Hyperlink"/>
          <w:sz w:val="24"/>
          <w:lang w:val="da-DK"/>
        </w:rPr>
        <w:t xml:space="preserve"> to legislative </w:t>
      </w:r>
      <w:proofErr w:type="spellStart"/>
      <w:r w:rsidRPr="009A1921">
        <w:rPr>
          <w:rStyle w:val="Hyperlink"/>
          <w:sz w:val="24"/>
          <w:lang w:val="da-DK"/>
        </w:rPr>
        <w:t>documents</w:t>
      </w:r>
      <w:proofErr w:type="spellEnd"/>
      <w:r w:rsidRPr="009A1921">
        <w:rPr>
          <w:rStyle w:val="Hyperlink"/>
          <w:sz w:val="24"/>
          <w:lang w:val="da-DK"/>
        </w:rPr>
        <w:fldChar w:fldCharType="end"/>
      </w:r>
      <w:r w:rsidRPr="009A1921">
        <w:rPr>
          <w:sz w:val="24"/>
          <w:lang w:val="da-DK"/>
        </w:rPr>
        <w:t xml:space="preserve">" (Rådet bør give hurtigere aktindsigt i lovgivningsdokumenter), den </w:t>
      </w:r>
      <w:r w:rsidRPr="004D7233">
        <w:rPr>
          <w:sz w:val="24"/>
          <w:lang w:val="da-DK"/>
        </w:rPr>
        <w:t>29</w:t>
      </w:r>
      <w:r w:rsidRPr="009A1921">
        <w:rPr>
          <w:sz w:val="24"/>
          <w:lang w:val="da-DK"/>
        </w:rPr>
        <w:t>. juni </w:t>
      </w:r>
      <w:r w:rsidRPr="004D7233">
        <w:rPr>
          <w:sz w:val="24"/>
          <w:lang w:val="da-DK"/>
        </w:rPr>
        <w:t>2022</w:t>
      </w:r>
      <w:r w:rsidRPr="009A1921">
        <w:rPr>
          <w:sz w:val="24"/>
          <w:lang w:val="da-DK"/>
        </w:rPr>
        <w:t>.</w:t>
      </w:r>
    </w:p>
  </w:footnote>
  <w:footnote w:id="3">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1" w:history="1">
        <w:r w:rsidRPr="009A1921">
          <w:rPr>
            <w:rStyle w:val="Hyperlink"/>
            <w:sz w:val="24"/>
            <w:lang w:val="da-DK"/>
          </w:rPr>
          <w:t xml:space="preserve">Decision on the European </w:t>
        </w:r>
        <w:proofErr w:type="spellStart"/>
        <w:r w:rsidRPr="009A1921">
          <w:rPr>
            <w:rStyle w:val="Hyperlink"/>
            <w:sz w:val="24"/>
            <w:lang w:val="da-DK"/>
          </w:rPr>
          <w:t>Commission's</w:t>
        </w:r>
        <w:proofErr w:type="spellEnd"/>
        <w:r w:rsidRPr="009A1921">
          <w:rPr>
            <w:rStyle w:val="Hyperlink"/>
            <w:sz w:val="24"/>
            <w:lang w:val="da-DK"/>
          </w:rPr>
          <w:t xml:space="preserve"> </w:t>
        </w:r>
        <w:proofErr w:type="spellStart"/>
        <w:r w:rsidRPr="009A1921">
          <w:rPr>
            <w:rStyle w:val="Hyperlink"/>
            <w:sz w:val="24"/>
            <w:lang w:val="da-DK"/>
          </w:rPr>
          <w:t>refusal</w:t>
        </w:r>
        <w:proofErr w:type="spellEnd"/>
        <w:r w:rsidRPr="009A1921">
          <w:rPr>
            <w:rStyle w:val="Hyperlink"/>
            <w:sz w:val="24"/>
            <w:lang w:val="da-DK"/>
          </w:rPr>
          <w:t xml:space="preserve"> of public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text</w:t>
        </w:r>
        <w:proofErr w:type="spellEnd"/>
        <w:r w:rsidRPr="009A1921">
          <w:rPr>
            <w:rStyle w:val="Hyperlink"/>
            <w:sz w:val="24"/>
            <w:lang w:val="da-DK"/>
          </w:rPr>
          <w:t xml:space="preserve"> </w:t>
        </w:r>
        <w:proofErr w:type="spellStart"/>
        <w:r w:rsidRPr="009A1921">
          <w:rPr>
            <w:rStyle w:val="Hyperlink"/>
            <w:sz w:val="24"/>
            <w:lang w:val="da-DK"/>
          </w:rPr>
          <w:t>messages</w:t>
        </w:r>
        <w:proofErr w:type="spellEnd"/>
        <w:r w:rsidRPr="009A1921">
          <w:rPr>
            <w:rStyle w:val="Hyperlink"/>
            <w:sz w:val="24"/>
            <w:lang w:val="da-DK"/>
          </w:rPr>
          <w:t xml:space="preserve"> </w:t>
        </w:r>
        <w:proofErr w:type="spellStart"/>
        <w:r w:rsidRPr="009A1921">
          <w:rPr>
            <w:rStyle w:val="Hyperlink"/>
            <w:sz w:val="24"/>
            <w:lang w:val="da-DK"/>
          </w:rPr>
          <w:t>exchanged</w:t>
        </w:r>
        <w:proofErr w:type="spellEnd"/>
        <w:r w:rsidRPr="009A1921">
          <w:rPr>
            <w:rStyle w:val="Hyperlink"/>
            <w:sz w:val="24"/>
            <w:lang w:val="da-DK"/>
          </w:rPr>
          <w:t xml:space="preserve"> </w:t>
        </w:r>
        <w:proofErr w:type="spellStart"/>
        <w:r w:rsidRPr="009A1921">
          <w:rPr>
            <w:rStyle w:val="Hyperlink"/>
            <w:sz w:val="24"/>
            <w:lang w:val="da-DK"/>
          </w:rPr>
          <w:t>between</w:t>
        </w:r>
        <w:proofErr w:type="spellEnd"/>
        <w:r w:rsidRPr="009A1921">
          <w:rPr>
            <w:rStyle w:val="Hyperlink"/>
            <w:sz w:val="24"/>
            <w:lang w:val="da-DK"/>
          </w:rPr>
          <w:t xml:space="preserve"> the </w:t>
        </w:r>
        <w:proofErr w:type="spellStart"/>
        <w:r w:rsidRPr="009A1921">
          <w:rPr>
            <w:rStyle w:val="Hyperlink"/>
            <w:sz w:val="24"/>
            <w:lang w:val="da-DK"/>
          </w:rPr>
          <w:t>Commission</w:t>
        </w:r>
        <w:proofErr w:type="spellEnd"/>
        <w:r w:rsidRPr="009A1921">
          <w:rPr>
            <w:rStyle w:val="Hyperlink"/>
            <w:sz w:val="24"/>
            <w:lang w:val="da-DK"/>
          </w:rPr>
          <w:t xml:space="preserve"> </w:t>
        </w:r>
        <w:proofErr w:type="spellStart"/>
        <w:r w:rsidRPr="009A1921">
          <w:rPr>
            <w:rStyle w:val="Hyperlink"/>
            <w:sz w:val="24"/>
            <w:lang w:val="da-DK"/>
          </w:rPr>
          <w:t>President</w:t>
        </w:r>
        <w:proofErr w:type="spellEnd"/>
        <w:r w:rsidRPr="009A1921">
          <w:rPr>
            <w:rStyle w:val="Hyperlink"/>
            <w:sz w:val="24"/>
            <w:lang w:val="da-DK"/>
          </w:rPr>
          <w:t xml:space="preserve"> and the CEO of a </w:t>
        </w:r>
        <w:proofErr w:type="spellStart"/>
        <w:r w:rsidRPr="009A1921">
          <w:rPr>
            <w:rStyle w:val="Hyperlink"/>
            <w:sz w:val="24"/>
            <w:lang w:val="da-DK"/>
          </w:rPr>
          <w:t>pharmaceutical</w:t>
        </w:r>
        <w:proofErr w:type="spellEnd"/>
        <w:r w:rsidRPr="009A1921">
          <w:rPr>
            <w:rStyle w:val="Hyperlink"/>
            <w:sz w:val="24"/>
            <w:lang w:val="da-DK"/>
          </w:rPr>
          <w:t xml:space="preserve"> </w:t>
        </w:r>
        <w:proofErr w:type="spellStart"/>
        <w:r w:rsidRPr="009A1921">
          <w:rPr>
            <w:rStyle w:val="Hyperlink"/>
            <w:sz w:val="24"/>
            <w:lang w:val="da-DK"/>
          </w:rPr>
          <w:t>company</w:t>
        </w:r>
        <w:proofErr w:type="spellEnd"/>
        <w:r w:rsidRPr="009A1921">
          <w:rPr>
            <w:rStyle w:val="Hyperlink"/>
            <w:sz w:val="24"/>
            <w:lang w:val="da-DK"/>
          </w:rPr>
          <w:t xml:space="preserve"> on the </w:t>
        </w:r>
        <w:proofErr w:type="spellStart"/>
        <w:r w:rsidRPr="009A1921">
          <w:rPr>
            <w:rStyle w:val="Hyperlink"/>
            <w:sz w:val="24"/>
            <w:lang w:val="da-DK"/>
          </w:rPr>
          <w:t>purchase</w:t>
        </w:r>
        <w:proofErr w:type="spellEnd"/>
        <w:r w:rsidRPr="009A1921">
          <w:rPr>
            <w:rStyle w:val="Hyperlink"/>
            <w:sz w:val="24"/>
            <w:lang w:val="da-DK"/>
          </w:rPr>
          <w:t xml:space="preserve"> of a COVID </w:t>
        </w:r>
        <w:r w:rsidRPr="004D7233">
          <w:rPr>
            <w:rStyle w:val="Hyperlink"/>
            <w:sz w:val="24"/>
            <w:lang w:val="da-DK"/>
          </w:rPr>
          <w:t>19</w:t>
        </w:r>
        <w:r w:rsidRPr="009A1921">
          <w:rPr>
            <w:rStyle w:val="Hyperlink"/>
            <w:sz w:val="24"/>
            <w:lang w:val="da-DK"/>
          </w:rPr>
          <w:t xml:space="preserve"> vaccine (case </w:t>
        </w:r>
        <w:r w:rsidRPr="004D7233">
          <w:rPr>
            <w:rStyle w:val="Hyperlink"/>
            <w:sz w:val="24"/>
            <w:lang w:val="da-DK"/>
          </w:rPr>
          <w:t>1316</w:t>
        </w:r>
        <w:r w:rsidRPr="009A1921">
          <w:rPr>
            <w:rStyle w:val="Hyperlink"/>
            <w:sz w:val="24"/>
            <w:lang w:val="da-DK"/>
          </w:rPr>
          <w:t>/</w:t>
        </w:r>
        <w:r w:rsidRPr="004D7233">
          <w:rPr>
            <w:rStyle w:val="Hyperlink"/>
            <w:sz w:val="24"/>
            <w:lang w:val="da-DK"/>
          </w:rPr>
          <w:t>2021</w:t>
        </w:r>
        <w:r w:rsidRPr="009A1921">
          <w:rPr>
            <w:rStyle w:val="Hyperlink"/>
            <w:sz w:val="24"/>
            <w:lang w:val="da-DK"/>
          </w:rPr>
          <w:t>/MIG)</w:t>
        </w:r>
      </w:hyperlink>
      <w:r w:rsidRPr="009A1921">
        <w:rPr>
          <w:sz w:val="24"/>
          <w:lang w:val="da-DK"/>
        </w:rPr>
        <w:t>" (Afgørelse om Europa-Kommissionens afslag på aktindsigt i tekstbeskeder udvekslet mellem Kommissionens formand og den administrerende direktør for en medicinalvirksomhed om køb af en covid-</w:t>
      </w:r>
      <w:r w:rsidRPr="004D7233">
        <w:rPr>
          <w:sz w:val="24"/>
          <w:lang w:val="da-DK"/>
        </w:rPr>
        <w:t>19</w:t>
      </w:r>
      <w:r w:rsidRPr="009A1921">
        <w:rPr>
          <w:sz w:val="24"/>
          <w:lang w:val="da-DK"/>
        </w:rPr>
        <w:t xml:space="preserve">-vaccine (sag </w:t>
      </w:r>
      <w:r w:rsidRPr="004D7233">
        <w:rPr>
          <w:sz w:val="24"/>
          <w:lang w:val="da-DK"/>
        </w:rPr>
        <w:t>1316</w:t>
      </w:r>
      <w:r w:rsidRPr="009A1921">
        <w:rPr>
          <w:sz w:val="24"/>
          <w:lang w:val="da-DK"/>
        </w:rPr>
        <w:t>/</w:t>
      </w:r>
      <w:r w:rsidRPr="004D7233">
        <w:rPr>
          <w:sz w:val="24"/>
          <w:lang w:val="da-DK"/>
        </w:rPr>
        <w:t>2021</w:t>
      </w:r>
      <w:r w:rsidRPr="009A1921">
        <w:rPr>
          <w:sz w:val="24"/>
          <w:lang w:val="da-DK"/>
        </w:rPr>
        <w:t xml:space="preserve">/MIG)), den </w:t>
      </w:r>
      <w:r w:rsidRPr="004D7233">
        <w:rPr>
          <w:sz w:val="24"/>
          <w:lang w:val="da-DK"/>
        </w:rPr>
        <w:t>12</w:t>
      </w:r>
      <w:r w:rsidRPr="009A1921">
        <w:rPr>
          <w:sz w:val="24"/>
          <w:lang w:val="da-DK"/>
        </w:rPr>
        <w:t>. juli </w:t>
      </w:r>
      <w:r w:rsidRPr="004D7233">
        <w:rPr>
          <w:sz w:val="24"/>
          <w:lang w:val="da-DK"/>
        </w:rPr>
        <w:t>2022</w:t>
      </w:r>
      <w:r w:rsidRPr="009A1921">
        <w:rPr>
          <w:sz w:val="24"/>
          <w:lang w:val="da-DK"/>
        </w:rPr>
        <w:t>.</w:t>
      </w:r>
    </w:p>
  </w:footnote>
  <w:footnote w:id="4">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2" w:history="1">
        <w:r w:rsidRPr="009A1921">
          <w:rPr>
            <w:rStyle w:val="Hyperlink"/>
            <w:sz w:val="24"/>
            <w:lang w:val="da-DK"/>
          </w:rPr>
          <w:t xml:space="preserve">Ombudsman </w:t>
        </w:r>
        <w:proofErr w:type="spellStart"/>
        <w:r w:rsidRPr="009A1921">
          <w:rPr>
            <w:rStyle w:val="Hyperlink"/>
            <w:sz w:val="24"/>
            <w:lang w:val="da-DK"/>
          </w:rPr>
          <w:t>criticises</w:t>
        </w:r>
        <w:proofErr w:type="spellEnd"/>
        <w:r w:rsidRPr="009A1921">
          <w:rPr>
            <w:rStyle w:val="Hyperlink"/>
            <w:sz w:val="24"/>
            <w:lang w:val="da-DK"/>
          </w:rPr>
          <w:t xml:space="preserve"> </w:t>
        </w:r>
        <w:proofErr w:type="spellStart"/>
        <w:r w:rsidRPr="009A1921">
          <w:rPr>
            <w:rStyle w:val="Hyperlink"/>
            <w:sz w:val="24"/>
            <w:lang w:val="da-DK"/>
          </w:rPr>
          <w:t>how</w:t>
        </w:r>
        <w:proofErr w:type="spellEnd"/>
        <w:r w:rsidRPr="009A1921">
          <w:rPr>
            <w:rStyle w:val="Hyperlink"/>
            <w:sz w:val="24"/>
            <w:lang w:val="da-DK"/>
          </w:rPr>
          <w:t xml:space="preserve"> </w:t>
        </w:r>
        <w:proofErr w:type="spellStart"/>
        <w:r w:rsidRPr="009A1921">
          <w:rPr>
            <w:rStyle w:val="Hyperlink"/>
            <w:sz w:val="24"/>
            <w:lang w:val="da-DK"/>
          </w:rPr>
          <w:t>Commission</w:t>
        </w:r>
        <w:proofErr w:type="spellEnd"/>
        <w:r w:rsidRPr="009A1921">
          <w:rPr>
            <w:rStyle w:val="Hyperlink"/>
            <w:sz w:val="24"/>
            <w:lang w:val="da-DK"/>
          </w:rPr>
          <w:t xml:space="preserve"> </w:t>
        </w:r>
        <w:proofErr w:type="spellStart"/>
        <w:r w:rsidRPr="009A1921">
          <w:rPr>
            <w:rStyle w:val="Hyperlink"/>
            <w:sz w:val="24"/>
            <w:lang w:val="da-DK"/>
          </w:rPr>
          <w:t>handled</w:t>
        </w:r>
        <w:proofErr w:type="spellEnd"/>
        <w:r w:rsidRPr="009A1921">
          <w:rPr>
            <w:rStyle w:val="Hyperlink"/>
            <w:sz w:val="24"/>
            <w:lang w:val="da-DK"/>
          </w:rPr>
          <w:t xml:space="preserve"> </w:t>
        </w:r>
        <w:proofErr w:type="spellStart"/>
        <w:r w:rsidRPr="009A1921">
          <w:rPr>
            <w:rStyle w:val="Hyperlink"/>
            <w:sz w:val="24"/>
            <w:lang w:val="da-DK"/>
          </w:rPr>
          <w:t>request</w:t>
        </w:r>
        <w:proofErr w:type="spellEnd"/>
        <w:r w:rsidRPr="009A1921">
          <w:rPr>
            <w:rStyle w:val="Hyperlink"/>
            <w:sz w:val="24"/>
            <w:lang w:val="da-DK"/>
          </w:rPr>
          <w:t xml:space="preserve"> for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President’s</w:t>
        </w:r>
        <w:proofErr w:type="spellEnd"/>
        <w:r w:rsidRPr="009A1921">
          <w:rPr>
            <w:rStyle w:val="Hyperlink"/>
            <w:sz w:val="24"/>
            <w:lang w:val="da-DK"/>
          </w:rPr>
          <w:t xml:space="preserve"> </w:t>
        </w:r>
        <w:proofErr w:type="spellStart"/>
        <w:r w:rsidRPr="009A1921">
          <w:rPr>
            <w:rStyle w:val="Hyperlink"/>
            <w:sz w:val="24"/>
            <w:lang w:val="da-DK"/>
          </w:rPr>
          <w:t>text</w:t>
        </w:r>
        <w:proofErr w:type="spellEnd"/>
        <w:r w:rsidRPr="009A1921">
          <w:rPr>
            <w:rStyle w:val="Hyperlink"/>
            <w:sz w:val="24"/>
            <w:lang w:val="da-DK"/>
          </w:rPr>
          <w:t xml:space="preserve"> </w:t>
        </w:r>
        <w:proofErr w:type="spellStart"/>
        <w:r w:rsidRPr="009A1921">
          <w:rPr>
            <w:rStyle w:val="Hyperlink"/>
            <w:sz w:val="24"/>
            <w:lang w:val="da-DK"/>
          </w:rPr>
          <w:t>messages</w:t>
        </w:r>
        <w:proofErr w:type="spellEnd"/>
      </w:hyperlink>
      <w:r w:rsidRPr="009A1921">
        <w:rPr>
          <w:sz w:val="24"/>
          <w:lang w:val="da-DK"/>
        </w:rPr>
        <w:t xml:space="preserve">" (Ombudsmanden kritiserer Kommissionens behandling af en anmodning om adgang til formandens tekstbeskeder), den </w:t>
      </w:r>
      <w:r w:rsidRPr="004D7233">
        <w:rPr>
          <w:sz w:val="24"/>
          <w:lang w:val="da-DK"/>
        </w:rPr>
        <w:t>28</w:t>
      </w:r>
      <w:r w:rsidRPr="009A1921">
        <w:rPr>
          <w:sz w:val="24"/>
          <w:lang w:val="da-DK"/>
        </w:rPr>
        <w:t>. januar </w:t>
      </w:r>
      <w:r w:rsidRPr="004D7233">
        <w:rPr>
          <w:sz w:val="24"/>
          <w:lang w:val="da-DK"/>
        </w:rPr>
        <w:t>2022</w:t>
      </w:r>
      <w:r w:rsidRPr="009A1921">
        <w:rPr>
          <w:sz w:val="24"/>
          <w:lang w:val="da-DK"/>
        </w:rPr>
        <w:t>.</w:t>
      </w:r>
    </w:p>
  </w:footnote>
  <w:footnote w:id="5">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3" w:history="1">
        <w:r w:rsidRPr="009A1921">
          <w:rPr>
            <w:rStyle w:val="Hyperlink"/>
            <w:sz w:val="24"/>
            <w:lang w:val="da-DK"/>
          </w:rPr>
          <w:t xml:space="preserve">Ombudsman </w:t>
        </w:r>
        <w:proofErr w:type="spellStart"/>
        <w:r w:rsidRPr="009A1921">
          <w:rPr>
            <w:rStyle w:val="Hyperlink"/>
            <w:sz w:val="24"/>
            <w:lang w:val="da-DK"/>
          </w:rPr>
          <w:t>opens</w:t>
        </w:r>
        <w:proofErr w:type="spellEnd"/>
        <w:r w:rsidRPr="009A1921">
          <w:rPr>
            <w:rStyle w:val="Hyperlink"/>
            <w:sz w:val="24"/>
            <w:lang w:val="da-DK"/>
          </w:rPr>
          <w:t xml:space="preserve"> </w:t>
        </w:r>
        <w:proofErr w:type="spellStart"/>
        <w:r w:rsidRPr="009A1921">
          <w:rPr>
            <w:rStyle w:val="Hyperlink"/>
            <w:sz w:val="24"/>
            <w:lang w:val="da-DK"/>
          </w:rPr>
          <w:t>inquiry</w:t>
        </w:r>
        <w:proofErr w:type="spellEnd"/>
        <w:r w:rsidRPr="009A1921">
          <w:rPr>
            <w:rStyle w:val="Hyperlink"/>
            <w:sz w:val="24"/>
            <w:lang w:val="da-DK"/>
          </w:rPr>
          <w:t xml:space="preserve"> </w:t>
        </w:r>
        <w:proofErr w:type="spellStart"/>
        <w:r w:rsidRPr="009A1921">
          <w:rPr>
            <w:rStyle w:val="Hyperlink"/>
            <w:sz w:val="24"/>
            <w:lang w:val="da-DK"/>
          </w:rPr>
          <w:t>into</w:t>
        </w:r>
        <w:proofErr w:type="spellEnd"/>
        <w:r w:rsidRPr="009A1921">
          <w:rPr>
            <w:rStyle w:val="Hyperlink"/>
            <w:sz w:val="24"/>
            <w:lang w:val="da-DK"/>
          </w:rPr>
          <w:t xml:space="preserve"> </w:t>
        </w:r>
        <w:proofErr w:type="spellStart"/>
        <w:r w:rsidRPr="009A1921">
          <w:rPr>
            <w:rStyle w:val="Hyperlink"/>
            <w:sz w:val="24"/>
            <w:lang w:val="da-DK"/>
          </w:rPr>
          <w:t>how</w:t>
        </w:r>
        <w:proofErr w:type="spellEnd"/>
        <w:r w:rsidRPr="009A1921">
          <w:rPr>
            <w:rStyle w:val="Hyperlink"/>
            <w:sz w:val="24"/>
            <w:lang w:val="da-DK"/>
          </w:rPr>
          <w:t xml:space="preserve"> ECB handles "</w:t>
        </w:r>
        <w:proofErr w:type="spellStart"/>
        <w:r w:rsidRPr="009A1921">
          <w:rPr>
            <w:rStyle w:val="Hyperlink"/>
            <w:sz w:val="24"/>
            <w:lang w:val="da-DK"/>
          </w:rPr>
          <w:t>revolving</w:t>
        </w:r>
        <w:proofErr w:type="spellEnd"/>
        <w:r w:rsidRPr="009A1921">
          <w:rPr>
            <w:rStyle w:val="Hyperlink"/>
            <w:sz w:val="24"/>
            <w:lang w:val="da-DK"/>
          </w:rPr>
          <w:t xml:space="preserve"> </w:t>
        </w:r>
        <w:proofErr w:type="spellStart"/>
        <w:r w:rsidRPr="009A1921">
          <w:rPr>
            <w:rStyle w:val="Hyperlink"/>
            <w:sz w:val="24"/>
            <w:lang w:val="da-DK"/>
          </w:rPr>
          <w:t>doors</w:t>
        </w:r>
        <w:proofErr w:type="spellEnd"/>
        <w:r w:rsidRPr="009A1921">
          <w:rPr>
            <w:rStyle w:val="Hyperlink"/>
            <w:sz w:val="24"/>
            <w:lang w:val="da-DK"/>
          </w:rPr>
          <w:t>"</w:t>
        </w:r>
      </w:hyperlink>
      <w:r w:rsidRPr="009A1921">
        <w:rPr>
          <w:sz w:val="24"/>
          <w:lang w:val="da-DK"/>
        </w:rPr>
        <w:t xml:space="preserve">" (Ombudsmanden indleder en undersøgelse af, hvordan ECB håndterer "svingdørssituationer"), den </w:t>
      </w:r>
      <w:r w:rsidRPr="004D7233">
        <w:rPr>
          <w:sz w:val="24"/>
          <w:lang w:val="da-DK"/>
        </w:rPr>
        <w:t>3</w:t>
      </w:r>
      <w:r w:rsidRPr="009A1921">
        <w:rPr>
          <w:sz w:val="24"/>
          <w:lang w:val="da-DK"/>
        </w:rPr>
        <w:t>. marts </w:t>
      </w:r>
      <w:r w:rsidRPr="004D7233">
        <w:rPr>
          <w:sz w:val="24"/>
          <w:lang w:val="da-DK"/>
        </w:rPr>
        <w:t>2022</w:t>
      </w:r>
      <w:r w:rsidRPr="009A1921">
        <w:rPr>
          <w:sz w:val="24"/>
          <w:lang w:val="da-DK"/>
        </w:rPr>
        <w:t>.</w:t>
      </w:r>
    </w:p>
  </w:footnote>
  <w:footnote w:id="6">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4" w:history="1">
        <w:r w:rsidRPr="009A1921">
          <w:rPr>
            <w:rStyle w:val="Hyperlink"/>
            <w:sz w:val="24"/>
            <w:lang w:val="da-DK"/>
          </w:rPr>
          <w:t xml:space="preserve">Decision on the time the European </w:t>
        </w:r>
        <w:proofErr w:type="spellStart"/>
        <w:r w:rsidRPr="009A1921">
          <w:rPr>
            <w:rStyle w:val="Hyperlink"/>
            <w:sz w:val="24"/>
            <w:lang w:val="da-DK"/>
          </w:rPr>
          <w:t>Commission</w:t>
        </w:r>
        <w:proofErr w:type="spellEnd"/>
        <w:r w:rsidRPr="009A1921">
          <w:rPr>
            <w:rStyle w:val="Hyperlink"/>
            <w:sz w:val="24"/>
            <w:lang w:val="da-DK"/>
          </w:rPr>
          <w:t xml:space="preserve"> </w:t>
        </w:r>
        <w:proofErr w:type="spellStart"/>
        <w:r w:rsidRPr="009A1921">
          <w:rPr>
            <w:rStyle w:val="Hyperlink"/>
            <w:sz w:val="24"/>
            <w:lang w:val="da-DK"/>
          </w:rPr>
          <w:t>takes</w:t>
        </w:r>
        <w:proofErr w:type="spellEnd"/>
        <w:r w:rsidRPr="009A1921">
          <w:rPr>
            <w:rStyle w:val="Hyperlink"/>
            <w:sz w:val="24"/>
            <w:lang w:val="da-DK"/>
          </w:rPr>
          <w:t xml:space="preserve"> to deal with </w:t>
        </w:r>
        <w:proofErr w:type="spellStart"/>
        <w:r w:rsidRPr="009A1921">
          <w:rPr>
            <w:rStyle w:val="Hyperlink"/>
            <w:sz w:val="24"/>
            <w:lang w:val="da-DK"/>
          </w:rPr>
          <w:t>requests</w:t>
        </w:r>
        <w:proofErr w:type="spellEnd"/>
        <w:r w:rsidRPr="009A1921">
          <w:rPr>
            <w:rStyle w:val="Hyperlink"/>
            <w:sz w:val="24"/>
            <w:lang w:val="da-DK"/>
          </w:rPr>
          <w:t xml:space="preserve"> for public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documents</w:t>
        </w:r>
        <w:proofErr w:type="spellEnd"/>
        <w:r w:rsidRPr="009A1921">
          <w:rPr>
            <w:rStyle w:val="Hyperlink"/>
            <w:sz w:val="24"/>
            <w:lang w:val="da-DK"/>
          </w:rPr>
          <w:t xml:space="preserve"> (</w:t>
        </w:r>
        <w:proofErr w:type="spellStart"/>
        <w:r w:rsidRPr="009A1921">
          <w:rPr>
            <w:rStyle w:val="Hyperlink"/>
            <w:sz w:val="24"/>
            <w:lang w:val="da-DK"/>
          </w:rPr>
          <w:t>strategic</w:t>
        </w:r>
        <w:proofErr w:type="spellEnd"/>
        <w:r w:rsidRPr="009A1921">
          <w:rPr>
            <w:rStyle w:val="Hyperlink"/>
            <w:sz w:val="24"/>
            <w:lang w:val="da-DK"/>
          </w:rPr>
          <w:t xml:space="preserve"> </w:t>
        </w:r>
        <w:proofErr w:type="spellStart"/>
        <w:r w:rsidRPr="009A1921">
          <w:rPr>
            <w:rStyle w:val="Hyperlink"/>
            <w:sz w:val="24"/>
            <w:lang w:val="da-DK"/>
          </w:rPr>
          <w:t>inquiry</w:t>
        </w:r>
        <w:proofErr w:type="spellEnd"/>
        <w:r w:rsidRPr="009A1921">
          <w:rPr>
            <w:rStyle w:val="Hyperlink"/>
            <w:sz w:val="24"/>
            <w:lang w:val="da-DK"/>
          </w:rPr>
          <w:t xml:space="preserve"> OI/</w:t>
        </w:r>
        <w:r w:rsidRPr="004D7233">
          <w:rPr>
            <w:rStyle w:val="Hyperlink"/>
            <w:sz w:val="24"/>
            <w:lang w:val="da-DK"/>
          </w:rPr>
          <w:t>2</w:t>
        </w:r>
        <w:r w:rsidRPr="009A1921">
          <w:rPr>
            <w:rStyle w:val="Hyperlink"/>
            <w:sz w:val="24"/>
            <w:lang w:val="da-DK"/>
          </w:rPr>
          <w:t>/</w:t>
        </w:r>
        <w:r w:rsidRPr="004D7233">
          <w:rPr>
            <w:rStyle w:val="Hyperlink"/>
            <w:sz w:val="24"/>
            <w:lang w:val="da-DK"/>
          </w:rPr>
          <w:t>2022</w:t>
        </w:r>
        <w:r w:rsidRPr="009A1921">
          <w:rPr>
            <w:rStyle w:val="Hyperlink"/>
            <w:sz w:val="24"/>
            <w:lang w:val="da-DK"/>
          </w:rPr>
          <w:t>/OAM)</w:t>
        </w:r>
      </w:hyperlink>
      <w:r w:rsidRPr="009A1921">
        <w:rPr>
          <w:sz w:val="24"/>
          <w:lang w:val="da-DK"/>
        </w:rPr>
        <w:t>" (Afgørelse om den tid, det tager Europa-Kommissionen at behandle anmodninger om aktindsigt (strategisk undersøgelse OI/</w:t>
      </w:r>
      <w:r w:rsidRPr="004D7233">
        <w:rPr>
          <w:sz w:val="24"/>
          <w:lang w:val="da-DK"/>
        </w:rPr>
        <w:t>2</w:t>
      </w:r>
      <w:r w:rsidRPr="009A1921">
        <w:rPr>
          <w:sz w:val="24"/>
          <w:lang w:val="da-DK"/>
        </w:rPr>
        <w:t>/</w:t>
      </w:r>
      <w:r w:rsidRPr="004D7233">
        <w:rPr>
          <w:sz w:val="24"/>
          <w:lang w:val="da-DK"/>
        </w:rPr>
        <w:t>2022</w:t>
      </w:r>
      <w:r w:rsidRPr="009A1921">
        <w:rPr>
          <w:sz w:val="24"/>
          <w:lang w:val="da-DK"/>
        </w:rPr>
        <w:t xml:space="preserve">/OAM)), den </w:t>
      </w:r>
      <w:r w:rsidRPr="004D7233">
        <w:rPr>
          <w:sz w:val="24"/>
          <w:lang w:val="da-DK"/>
        </w:rPr>
        <w:t>18</w:t>
      </w:r>
      <w:r w:rsidRPr="009A1921">
        <w:rPr>
          <w:sz w:val="24"/>
          <w:lang w:val="da-DK"/>
        </w:rPr>
        <w:t>. september </w:t>
      </w:r>
      <w:r w:rsidRPr="004D7233">
        <w:rPr>
          <w:sz w:val="24"/>
          <w:lang w:val="da-DK"/>
        </w:rPr>
        <w:t>2023</w:t>
      </w:r>
      <w:r w:rsidRPr="009A1921">
        <w:rPr>
          <w:sz w:val="24"/>
          <w:lang w:val="da-DK"/>
        </w:rPr>
        <w:t xml:space="preserve">.  </w:t>
      </w:r>
    </w:p>
  </w:footnote>
  <w:footnote w:id="7">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5" w:history="1">
        <w:r w:rsidRPr="009A1921">
          <w:rPr>
            <w:rStyle w:val="Hyperlink"/>
            <w:sz w:val="24"/>
            <w:lang w:val="da-DK"/>
          </w:rPr>
          <w:t xml:space="preserve">Ombudsman </w:t>
        </w:r>
        <w:proofErr w:type="spellStart"/>
        <w:r w:rsidRPr="009A1921">
          <w:rPr>
            <w:rStyle w:val="Hyperlink"/>
            <w:sz w:val="24"/>
            <w:lang w:val="da-DK"/>
          </w:rPr>
          <w:t>calls</w:t>
        </w:r>
        <w:proofErr w:type="spellEnd"/>
        <w:r w:rsidRPr="009A1921">
          <w:rPr>
            <w:rStyle w:val="Hyperlink"/>
            <w:sz w:val="24"/>
            <w:lang w:val="da-DK"/>
          </w:rPr>
          <w:t xml:space="preserve"> for </w:t>
        </w:r>
        <w:proofErr w:type="spellStart"/>
        <w:r w:rsidRPr="009A1921">
          <w:rPr>
            <w:rStyle w:val="Hyperlink"/>
            <w:sz w:val="24"/>
            <w:lang w:val="da-DK"/>
          </w:rPr>
          <w:t>improved</w:t>
        </w:r>
        <w:proofErr w:type="spellEnd"/>
        <w:r w:rsidRPr="009A1921">
          <w:rPr>
            <w:rStyle w:val="Hyperlink"/>
            <w:sz w:val="24"/>
            <w:lang w:val="da-DK"/>
          </w:rPr>
          <w:t xml:space="preserve"> </w:t>
        </w:r>
        <w:proofErr w:type="spellStart"/>
        <w:r w:rsidRPr="009A1921">
          <w:rPr>
            <w:rStyle w:val="Hyperlink"/>
            <w:sz w:val="24"/>
            <w:lang w:val="da-DK"/>
          </w:rPr>
          <w:t>transparency</w:t>
        </w:r>
        <w:proofErr w:type="spellEnd"/>
        <w:r w:rsidRPr="009A1921">
          <w:rPr>
            <w:rStyle w:val="Hyperlink"/>
            <w:sz w:val="24"/>
            <w:lang w:val="da-DK"/>
          </w:rPr>
          <w:t xml:space="preserve"> </w:t>
        </w:r>
        <w:proofErr w:type="spellStart"/>
        <w:r w:rsidRPr="009A1921">
          <w:rPr>
            <w:rStyle w:val="Hyperlink"/>
            <w:sz w:val="24"/>
            <w:lang w:val="da-DK"/>
          </w:rPr>
          <w:t>around</w:t>
        </w:r>
        <w:proofErr w:type="spellEnd"/>
        <w:r w:rsidRPr="009A1921">
          <w:rPr>
            <w:rStyle w:val="Hyperlink"/>
            <w:sz w:val="24"/>
            <w:lang w:val="da-DK"/>
          </w:rPr>
          <w:t xml:space="preserve"> EU </w:t>
        </w:r>
        <w:proofErr w:type="spellStart"/>
        <w:r w:rsidRPr="009A1921">
          <w:rPr>
            <w:rStyle w:val="Hyperlink"/>
            <w:sz w:val="24"/>
            <w:lang w:val="da-DK"/>
          </w:rPr>
          <w:t>recovery</w:t>
        </w:r>
        <w:proofErr w:type="spellEnd"/>
        <w:r w:rsidRPr="009A1921">
          <w:rPr>
            <w:rStyle w:val="Hyperlink"/>
            <w:sz w:val="24"/>
            <w:lang w:val="da-DK"/>
          </w:rPr>
          <w:t xml:space="preserve"> funds</w:t>
        </w:r>
      </w:hyperlink>
      <w:r w:rsidRPr="009A1921">
        <w:rPr>
          <w:sz w:val="24"/>
          <w:lang w:val="da-DK"/>
        </w:rPr>
        <w:t>" (Ombudsmanden efterlyser øget gennemsigtighed i forbindelse med EU's genopretningsmidler), den </w:t>
      </w:r>
      <w:r w:rsidRPr="004D7233">
        <w:rPr>
          <w:sz w:val="24"/>
          <w:lang w:val="da-DK"/>
        </w:rPr>
        <w:t>1</w:t>
      </w:r>
      <w:r w:rsidRPr="009A1921">
        <w:rPr>
          <w:sz w:val="24"/>
          <w:lang w:val="da-DK"/>
        </w:rPr>
        <w:t>. december </w:t>
      </w:r>
      <w:r w:rsidRPr="004D7233">
        <w:rPr>
          <w:sz w:val="24"/>
          <w:lang w:val="da-DK"/>
        </w:rPr>
        <w:t>2022</w:t>
      </w:r>
      <w:r w:rsidRPr="009A1921">
        <w:rPr>
          <w:sz w:val="24"/>
          <w:lang w:val="da-DK"/>
        </w:rPr>
        <w:t>.</w:t>
      </w:r>
    </w:p>
  </w:footnote>
  <w:footnote w:id="8">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6" w:history="1">
        <w:r w:rsidRPr="009A1921">
          <w:rPr>
            <w:rStyle w:val="Hyperlink"/>
            <w:sz w:val="24"/>
            <w:lang w:val="da-DK"/>
          </w:rPr>
          <w:t xml:space="preserve">The European </w:t>
        </w:r>
        <w:proofErr w:type="spellStart"/>
        <w:r w:rsidRPr="009A1921">
          <w:rPr>
            <w:rStyle w:val="Hyperlink"/>
            <w:sz w:val="24"/>
            <w:lang w:val="da-DK"/>
          </w:rPr>
          <w:t>Commission’s</w:t>
        </w:r>
        <w:proofErr w:type="spellEnd"/>
        <w:r w:rsidRPr="009A1921">
          <w:rPr>
            <w:rStyle w:val="Hyperlink"/>
            <w:sz w:val="24"/>
            <w:lang w:val="da-DK"/>
          </w:rPr>
          <w:t xml:space="preserve"> </w:t>
        </w:r>
        <w:proofErr w:type="spellStart"/>
        <w:r w:rsidRPr="009A1921">
          <w:rPr>
            <w:rStyle w:val="Hyperlink"/>
            <w:sz w:val="24"/>
            <w:lang w:val="da-DK"/>
          </w:rPr>
          <w:t>refusal</w:t>
        </w:r>
        <w:proofErr w:type="spellEnd"/>
        <w:r w:rsidRPr="009A1921">
          <w:rPr>
            <w:rStyle w:val="Hyperlink"/>
            <w:sz w:val="24"/>
            <w:lang w:val="da-DK"/>
          </w:rPr>
          <w:t xml:space="preserve"> to give public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documents</w:t>
        </w:r>
        <w:proofErr w:type="spellEnd"/>
        <w:r w:rsidRPr="009A1921">
          <w:rPr>
            <w:rStyle w:val="Hyperlink"/>
            <w:sz w:val="24"/>
            <w:lang w:val="da-DK"/>
          </w:rPr>
          <w:t xml:space="preserve"> </w:t>
        </w:r>
        <w:proofErr w:type="spellStart"/>
        <w:r w:rsidRPr="009A1921">
          <w:rPr>
            <w:rStyle w:val="Hyperlink"/>
            <w:sz w:val="24"/>
            <w:lang w:val="da-DK"/>
          </w:rPr>
          <w:t>related</w:t>
        </w:r>
        <w:proofErr w:type="spellEnd"/>
        <w:r w:rsidRPr="009A1921">
          <w:rPr>
            <w:rStyle w:val="Hyperlink"/>
            <w:sz w:val="24"/>
            <w:lang w:val="da-DK"/>
          </w:rPr>
          <w:t xml:space="preserve"> to </w:t>
        </w:r>
        <w:proofErr w:type="spellStart"/>
        <w:r w:rsidRPr="009A1921">
          <w:rPr>
            <w:rStyle w:val="Hyperlink"/>
            <w:sz w:val="24"/>
            <w:lang w:val="da-DK"/>
          </w:rPr>
          <w:t>its</w:t>
        </w:r>
        <w:proofErr w:type="spellEnd"/>
        <w:r w:rsidRPr="009A1921">
          <w:rPr>
            <w:rStyle w:val="Hyperlink"/>
            <w:sz w:val="24"/>
            <w:lang w:val="da-DK"/>
          </w:rPr>
          <w:t xml:space="preserve"> </w:t>
        </w:r>
        <w:proofErr w:type="spellStart"/>
        <w:r w:rsidRPr="009A1921">
          <w:rPr>
            <w:rStyle w:val="Hyperlink"/>
            <w:sz w:val="24"/>
            <w:lang w:val="da-DK"/>
          </w:rPr>
          <w:t>proposal</w:t>
        </w:r>
        <w:proofErr w:type="spellEnd"/>
        <w:r w:rsidRPr="009A1921">
          <w:rPr>
            <w:rStyle w:val="Hyperlink"/>
            <w:sz w:val="24"/>
            <w:lang w:val="da-DK"/>
          </w:rPr>
          <w:t xml:space="preserve"> for a </w:t>
        </w:r>
        <w:proofErr w:type="spellStart"/>
        <w:r w:rsidRPr="009A1921">
          <w:rPr>
            <w:rStyle w:val="Hyperlink"/>
            <w:sz w:val="24"/>
            <w:lang w:val="da-DK"/>
          </w:rPr>
          <w:t>Regulation</w:t>
        </w:r>
        <w:proofErr w:type="spellEnd"/>
        <w:r w:rsidRPr="009A1921">
          <w:rPr>
            <w:rStyle w:val="Hyperlink"/>
            <w:sz w:val="24"/>
            <w:lang w:val="da-DK"/>
          </w:rPr>
          <w:t xml:space="preserve"> on the European Health Data Space (COM(</w:t>
        </w:r>
        <w:r w:rsidRPr="004D7233">
          <w:rPr>
            <w:rStyle w:val="Hyperlink"/>
            <w:sz w:val="24"/>
            <w:lang w:val="da-DK"/>
          </w:rPr>
          <w:t>2022</w:t>
        </w:r>
        <w:r w:rsidRPr="009A1921">
          <w:rPr>
            <w:rStyle w:val="Hyperlink"/>
            <w:sz w:val="24"/>
            <w:lang w:val="da-DK"/>
          </w:rPr>
          <w:t xml:space="preserve">) </w:t>
        </w:r>
        <w:r w:rsidRPr="004D7233">
          <w:rPr>
            <w:rStyle w:val="Hyperlink"/>
            <w:sz w:val="24"/>
            <w:lang w:val="da-DK"/>
          </w:rPr>
          <w:t>197</w:t>
        </w:r>
        <w:r w:rsidRPr="009A1921">
          <w:rPr>
            <w:rStyle w:val="Hyperlink"/>
            <w:sz w:val="24"/>
            <w:lang w:val="da-DK"/>
          </w:rPr>
          <w:t xml:space="preserve"> final)</w:t>
        </w:r>
      </w:hyperlink>
      <w:r w:rsidRPr="009A1921">
        <w:rPr>
          <w:sz w:val="24"/>
          <w:lang w:val="da-DK"/>
        </w:rPr>
        <w:t>" (Kommissionens afslag på at give aktindsigt i dokumenter vedrørende dens forslag til forordning om det europæiske sundhedsdataområde (COM(</w:t>
      </w:r>
      <w:r w:rsidRPr="004D7233">
        <w:rPr>
          <w:sz w:val="24"/>
          <w:lang w:val="da-DK"/>
        </w:rPr>
        <w:t>2022</w:t>
      </w:r>
      <w:r w:rsidRPr="009A1921">
        <w:rPr>
          <w:sz w:val="24"/>
          <w:lang w:val="da-DK"/>
        </w:rPr>
        <w:t>)</w:t>
      </w:r>
      <w:r w:rsidRPr="004D7233">
        <w:rPr>
          <w:sz w:val="24"/>
          <w:lang w:val="da-DK"/>
        </w:rPr>
        <w:t>0197</w:t>
      </w:r>
      <w:r w:rsidRPr="009A1921">
        <w:rPr>
          <w:sz w:val="24"/>
          <w:lang w:val="da-DK"/>
        </w:rPr>
        <w:t xml:space="preserve">)), undersøgelse indledt den </w:t>
      </w:r>
      <w:r w:rsidRPr="004D7233">
        <w:rPr>
          <w:sz w:val="24"/>
          <w:lang w:val="da-DK"/>
        </w:rPr>
        <w:t>28</w:t>
      </w:r>
      <w:r w:rsidRPr="009A1921">
        <w:rPr>
          <w:sz w:val="24"/>
          <w:lang w:val="da-DK"/>
        </w:rPr>
        <w:t>. november </w:t>
      </w:r>
      <w:r w:rsidRPr="004D7233">
        <w:rPr>
          <w:sz w:val="24"/>
          <w:lang w:val="da-DK"/>
        </w:rPr>
        <w:t>2022</w:t>
      </w:r>
      <w:r w:rsidRPr="009A1921">
        <w:rPr>
          <w:sz w:val="24"/>
          <w:lang w:val="da-DK"/>
        </w:rPr>
        <w:t>.</w:t>
      </w:r>
    </w:p>
  </w:footnote>
  <w:footnote w:id="9">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7" w:history="1">
        <w:r w:rsidRPr="009A1921">
          <w:rPr>
            <w:rStyle w:val="Hyperlink"/>
            <w:sz w:val="24"/>
            <w:lang w:val="da-DK"/>
          </w:rPr>
          <w:t xml:space="preserve">How the European </w:t>
        </w:r>
        <w:proofErr w:type="spellStart"/>
        <w:r w:rsidRPr="009A1921">
          <w:rPr>
            <w:rStyle w:val="Hyperlink"/>
            <w:sz w:val="24"/>
            <w:lang w:val="da-DK"/>
          </w:rPr>
          <w:t>Commission</w:t>
        </w:r>
        <w:proofErr w:type="spellEnd"/>
        <w:r w:rsidRPr="009A1921">
          <w:rPr>
            <w:rStyle w:val="Hyperlink"/>
            <w:sz w:val="24"/>
            <w:lang w:val="da-DK"/>
          </w:rPr>
          <w:t xml:space="preserve"> </w:t>
        </w:r>
        <w:proofErr w:type="spellStart"/>
        <w:r w:rsidRPr="009A1921">
          <w:rPr>
            <w:rStyle w:val="Hyperlink"/>
            <w:sz w:val="24"/>
            <w:lang w:val="da-DK"/>
          </w:rPr>
          <w:t>dealt</w:t>
        </w:r>
        <w:proofErr w:type="spellEnd"/>
        <w:r w:rsidRPr="009A1921">
          <w:rPr>
            <w:rStyle w:val="Hyperlink"/>
            <w:sz w:val="24"/>
            <w:lang w:val="da-DK"/>
          </w:rPr>
          <w:t xml:space="preserve"> with a </w:t>
        </w:r>
        <w:proofErr w:type="spellStart"/>
        <w:r w:rsidRPr="009A1921">
          <w:rPr>
            <w:rStyle w:val="Hyperlink"/>
            <w:sz w:val="24"/>
            <w:lang w:val="da-DK"/>
          </w:rPr>
          <w:t>request</w:t>
        </w:r>
        <w:proofErr w:type="spellEnd"/>
        <w:r w:rsidRPr="009A1921">
          <w:rPr>
            <w:rStyle w:val="Hyperlink"/>
            <w:sz w:val="24"/>
            <w:lang w:val="da-DK"/>
          </w:rPr>
          <w:t xml:space="preserve"> for public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declarations</w:t>
        </w:r>
        <w:proofErr w:type="spellEnd"/>
        <w:r w:rsidRPr="009A1921">
          <w:rPr>
            <w:rStyle w:val="Hyperlink"/>
            <w:sz w:val="24"/>
            <w:lang w:val="da-DK"/>
          </w:rPr>
          <w:t xml:space="preserve"> of </w:t>
        </w:r>
        <w:proofErr w:type="spellStart"/>
        <w:r w:rsidRPr="009A1921">
          <w:rPr>
            <w:rStyle w:val="Hyperlink"/>
            <w:sz w:val="24"/>
            <w:lang w:val="da-DK"/>
          </w:rPr>
          <w:t>interests</w:t>
        </w:r>
        <w:proofErr w:type="spellEnd"/>
        <w:r w:rsidRPr="009A1921">
          <w:rPr>
            <w:rStyle w:val="Hyperlink"/>
            <w:sz w:val="24"/>
            <w:lang w:val="da-DK"/>
          </w:rPr>
          <w:t xml:space="preserve"> of the </w:t>
        </w:r>
        <w:proofErr w:type="spellStart"/>
        <w:r w:rsidRPr="009A1921">
          <w:rPr>
            <w:rStyle w:val="Hyperlink"/>
            <w:sz w:val="24"/>
            <w:lang w:val="da-DK"/>
          </w:rPr>
          <w:t>members</w:t>
        </w:r>
        <w:proofErr w:type="spellEnd"/>
        <w:r w:rsidRPr="009A1921">
          <w:rPr>
            <w:rStyle w:val="Hyperlink"/>
            <w:sz w:val="24"/>
            <w:lang w:val="da-DK"/>
          </w:rPr>
          <w:t xml:space="preserve"> of </w:t>
        </w:r>
        <w:proofErr w:type="spellStart"/>
        <w:r w:rsidRPr="009A1921">
          <w:rPr>
            <w:rStyle w:val="Hyperlink"/>
            <w:sz w:val="24"/>
            <w:lang w:val="da-DK"/>
          </w:rPr>
          <w:t>its</w:t>
        </w:r>
        <w:proofErr w:type="spellEnd"/>
        <w:r w:rsidRPr="009A1921">
          <w:rPr>
            <w:rStyle w:val="Hyperlink"/>
            <w:sz w:val="24"/>
            <w:lang w:val="da-DK"/>
          </w:rPr>
          <w:t xml:space="preserve"> </w:t>
        </w:r>
        <w:proofErr w:type="spellStart"/>
        <w:r w:rsidRPr="009A1921">
          <w:rPr>
            <w:rStyle w:val="Hyperlink"/>
            <w:sz w:val="24"/>
            <w:lang w:val="da-DK"/>
          </w:rPr>
          <w:t>Regulatory</w:t>
        </w:r>
        <w:proofErr w:type="spellEnd"/>
        <w:r w:rsidRPr="009A1921">
          <w:rPr>
            <w:rStyle w:val="Hyperlink"/>
            <w:sz w:val="24"/>
            <w:lang w:val="da-DK"/>
          </w:rPr>
          <w:t xml:space="preserve"> </w:t>
        </w:r>
        <w:proofErr w:type="spellStart"/>
        <w:r w:rsidRPr="009A1921">
          <w:rPr>
            <w:rStyle w:val="Hyperlink"/>
            <w:sz w:val="24"/>
            <w:lang w:val="da-DK"/>
          </w:rPr>
          <w:t>Scrutiny</w:t>
        </w:r>
        <w:proofErr w:type="spellEnd"/>
        <w:r w:rsidRPr="009A1921">
          <w:rPr>
            <w:rStyle w:val="Hyperlink"/>
            <w:sz w:val="24"/>
            <w:lang w:val="da-DK"/>
          </w:rPr>
          <w:t xml:space="preserve"> Board</w:t>
        </w:r>
      </w:hyperlink>
      <w:r w:rsidRPr="009A1921">
        <w:rPr>
          <w:sz w:val="24"/>
          <w:lang w:val="da-DK"/>
        </w:rPr>
        <w:t xml:space="preserve">" (Europa-Kommissionens behandling af en anmodning om aktindsigt i interesseerklæringer fra medlemmerne af Udvalget for </w:t>
      </w:r>
      <w:proofErr w:type="spellStart"/>
      <w:r w:rsidRPr="009A1921">
        <w:rPr>
          <w:sz w:val="24"/>
          <w:lang w:val="da-DK"/>
        </w:rPr>
        <w:t>Forskriftskontrol</w:t>
      </w:r>
      <w:proofErr w:type="spellEnd"/>
      <w:r w:rsidRPr="009A1921">
        <w:rPr>
          <w:sz w:val="24"/>
          <w:lang w:val="da-DK"/>
        </w:rPr>
        <w:t xml:space="preserve">), afgørelse truffet den </w:t>
      </w:r>
      <w:r w:rsidRPr="004D7233">
        <w:rPr>
          <w:sz w:val="24"/>
          <w:lang w:val="da-DK"/>
        </w:rPr>
        <w:t>20</w:t>
      </w:r>
      <w:r w:rsidRPr="009A1921">
        <w:rPr>
          <w:sz w:val="24"/>
          <w:lang w:val="da-DK"/>
        </w:rPr>
        <w:t>. december </w:t>
      </w:r>
      <w:r w:rsidRPr="004D7233">
        <w:rPr>
          <w:sz w:val="24"/>
          <w:lang w:val="da-DK"/>
        </w:rPr>
        <w:t>2022</w:t>
      </w:r>
      <w:r w:rsidRPr="009A1921">
        <w:rPr>
          <w:sz w:val="24"/>
          <w:lang w:val="da-DK"/>
        </w:rPr>
        <w:t>.</w:t>
      </w:r>
    </w:p>
  </w:footnote>
  <w:footnote w:id="10">
    <w:p w:rsidR="00A07886" w:rsidRPr="009A1921" w:rsidRDefault="00A07886" w:rsidP="009A1921">
      <w:pPr>
        <w:pStyle w:val="FootnoteText"/>
        <w:ind w:left="567" w:hanging="567"/>
        <w:rPr>
          <w:sz w:val="24"/>
          <w:szCs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Den Europæiske Ombudsmand, "</w:t>
      </w:r>
      <w:hyperlink r:id="rId8" w:history="1">
        <w:r w:rsidRPr="009A1921">
          <w:rPr>
            <w:rStyle w:val="Hyperlink"/>
            <w:sz w:val="24"/>
            <w:lang w:val="da-DK"/>
          </w:rPr>
          <w:t xml:space="preserve">Ombudsman </w:t>
        </w:r>
        <w:proofErr w:type="spellStart"/>
        <w:r w:rsidRPr="009A1921">
          <w:rPr>
            <w:rStyle w:val="Hyperlink"/>
            <w:sz w:val="24"/>
            <w:lang w:val="da-DK"/>
          </w:rPr>
          <w:t>opens</w:t>
        </w:r>
        <w:proofErr w:type="spellEnd"/>
        <w:r w:rsidRPr="009A1921">
          <w:rPr>
            <w:rStyle w:val="Hyperlink"/>
            <w:sz w:val="24"/>
            <w:lang w:val="da-DK"/>
          </w:rPr>
          <w:t xml:space="preserve"> </w:t>
        </w:r>
        <w:proofErr w:type="spellStart"/>
        <w:r w:rsidRPr="009A1921">
          <w:rPr>
            <w:rStyle w:val="Hyperlink"/>
            <w:sz w:val="24"/>
            <w:lang w:val="da-DK"/>
          </w:rPr>
          <w:t>inquiry</w:t>
        </w:r>
        <w:proofErr w:type="spellEnd"/>
        <w:r w:rsidRPr="009A1921">
          <w:rPr>
            <w:rStyle w:val="Hyperlink"/>
            <w:sz w:val="24"/>
            <w:lang w:val="da-DK"/>
          </w:rPr>
          <w:t xml:space="preserve"> </w:t>
        </w:r>
        <w:proofErr w:type="spellStart"/>
        <w:r w:rsidRPr="009A1921">
          <w:rPr>
            <w:rStyle w:val="Hyperlink"/>
            <w:sz w:val="24"/>
            <w:lang w:val="da-DK"/>
          </w:rPr>
          <w:t>into</w:t>
        </w:r>
        <w:proofErr w:type="spellEnd"/>
        <w:r w:rsidRPr="009A1921">
          <w:rPr>
            <w:rStyle w:val="Hyperlink"/>
            <w:sz w:val="24"/>
            <w:lang w:val="da-DK"/>
          </w:rPr>
          <w:t xml:space="preserve"> time </w:t>
        </w:r>
        <w:proofErr w:type="spellStart"/>
        <w:r w:rsidRPr="009A1921">
          <w:rPr>
            <w:rStyle w:val="Hyperlink"/>
            <w:sz w:val="24"/>
            <w:lang w:val="da-DK"/>
          </w:rPr>
          <w:t>taken</w:t>
        </w:r>
        <w:proofErr w:type="spellEnd"/>
        <w:r w:rsidRPr="009A1921">
          <w:rPr>
            <w:rStyle w:val="Hyperlink"/>
            <w:sz w:val="24"/>
            <w:lang w:val="da-DK"/>
          </w:rPr>
          <w:t xml:space="preserve"> by </w:t>
        </w:r>
        <w:proofErr w:type="spellStart"/>
        <w:r w:rsidRPr="009A1921">
          <w:rPr>
            <w:rStyle w:val="Hyperlink"/>
            <w:sz w:val="24"/>
            <w:lang w:val="da-DK"/>
          </w:rPr>
          <w:t>Commission</w:t>
        </w:r>
        <w:proofErr w:type="spellEnd"/>
        <w:r w:rsidRPr="009A1921">
          <w:rPr>
            <w:rStyle w:val="Hyperlink"/>
            <w:sz w:val="24"/>
            <w:lang w:val="da-DK"/>
          </w:rPr>
          <w:t xml:space="preserve"> to deal with </w:t>
        </w:r>
        <w:proofErr w:type="spellStart"/>
        <w:r w:rsidRPr="009A1921">
          <w:rPr>
            <w:rStyle w:val="Hyperlink"/>
            <w:sz w:val="24"/>
            <w:lang w:val="da-DK"/>
          </w:rPr>
          <w:t>access</w:t>
        </w:r>
        <w:proofErr w:type="spellEnd"/>
        <w:r w:rsidRPr="009A1921">
          <w:rPr>
            <w:rStyle w:val="Hyperlink"/>
            <w:sz w:val="24"/>
            <w:lang w:val="da-DK"/>
          </w:rPr>
          <w:t xml:space="preserve"> to </w:t>
        </w:r>
        <w:proofErr w:type="spellStart"/>
        <w:r w:rsidRPr="009A1921">
          <w:rPr>
            <w:rStyle w:val="Hyperlink"/>
            <w:sz w:val="24"/>
            <w:lang w:val="da-DK"/>
          </w:rPr>
          <w:t>documents</w:t>
        </w:r>
        <w:proofErr w:type="spellEnd"/>
        <w:r w:rsidRPr="009A1921">
          <w:rPr>
            <w:rStyle w:val="Hyperlink"/>
            <w:sz w:val="24"/>
            <w:lang w:val="da-DK"/>
          </w:rPr>
          <w:t xml:space="preserve"> </w:t>
        </w:r>
        <w:proofErr w:type="spellStart"/>
        <w:r w:rsidRPr="009A1921">
          <w:rPr>
            <w:rStyle w:val="Hyperlink"/>
            <w:sz w:val="24"/>
            <w:lang w:val="da-DK"/>
          </w:rPr>
          <w:t>requests</w:t>
        </w:r>
        <w:proofErr w:type="spellEnd"/>
      </w:hyperlink>
      <w:r w:rsidRPr="009A1921">
        <w:rPr>
          <w:sz w:val="24"/>
          <w:lang w:val="da-DK"/>
        </w:rPr>
        <w:t xml:space="preserve">" (Ombudsmanden indleder en undersøgelse af den tid, det tager Kommissionen at behandle anmodninger om aktindsigt), den </w:t>
      </w:r>
      <w:r w:rsidRPr="004D7233">
        <w:rPr>
          <w:sz w:val="24"/>
          <w:lang w:val="da-DK"/>
        </w:rPr>
        <w:t>6</w:t>
      </w:r>
      <w:r w:rsidRPr="009A1921">
        <w:rPr>
          <w:sz w:val="24"/>
          <w:lang w:val="da-DK"/>
        </w:rPr>
        <w:t>. april </w:t>
      </w:r>
      <w:r w:rsidRPr="004D7233">
        <w:rPr>
          <w:sz w:val="24"/>
          <w:lang w:val="da-DK"/>
        </w:rPr>
        <w:t>2022</w:t>
      </w:r>
      <w:r w:rsidRPr="009A1921">
        <w:rPr>
          <w:sz w:val="24"/>
          <w:lang w:val="da-DK"/>
        </w:rPr>
        <w:t>.</w:t>
      </w:r>
    </w:p>
  </w:footnote>
  <w:footnote w:id="11">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 xml:space="preserve">Europa-Parlamentets og Rådets forordning (EF) nr. </w:t>
      </w:r>
      <w:r w:rsidRPr="004D7233">
        <w:rPr>
          <w:sz w:val="24"/>
          <w:lang w:val="da-DK"/>
        </w:rPr>
        <w:t>1049</w:t>
      </w:r>
      <w:r w:rsidRPr="009A1921">
        <w:rPr>
          <w:sz w:val="24"/>
          <w:lang w:val="da-DK"/>
        </w:rPr>
        <w:t>/</w:t>
      </w:r>
      <w:r w:rsidRPr="004D7233">
        <w:rPr>
          <w:sz w:val="24"/>
          <w:lang w:val="da-DK"/>
        </w:rPr>
        <w:t>2001</w:t>
      </w:r>
      <w:r w:rsidRPr="009A1921">
        <w:rPr>
          <w:sz w:val="24"/>
          <w:lang w:val="da-DK"/>
        </w:rPr>
        <w:t xml:space="preserve"> af </w:t>
      </w:r>
      <w:r w:rsidRPr="004D7233">
        <w:rPr>
          <w:sz w:val="24"/>
          <w:lang w:val="da-DK"/>
        </w:rPr>
        <w:t>30</w:t>
      </w:r>
      <w:r w:rsidRPr="009A1921">
        <w:rPr>
          <w:sz w:val="24"/>
          <w:lang w:val="da-DK"/>
        </w:rPr>
        <w:t xml:space="preserve">. maj </w:t>
      </w:r>
      <w:r w:rsidRPr="004D7233">
        <w:rPr>
          <w:sz w:val="24"/>
          <w:lang w:val="da-DK"/>
        </w:rPr>
        <w:t>2001</w:t>
      </w:r>
      <w:r w:rsidRPr="009A1921">
        <w:rPr>
          <w:sz w:val="24"/>
          <w:lang w:val="da-DK"/>
        </w:rPr>
        <w:t xml:space="preserve"> om aktindsigt i Europa-Parlamentets, Rådets og Kommissionens dokumenter (EFT L </w:t>
      </w:r>
      <w:r w:rsidRPr="004D7233">
        <w:rPr>
          <w:sz w:val="24"/>
          <w:lang w:val="da-DK"/>
        </w:rPr>
        <w:t>145</w:t>
      </w:r>
      <w:r w:rsidRPr="009A1921">
        <w:rPr>
          <w:sz w:val="24"/>
          <w:lang w:val="da-DK"/>
        </w:rPr>
        <w:t xml:space="preserve"> af </w:t>
      </w:r>
      <w:r w:rsidRPr="004D7233">
        <w:rPr>
          <w:sz w:val="24"/>
          <w:lang w:val="da-DK"/>
        </w:rPr>
        <w:t>31</w:t>
      </w:r>
      <w:r w:rsidRPr="009A1921">
        <w:rPr>
          <w:sz w:val="24"/>
          <w:lang w:val="da-DK"/>
        </w:rPr>
        <w:t>.</w:t>
      </w:r>
      <w:r w:rsidRPr="004D7233">
        <w:rPr>
          <w:sz w:val="24"/>
          <w:lang w:val="da-DK"/>
        </w:rPr>
        <w:t>5</w:t>
      </w:r>
      <w:r w:rsidRPr="009A1921">
        <w:rPr>
          <w:sz w:val="24"/>
          <w:lang w:val="da-DK"/>
        </w:rPr>
        <w:t>.</w:t>
      </w:r>
      <w:r w:rsidRPr="004D7233">
        <w:rPr>
          <w:sz w:val="24"/>
          <w:lang w:val="da-DK"/>
        </w:rPr>
        <w:t>2001</w:t>
      </w:r>
      <w:r w:rsidRPr="009A1921">
        <w:rPr>
          <w:sz w:val="24"/>
          <w:lang w:val="da-DK"/>
        </w:rPr>
        <w:t xml:space="preserve">, s. </w:t>
      </w:r>
      <w:r w:rsidRPr="004D7233">
        <w:rPr>
          <w:sz w:val="24"/>
          <w:lang w:val="da-DK"/>
        </w:rPr>
        <w:t>43</w:t>
      </w:r>
      <w:r w:rsidRPr="009A1921">
        <w:rPr>
          <w:sz w:val="24"/>
          <w:lang w:val="da-DK"/>
        </w:rPr>
        <w:t>).</w:t>
      </w:r>
    </w:p>
  </w:footnote>
  <w:footnote w:id="12">
    <w:p w:rsidR="00A07886" w:rsidRPr="009A1921" w:rsidRDefault="00A07886" w:rsidP="009A1921">
      <w:pPr>
        <w:pStyle w:val="FootnoteText"/>
        <w:ind w:left="567" w:hanging="567"/>
        <w:rPr>
          <w:sz w:val="24"/>
          <w:lang w:val="da-DK"/>
        </w:rPr>
      </w:pPr>
      <w:r w:rsidRPr="009A1921">
        <w:rPr>
          <w:rStyle w:val="FootnoteReference"/>
          <w:sz w:val="24"/>
          <w:lang w:val="da-DK"/>
        </w:rPr>
        <w:footnoteRef/>
      </w:r>
      <w:r w:rsidR="009A1921" w:rsidRPr="009A1921">
        <w:rPr>
          <w:sz w:val="24"/>
          <w:lang w:val="da-DK"/>
        </w:rPr>
        <w:t xml:space="preserve"> </w:t>
      </w:r>
      <w:r w:rsidR="009A1921" w:rsidRPr="009A1921">
        <w:rPr>
          <w:sz w:val="24"/>
          <w:lang w:val="da-DK"/>
        </w:rPr>
        <w:tab/>
      </w:r>
      <w:r w:rsidRPr="009A1921">
        <w:rPr>
          <w:sz w:val="24"/>
          <w:lang w:val="da-DK"/>
        </w:rPr>
        <w:t xml:space="preserve">Europa-Parlamentets og Rådets forordning (EU) </w:t>
      </w:r>
      <w:r w:rsidRPr="004D7233">
        <w:rPr>
          <w:sz w:val="24"/>
          <w:lang w:val="da-DK"/>
        </w:rPr>
        <w:t>2019</w:t>
      </w:r>
      <w:r w:rsidRPr="009A1921">
        <w:rPr>
          <w:sz w:val="24"/>
          <w:lang w:val="da-DK"/>
        </w:rPr>
        <w:t>/</w:t>
      </w:r>
      <w:r w:rsidRPr="004D7233">
        <w:rPr>
          <w:sz w:val="24"/>
          <w:lang w:val="da-DK"/>
        </w:rPr>
        <w:t>1896</w:t>
      </w:r>
      <w:r w:rsidRPr="009A1921">
        <w:rPr>
          <w:sz w:val="24"/>
          <w:lang w:val="da-DK"/>
        </w:rPr>
        <w:t xml:space="preserve"> af </w:t>
      </w:r>
      <w:r w:rsidRPr="004D7233">
        <w:rPr>
          <w:sz w:val="24"/>
          <w:lang w:val="da-DK"/>
        </w:rPr>
        <w:t>13</w:t>
      </w:r>
      <w:r w:rsidRPr="009A1921">
        <w:rPr>
          <w:sz w:val="24"/>
          <w:lang w:val="da-DK"/>
        </w:rPr>
        <w:t xml:space="preserve">. november </w:t>
      </w:r>
      <w:r w:rsidRPr="004D7233">
        <w:rPr>
          <w:sz w:val="24"/>
          <w:lang w:val="da-DK"/>
        </w:rPr>
        <w:t>2019</w:t>
      </w:r>
      <w:r w:rsidRPr="009A1921">
        <w:rPr>
          <w:sz w:val="24"/>
          <w:lang w:val="da-DK"/>
        </w:rPr>
        <w:t xml:space="preserve"> om den europæiske grænse- og kystvagt og om ophævelse af forordning (EU) nr. </w:t>
      </w:r>
      <w:r w:rsidRPr="004D7233">
        <w:rPr>
          <w:sz w:val="24"/>
          <w:lang w:val="da-DK"/>
        </w:rPr>
        <w:t>1052</w:t>
      </w:r>
      <w:r w:rsidRPr="009A1921">
        <w:rPr>
          <w:sz w:val="24"/>
          <w:lang w:val="da-DK"/>
        </w:rPr>
        <w:t>/</w:t>
      </w:r>
      <w:r w:rsidRPr="004D7233">
        <w:rPr>
          <w:sz w:val="24"/>
          <w:lang w:val="da-DK"/>
        </w:rPr>
        <w:t>2013</w:t>
      </w:r>
      <w:r w:rsidRPr="009A1921">
        <w:rPr>
          <w:sz w:val="24"/>
          <w:lang w:val="da-DK"/>
        </w:rPr>
        <w:t xml:space="preserve"> og (EU) </w:t>
      </w:r>
      <w:r w:rsidRPr="004D7233">
        <w:rPr>
          <w:sz w:val="24"/>
          <w:lang w:val="da-DK"/>
        </w:rPr>
        <w:t>2016</w:t>
      </w:r>
      <w:r w:rsidRPr="009A1921">
        <w:rPr>
          <w:sz w:val="24"/>
          <w:lang w:val="da-DK"/>
        </w:rPr>
        <w:t>/</w:t>
      </w:r>
      <w:r w:rsidRPr="004D7233">
        <w:rPr>
          <w:sz w:val="24"/>
          <w:lang w:val="da-DK"/>
        </w:rPr>
        <w:t>1624</w:t>
      </w:r>
      <w:r w:rsidRPr="009A1921">
        <w:rPr>
          <w:sz w:val="24"/>
          <w:lang w:val="da-DK"/>
        </w:rPr>
        <w:t xml:space="preserve"> (EUT L </w:t>
      </w:r>
      <w:r w:rsidRPr="004D7233">
        <w:rPr>
          <w:sz w:val="24"/>
          <w:lang w:val="da-DK"/>
        </w:rPr>
        <w:t>295</w:t>
      </w:r>
      <w:r w:rsidRPr="009A1921">
        <w:rPr>
          <w:sz w:val="24"/>
          <w:lang w:val="da-DK"/>
        </w:rPr>
        <w:t xml:space="preserve"> af </w:t>
      </w:r>
      <w:r w:rsidRPr="004D7233">
        <w:rPr>
          <w:sz w:val="24"/>
          <w:lang w:val="da-DK"/>
        </w:rPr>
        <w:t>14</w:t>
      </w:r>
      <w:r w:rsidRPr="009A1921">
        <w:rPr>
          <w:sz w:val="24"/>
          <w:lang w:val="da-DK"/>
        </w:rPr>
        <w:t>.</w:t>
      </w:r>
      <w:r w:rsidRPr="004D7233">
        <w:rPr>
          <w:sz w:val="24"/>
          <w:lang w:val="da-DK"/>
        </w:rPr>
        <w:t>11</w:t>
      </w:r>
      <w:r w:rsidRPr="009A1921">
        <w:rPr>
          <w:sz w:val="24"/>
          <w:lang w:val="da-DK"/>
        </w:rPr>
        <w:t>.</w:t>
      </w:r>
      <w:r w:rsidRPr="004D7233">
        <w:rPr>
          <w:sz w:val="24"/>
          <w:lang w:val="da-DK"/>
        </w:rPr>
        <w:t>2019</w:t>
      </w:r>
      <w:r w:rsidRPr="009A1921">
        <w:rPr>
          <w:sz w:val="24"/>
          <w:lang w:val="da-DK"/>
        </w:rPr>
        <w:t>, s. </w:t>
      </w:r>
      <w:r w:rsidRPr="004D7233">
        <w:rPr>
          <w:sz w:val="24"/>
          <w:lang w:val="da-DK"/>
        </w:rPr>
        <w:t>1</w:t>
      </w:r>
      <w:r w:rsidRPr="009A192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9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DA"/>
    <w:docVar w:name="dvnumam" w:val="0"/>
    <w:docVar w:name="dvpe" w:val="751.674"/>
    <w:docVar w:name="dvrapporteur" w:val="Ordfører: "/>
    <w:docVar w:name="dvtitre" w:val="Europa-Parlamentets beslutning af xx. januar 2024 om Den Europæiske Ombudsmands virksomhed – årsberetning 2022(2023/2120(INI))"/>
  </w:docVars>
  <w:rsids>
    <w:rsidRoot w:val="00695367"/>
    <w:rsid w:val="00002272"/>
    <w:rsid w:val="000113E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EF7"/>
    <w:rsid w:val="004867E3"/>
    <w:rsid w:val="00494A28"/>
    <w:rsid w:val="004C0004"/>
    <w:rsid w:val="004C2557"/>
    <w:rsid w:val="004C5D52"/>
    <w:rsid w:val="004D7233"/>
    <w:rsid w:val="0050519A"/>
    <w:rsid w:val="005072A1"/>
    <w:rsid w:val="00514517"/>
    <w:rsid w:val="00545827"/>
    <w:rsid w:val="00560270"/>
    <w:rsid w:val="005C2568"/>
    <w:rsid w:val="006037C0"/>
    <w:rsid w:val="006631B6"/>
    <w:rsid w:val="00680577"/>
    <w:rsid w:val="00695367"/>
    <w:rsid w:val="006F74FA"/>
    <w:rsid w:val="00731ADD"/>
    <w:rsid w:val="00734777"/>
    <w:rsid w:val="00747932"/>
    <w:rsid w:val="00751A4A"/>
    <w:rsid w:val="00756632"/>
    <w:rsid w:val="00762C74"/>
    <w:rsid w:val="00786EC0"/>
    <w:rsid w:val="007D1690"/>
    <w:rsid w:val="007D6A3A"/>
    <w:rsid w:val="007E22AD"/>
    <w:rsid w:val="00817416"/>
    <w:rsid w:val="00842779"/>
    <w:rsid w:val="00865F67"/>
    <w:rsid w:val="00881A7B"/>
    <w:rsid w:val="008840E5"/>
    <w:rsid w:val="00887B3E"/>
    <w:rsid w:val="008C2AC6"/>
    <w:rsid w:val="00930C23"/>
    <w:rsid w:val="0093193B"/>
    <w:rsid w:val="009509D8"/>
    <w:rsid w:val="00950B64"/>
    <w:rsid w:val="00981893"/>
    <w:rsid w:val="009A1921"/>
    <w:rsid w:val="00A0788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7F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51415"/>
  <w15:chartTrackingRefBased/>
  <w15:docId w15:val="{4DD45AF1-579E-425F-9AD8-A9988ECC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7886"/>
    <w:pPr>
      <w:spacing w:before="480" w:after="240"/>
    </w:pPr>
  </w:style>
  <w:style w:type="paragraph" w:customStyle="1" w:styleId="NormalHanging12a">
    <w:name w:val="NormalHanging12a"/>
    <w:basedOn w:val="Normal"/>
    <w:link w:val="NormalHanging12aChar"/>
    <w:rsid w:val="00A07886"/>
    <w:pPr>
      <w:spacing w:after="240"/>
      <w:ind w:left="567" w:hanging="567"/>
    </w:pPr>
  </w:style>
  <w:style w:type="character" w:customStyle="1" w:styleId="NormalHanging12aChar">
    <w:name w:val="NormalHanging12a Char"/>
    <w:basedOn w:val="DefaultParagraphFont"/>
    <w:link w:val="NormalHanging12a"/>
    <w:locked/>
    <w:rsid w:val="00A07886"/>
    <w:rPr>
      <w:sz w:val="24"/>
      <w:lang w:val="da-DK"/>
    </w:rPr>
  </w:style>
  <w:style w:type="character" w:customStyle="1" w:styleId="graphbold">
    <w:name w:val="graph bold"/>
    <w:basedOn w:val="DefaultParagraphFont"/>
    <w:uiPriority w:val="1"/>
    <w:qFormat/>
    <w:rsid w:val="00A07886"/>
    <w:rPr>
      <w:rFonts w:ascii="Arial" w:hAnsi="Arial" w:cs="Arial" w:hint="default"/>
      <w:b/>
      <w:bCs w:val="0"/>
      <w:sz w:val="16"/>
    </w:rPr>
  </w:style>
  <w:style w:type="character" w:styleId="Hyperlink">
    <w:name w:val="Hyperlink"/>
    <w:basedOn w:val="DefaultParagraphFont"/>
    <w:uiPriority w:val="99"/>
    <w:unhideWhenUsed/>
    <w:rsid w:val="00A07886"/>
    <w:rPr>
      <w:rFonts w:cs="Times New Roman"/>
      <w:color w:val="0563C1" w:themeColor="hyperlink"/>
      <w:u w:val="single"/>
    </w:rPr>
  </w:style>
  <w:style w:type="paragraph" w:styleId="BalloonText">
    <w:name w:val="Balloon Text"/>
    <w:basedOn w:val="Normal"/>
    <w:link w:val="BalloonTextChar"/>
    <w:rsid w:val="004D7233"/>
    <w:rPr>
      <w:rFonts w:ascii="Segoe UI" w:hAnsi="Segoe UI" w:cs="Segoe UI"/>
      <w:sz w:val="18"/>
      <w:szCs w:val="18"/>
    </w:rPr>
  </w:style>
  <w:style w:type="character" w:customStyle="1" w:styleId="BalloonTextChar">
    <w:name w:val="Balloon Text Char"/>
    <w:basedOn w:val="DefaultParagraphFont"/>
    <w:link w:val="BalloonText"/>
    <w:rsid w:val="004D723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da/news-document/en/154486" TargetMode="External"/><Relationship Id="rId3" Type="http://schemas.openxmlformats.org/officeDocument/2006/relationships/hyperlink" Target="https://www.ombudsman.europa.eu/da/news-document/en/153137" TargetMode="External"/><Relationship Id="rId7" Type="http://schemas.openxmlformats.org/officeDocument/2006/relationships/hyperlink" Target="https://www.ombudsman.europa.eu/da/opening-summary/en/163838" TargetMode="External"/><Relationship Id="rId2" Type="http://schemas.openxmlformats.org/officeDocument/2006/relationships/hyperlink" Target="https://www.ombudsman.europa.eu/da/news-document/en/151742" TargetMode="External"/><Relationship Id="rId1" Type="http://schemas.openxmlformats.org/officeDocument/2006/relationships/hyperlink" Target="https://www.ombudsman.europa.eu/da/decision/en/158295" TargetMode="External"/><Relationship Id="rId6" Type="http://schemas.openxmlformats.org/officeDocument/2006/relationships/hyperlink" Target="https://www.ombudsman.europa.eu/da/case/en/62762" TargetMode="External"/><Relationship Id="rId5" Type="http://schemas.openxmlformats.org/officeDocument/2006/relationships/hyperlink" Target="https://www.ombudsman.europa.eu/da/news-document/en/163567" TargetMode="External"/><Relationship Id="rId4" Type="http://schemas.openxmlformats.org/officeDocument/2006/relationships/hyperlink" Target="https://www.ombudsman.europa.eu/da/decision/en/175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9019-152D-4AB1-AF4B-ECEDC465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3810</Words>
  <Characters>24787</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2024-01-17T12:12:00Z</dcterms:created>
  <dcterms:modified xsi:type="dcterms:W3CDTF">2024-01-17T12:12:00Z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A9-0414/2023</vt:lpwstr>
  </property>
  <property fmtid="{D5CDD505-2E9C-101B-9397-08002B2CF9AE}" pid="4" name="&lt;Type&gt;">
    <vt:lpwstr>RR</vt:lpwstr>
  </property>
</Properties>
</file>