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0CA1" w:rsidTr="0010095E">
        <w:trPr>
          <w:trHeight w:hRule="exact" w:val="1418"/>
        </w:trPr>
        <w:tc>
          <w:tcPr>
            <w:tcW w:w="6804" w:type="dxa"/>
            <w:shd w:val="clear" w:color="auto" w:fill="auto"/>
            <w:vAlign w:val="center"/>
          </w:tcPr>
          <w:p w:rsidR="00751A4A" w:rsidRPr="00120CA1" w:rsidRDefault="00FA16F6" w:rsidP="0010095E">
            <w:pPr>
              <w:pStyle w:val="EPName"/>
            </w:pPr>
            <w:r w:rsidRPr="00120CA1">
              <w:t>Europos Parlamentas</w:t>
            </w:r>
          </w:p>
          <w:p w:rsidR="00751A4A" w:rsidRPr="00120CA1" w:rsidRDefault="00817416" w:rsidP="00756632">
            <w:pPr>
              <w:pStyle w:val="EPTerm"/>
              <w:rPr>
                <w:rStyle w:val="HideTWBExt"/>
                <w:noProof w:val="0"/>
                <w:vanish w:val="0"/>
                <w:color w:val="auto"/>
              </w:rPr>
            </w:pPr>
            <w:r w:rsidRPr="00120CA1">
              <w:t>2019-2024</w:t>
            </w:r>
          </w:p>
        </w:tc>
        <w:tc>
          <w:tcPr>
            <w:tcW w:w="2268" w:type="dxa"/>
            <w:shd w:val="clear" w:color="auto" w:fill="auto"/>
          </w:tcPr>
          <w:p w:rsidR="00751A4A" w:rsidRPr="00120CA1" w:rsidRDefault="00187494" w:rsidP="0010095E">
            <w:pPr>
              <w:pStyle w:val="EPLogo"/>
            </w:pPr>
            <w:r w:rsidRPr="00120C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0CA1" w:rsidRDefault="00D058B8" w:rsidP="004C5D52">
      <w:pPr>
        <w:pStyle w:val="LineTop"/>
      </w:pPr>
    </w:p>
    <w:p w:rsidR="00680577" w:rsidRPr="00120CA1" w:rsidRDefault="00FA16F6" w:rsidP="00680577">
      <w:pPr>
        <w:pStyle w:val="EPBodyTA1"/>
      </w:pPr>
      <w:r w:rsidRPr="00120CA1">
        <w:t>PRIIMTI TEKSTAI</w:t>
      </w:r>
    </w:p>
    <w:p w:rsidR="00D058B8" w:rsidRPr="00120CA1" w:rsidRDefault="00D058B8" w:rsidP="00D058B8">
      <w:pPr>
        <w:pStyle w:val="LineBottom"/>
      </w:pPr>
    </w:p>
    <w:p w:rsidR="00FA16F6" w:rsidRPr="00120CA1" w:rsidRDefault="00FA16F6" w:rsidP="00FA16F6">
      <w:pPr>
        <w:pStyle w:val="ATHeading1"/>
      </w:pPr>
      <w:bookmarkStart w:id="0" w:name="TANumber"/>
      <w:r w:rsidRPr="00120CA1">
        <w:t>P9_TA(2024)00</w:t>
      </w:r>
      <w:r w:rsidR="0024598D">
        <w:t>35</w:t>
      </w:r>
      <w:bookmarkEnd w:id="0"/>
    </w:p>
    <w:p w:rsidR="00FA16F6" w:rsidRPr="00120CA1" w:rsidRDefault="00FA16F6" w:rsidP="00FA16F6">
      <w:pPr>
        <w:pStyle w:val="ATHeading2"/>
      </w:pPr>
      <w:bookmarkStart w:id="1" w:name="title"/>
      <w:r w:rsidRPr="00120CA1">
        <w:t>Metinis pranešimas apie Europos ombudsmeno 2022 m. veiklą</w:t>
      </w:r>
      <w:bookmarkEnd w:id="1"/>
    </w:p>
    <w:p w:rsidR="00FA16F6" w:rsidRPr="00120CA1" w:rsidRDefault="00FA16F6" w:rsidP="00FA16F6">
      <w:pPr>
        <w:rPr>
          <w:i/>
          <w:vanish/>
        </w:rPr>
      </w:pPr>
      <w:r w:rsidRPr="00120CA1">
        <w:rPr>
          <w:i/>
        </w:rPr>
        <w:fldChar w:fldCharType="begin"/>
      </w:r>
      <w:r w:rsidRPr="00120CA1">
        <w:rPr>
          <w:i/>
        </w:rPr>
        <w:instrText xml:space="preserve"> TC"(</w:instrText>
      </w:r>
      <w:bookmarkStart w:id="2" w:name="DocNumber"/>
      <w:r w:rsidRPr="00120CA1">
        <w:rPr>
          <w:i/>
        </w:rPr>
        <w:instrText>A9-0414/202</w:instrText>
      </w:r>
      <w:bookmarkEnd w:id="2"/>
      <w:r w:rsidR="00827DD7">
        <w:rPr>
          <w:i/>
        </w:rPr>
        <w:instrText>3</w:instrText>
      </w:r>
      <w:r w:rsidRPr="00120CA1">
        <w:rPr>
          <w:i/>
        </w:rPr>
        <w:instrText xml:space="preserve"> - Pranešėjas: Peter Jahr)"\l3 \n&gt; \* MERGEFORMAT </w:instrText>
      </w:r>
      <w:r w:rsidRPr="00120CA1">
        <w:rPr>
          <w:i/>
        </w:rPr>
        <w:fldChar w:fldCharType="end"/>
      </w:r>
    </w:p>
    <w:p w:rsidR="00FA16F6" w:rsidRPr="00120CA1" w:rsidRDefault="00FA16F6" w:rsidP="00FA16F6">
      <w:pPr>
        <w:rPr>
          <w:vanish/>
        </w:rPr>
      </w:pPr>
      <w:bookmarkStart w:id="3" w:name="Commission"/>
      <w:r w:rsidRPr="00120CA1">
        <w:rPr>
          <w:vanish/>
        </w:rPr>
        <w:t>Peticijų komitetas</w:t>
      </w:r>
      <w:bookmarkEnd w:id="3"/>
    </w:p>
    <w:p w:rsidR="00FA16F6" w:rsidRPr="00120CA1" w:rsidRDefault="00FA16F6" w:rsidP="00FA16F6">
      <w:pPr>
        <w:rPr>
          <w:vanish/>
        </w:rPr>
      </w:pPr>
      <w:bookmarkStart w:id="4" w:name="PE"/>
      <w:r w:rsidRPr="00120CA1">
        <w:rPr>
          <w:vanish/>
        </w:rPr>
        <w:t>PE751.674</w:t>
      </w:r>
      <w:bookmarkEnd w:id="4"/>
    </w:p>
    <w:p w:rsidR="00FA16F6" w:rsidRPr="00120CA1" w:rsidRDefault="005D02BB" w:rsidP="00DA5BB3">
      <w:pPr>
        <w:pStyle w:val="ATHeading3"/>
      </w:pPr>
      <w:bookmarkStart w:id="5" w:name="Sujet"/>
      <w:r>
        <w:t xml:space="preserve">2024 m. sausio </w:t>
      </w:r>
      <w:r w:rsidR="00DA5BB3">
        <w:t>17</w:t>
      </w:r>
      <w:r>
        <w:t xml:space="preserve"> d. </w:t>
      </w:r>
      <w:r w:rsidR="00FA16F6" w:rsidRPr="00120CA1">
        <w:t>Europos Parlamento rezoliucija dėl metinio pranešimo apie Europos ombudsmeno 2022 m. veiklą</w:t>
      </w:r>
      <w:bookmarkEnd w:id="5"/>
      <w:r w:rsidR="00FA16F6" w:rsidRPr="00120CA1">
        <w:t xml:space="preserve"> </w:t>
      </w:r>
      <w:bookmarkStart w:id="6" w:name="References"/>
      <w:r w:rsidR="00FA16F6" w:rsidRPr="00120CA1">
        <w:t>(2023/2120(INI))</w:t>
      </w:r>
      <w:bookmarkEnd w:id="6"/>
    </w:p>
    <w:p w:rsidR="000C2EC7" w:rsidRPr="00120CA1" w:rsidRDefault="000C2EC7" w:rsidP="000C2EC7">
      <w:pPr>
        <w:pStyle w:val="EPComma"/>
      </w:pPr>
      <w:bookmarkStart w:id="7" w:name="TextBodyBegin"/>
      <w:bookmarkEnd w:id="7"/>
      <w:r w:rsidRPr="00120CA1">
        <w:rPr>
          <w:i/>
        </w:rPr>
        <w:t>Europos Parlamentas</w:t>
      </w:r>
      <w:r w:rsidRPr="00120CA1">
        <w:t>,</w:t>
      </w:r>
    </w:p>
    <w:p w:rsidR="000C2EC7" w:rsidRPr="00120CA1" w:rsidRDefault="000C2EC7" w:rsidP="000C2EC7">
      <w:pPr>
        <w:pStyle w:val="NormalHanging12a"/>
      </w:pPr>
      <w:r w:rsidRPr="00120CA1">
        <w:t>–</w:t>
      </w:r>
      <w:r w:rsidRPr="00120CA1">
        <w:tab/>
        <w:t>atsižvelgdamas į metinį pranešimą apie Europos ombudsmeno 2022 m. veiklą,</w:t>
      </w:r>
    </w:p>
    <w:p w:rsidR="000C2EC7" w:rsidRPr="00120CA1" w:rsidRDefault="000C2EC7" w:rsidP="000C2EC7">
      <w:pPr>
        <w:pStyle w:val="NormalHanging12a"/>
      </w:pPr>
      <w:r w:rsidRPr="00120CA1">
        <w:t>–</w:t>
      </w:r>
      <w:r w:rsidRPr="00120CA1">
        <w:tab/>
        <w:t>atsižvelgdamas į Europos Sąjungos sutarties 10 straipsnio 3 dalį,</w:t>
      </w:r>
    </w:p>
    <w:p w:rsidR="000C2EC7" w:rsidRPr="00120CA1" w:rsidRDefault="000C2EC7" w:rsidP="000C2EC7">
      <w:pPr>
        <w:pStyle w:val="NormalHanging12a"/>
      </w:pPr>
      <w:r w:rsidRPr="00120CA1">
        <w:t>–</w:t>
      </w:r>
      <w:r w:rsidRPr="00120CA1">
        <w:tab/>
        <w:t>atsižvelgdamas į Sutarties dėl Europos Sąjungos veikimo (SESV) 15 straipsnį, 24 straipsnio 3 dalį, 228 straipsnį ir 298 straipsnio 1 dalį,</w:t>
      </w:r>
    </w:p>
    <w:p w:rsidR="000C2EC7" w:rsidRPr="00120CA1" w:rsidRDefault="000C2EC7" w:rsidP="000C2EC7">
      <w:pPr>
        <w:pStyle w:val="NormalHanging12a"/>
      </w:pPr>
      <w:r w:rsidRPr="00120CA1">
        <w:t>–</w:t>
      </w:r>
      <w:r w:rsidRPr="00120CA1">
        <w:tab/>
        <w:t>atsižvelgdamas į Europos Sąjungos pagrindinių teisių chartijos (Chartija) 11, 41, 42 ir 43 straipsnius,</w:t>
      </w:r>
    </w:p>
    <w:p w:rsidR="000C2EC7" w:rsidRPr="00120CA1" w:rsidRDefault="000C2EC7" w:rsidP="000C2EC7">
      <w:pPr>
        <w:pStyle w:val="NormalHanging12a"/>
      </w:pPr>
      <w:r w:rsidRPr="00120CA1">
        <w:t>–</w:t>
      </w:r>
      <w:r w:rsidRPr="00120CA1">
        <w:tab/>
        <w:t>atsižvelgdamas į JT neįgaliųjų teisių konvenciją (JT NTK),</w:t>
      </w:r>
    </w:p>
    <w:p w:rsidR="000C2EC7" w:rsidRPr="00120CA1" w:rsidRDefault="000C2EC7" w:rsidP="000C2EC7">
      <w:pPr>
        <w:pStyle w:val="NormalHanging12a"/>
      </w:pPr>
      <w:r w:rsidRPr="00120CA1">
        <w:t>–</w:t>
      </w:r>
      <w:r w:rsidRPr="00120CA1">
        <w:tab/>
        <w:t>atsižvelgdamas į 2021 m. birželio 24 d. Europos Parlamento reglamentą (ES, Euratomas) 2021/1163, kuriuo nustatomos ombudsmeno pareigų atlikimą reglamentuojančios nuostatos ir bendrosios sąlygos (Europos ombudsmeno statutas) ir panaikinamas Sprendimas 94/262/EAPB, EB, Euratomas</w:t>
      </w:r>
      <w:r w:rsidRPr="00120CA1">
        <w:rPr>
          <w:rStyle w:val="FootnoteReference"/>
        </w:rPr>
        <w:footnoteReference w:id="1"/>
      </w:r>
      <w:r w:rsidRPr="00120CA1">
        <w:t>,</w:t>
      </w:r>
    </w:p>
    <w:p w:rsidR="000C2EC7" w:rsidRPr="00120CA1" w:rsidRDefault="000C2EC7" w:rsidP="000C2EC7">
      <w:pPr>
        <w:pStyle w:val="NormalHanging12a"/>
      </w:pPr>
      <w:r w:rsidRPr="00120CA1">
        <w:t>–</w:t>
      </w:r>
      <w:r w:rsidRPr="00120CA1">
        <w:tab/>
        <w:t>atsižvelgdamas į 2001 m. rugsėjo 6 d. Parlamento priimtą Europos gero administracinio elgesio kodeksą,</w:t>
      </w:r>
    </w:p>
    <w:p w:rsidR="000C2EC7" w:rsidRPr="00120CA1" w:rsidRDefault="000C2EC7" w:rsidP="000C2EC7">
      <w:pPr>
        <w:pStyle w:val="NormalHanging12a"/>
      </w:pPr>
      <w:r w:rsidRPr="00120CA1">
        <w:t>–</w:t>
      </w:r>
      <w:r w:rsidRPr="00120CA1">
        <w:tab/>
        <w:t>atsižvelgdamas į 2006 m. kovo 15 d. sudarytą ir 2006 m. balandžio 1 d. įsigaliojusį Parlamento ir Europos ombudsmeno bendrąjį susitarimą dėl bendradarbiavimo,</w:t>
      </w:r>
    </w:p>
    <w:p w:rsidR="000C2EC7" w:rsidRPr="00120CA1" w:rsidRDefault="000C2EC7" w:rsidP="000C2EC7">
      <w:pPr>
        <w:pStyle w:val="NormalHanging12a"/>
      </w:pPr>
      <w:r w:rsidRPr="00120CA1">
        <w:t>–</w:t>
      </w:r>
      <w:r w:rsidRPr="00120CA1">
        <w:tab/>
        <w:t>atsižvelgdamas į savo ankstesnes rezoliucijas dėl Europos ombudsmeno veiklos,</w:t>
      </w:r>
    </w:p>
    <w:p w:rsidR="000C2EC7" w:rsidRPr="00120CA1" w:rsidRDefault="000C2EC7" w:rsidP="000C2EC7">
      <w:pPr>
        <w:pStyle w:val="NormalHanging12a"/>
      </w:pPr>
      <w:r w:rsidRPr="00120CA1">
        <w:t>–</w:t>
      </w:r>
      <w:r w:rsidRPr="00120CA1">
        <w:tab/>
        <w:t>atsižvelgdamas į Darbo tvarkos taisyklių 54 straipsnį ir 142 straipsnio 2 dalį,</w:t>
      </w:r>
    </w:p>
    <w:p w:rsidR="000C2EC7" w:rsidRPr="00120CA1" w:rsidRDefault="000C2EC7" w:rsidP="000C2EC7">
      <w:pPr>
        <w:pStyle w:val="NormalHanging12a"/>
      </w:pPr>
      <w:r w:rsidRPr="00120CA1">
        <w:lastRenderedPageBreak/>
        <w:t>–</w:t>
      </w:r>
      <w:r w:rsidRPr="00120CA1">
        <w:tab/>
        <w:t>atsižvelgdamas į Peticijų komiteto pranešimą (A9-0414/2023),</w:t>
      </w:r>
    </w:p>
    <w:p w:rsidR="000C2EC7" w:rsidRPr="00120CA1" w:rsidRDefault="000C2EC7" w:rsidP="000C2EC7">
      <w:pPr>
        <w:pStyle w:val="NormalHanging12a"/>
      </w:pPr>
      <w:r w:rsidRPr="00120CA1">
        <w:t>A.</w:t>
      </w:r>
      <w:r w:rsidRPr="00120CA1">
        <w:tab/>
        <w:t>kadangi metinis pranešimas apie Europos ombudsmeno 2022 m. veiklą 2023 m. balandžio 28 d. buvo oficialiai pateiktas Parlamento Pirmininkei ir ombudsmenė Emily O’Reilly 2023 m. birželio 27 d. Briuselyje pristatė savo pranešimą Peticijų komitetui;</w:t>
      </w:r>
    </w:p>
    <w:p w:rsidR="000C2EC7" w:rsidRPr="00120CA1" w:rsidRDefault="000C2EC7" w:rsidP="000C2EC7">
      <w:pPr>
        <w:pStyle w:val="NormalHanging12a"/>
      </w:pPr>
      <w:r w:rsidRPr="00120CA1">
        <w:t>B.</w:t>
      </w:r>
      <w:r w:rsidRPr="00120CA1">
        <w:tab/>
        <w:t>kadangi pagal SESV 20, 24 ir 228 straipsnius Europos ombudsmenas turi įgaliojimus priimti skundus dėl netinkamų Sąjungos institucijų, organų, įstaigų ar agentūrų administravimo veiksmų, išskyrus Europos Sąjungos Teisingumo Teismo vykdomas teismo funkcijas;</w:t>
      </w:r>
    </w:p>
    <w:p w:rsidR="000C2EC7" w:rsidRPr="00120CA1" w:rsidRDefault="000C2EC7" w:rsidP="000C2EC7">
      <w:pPr>
        <w:pStyle w:val="NormalHanging12a"/>
      </w:pPr>
      <w:r w:rsidRPr="00120CA1">
        <w:t>C.</w:t>
      </w:r>
      <w:r w:rsidRPr="00120CA1">
        <w:tab/>
        <w:t>kadangi SESV 15 straipsnyje pažymima, kad, „[s]iekdamos skatinti tinkamą valdymą ir užtikrinti pilietinės visuomenės dalyvavimą, Sąjungos institucijos, įstaigos ir organai veikia kiek įmanoma gerbdami atvirumo principą“ ir kad „[v]isi Sąjungos piliečiai ir visi fiziniai ar juridiniai asmenys, gyvenantys ar turintys registruotą buveinę valstybėje narėje, turi teisę [...] susipažinti su Sąjungos institucijų, įstaigų ir organų dokumentais [...]“; kadangi siekiant užtikrinti, kad ES piliečiams būtų teikiamos aukštos kokybės paslaugos ir kad ES administracija atsižvelgtų į jų poreikius ir susirūpinimą keliančius klausimus, labai svarbu apsaugoti piliečių teises ir pagrindines laisves;</w:t>
      </w:r>
    </w:p>
    <w:p w:rsidR="000C2EC7" w:rsidRPr="00120CA1" w:rsidRDefault="000C2EC7" w:rsidP="000C2EC7">
      <w:pPr>
        <w:pStyle w:val="NormalHanging12a"/>
      </w:pPr>
      <w:r w:rsidRPr="00120CA1">
        <w:t>D.</w:t>
      </w:r>
      <w:r w:rsidRPr="00120CA1">
        <w:tab/>
        <w:t>kadangi Chartijos 41 straipsnyje teisės į gerą administravimą nustatyta, kad „[k]iekvienas asmuo turi teisę į tai, kad Sąjungos institucijos, įstaigos ir organai jo reikalus tvarkytų nešališkai, teisingai ir per kiek įmanomai trumpesnį laiką“;</w:t>
      </w:r>
    </w:p>
    <w:p w:rsidR="000C2EC7" w:rsidRPr="00120CA1" w:rsidRDefault="000C2EC7" w:rsidP="000C2EC7">
      <w:pPr>
        <w:pStyle w:val="NormalHanging12a"/>
      </w:pPr>
      <w:r w:rsidRPr="00120CA1">
        <w:t>E.</w:t>
      </w:r>
      <w:r w:rsidRPr="00120CA1">
        <w:tab/>
        <w:t>kadangi Chartijos 43 straipsnyje pažymima, kad „[k]iekvienas Sąjungos pilietis ir kiekvienas fizinis asmuo, kuris gyvena bet kurioje valstybėje narėje, ar juridinis asmuo, kurio registruota buveinė yra valstybėje narėje, turi teisę kreiptis į Europos ombudsmeną su skundu dėl netinkamų Sąjungos institucijų, įstaigų ar organų administravimo veiksmų, išskyrus Europos Sąjungos Teisingumo Teismo vykdomas teismo funkcijas“;</w:t>
      </w:r>
    </w:p>
    <w:p w:rsidR="000C2EC7" w:rsidRPr="00120CA1" w:rsidRDefault="000C2EC7" w:rsidP="000C2EC7">
      <w:pPr>
        <w:pStyle w:val="NormalHanging12a"/>
      </w:pPr>
      <w:r w:rsidRPr="00120CA1">
        <w:t>F.</w:t>
      </w:r>
      <w:r w:rsidRPr="00120CA1">
        <w:tab/>
        <w:t>kadangi SESV 298 straipsnio 1 dalyje nustatyta, kad „Sąjungos institucijos, įstaigos ir organai, vykdydami savo užduotis, remiasi atvira, veiksminga ir nepriklausoma Europos administracija“;</w:t>
      </w:r>
    </w:p>
    <w:p w:rsidR="000C2EC7" w:rsidRPr="00120CA1" w:rsidRDefault="000C2EC7" w:rsidP="000C2EC7">
      <w:pPr>
        <w:pStyle w:val="NormalHanging12a"/>
      </w:pPr>
      <w:r w:rsidRPr="00120CA1">
        <w:t>G.</w:t>
      </w:r>
      <w:r w:rsidRPr="00120CA1">
        <w:tab/>
        <w:t xml:space="preserve">kadangi 2022 m. ombudsmenė pradėjo </w:t>
      </w:r>
      <w:r w:rsidRPr="00120CA1">
        <w:rPr>
          <w:rStyle w:val="graphbold"/>
        </w:rPr>
        <w:t>348</w:t>
      </w:r>
      <w:r w:rsidRPr="00120CA1">
        <w:t> tyrimus, iš kurių 344 buvo pagrįsti skundais, o 4 pradėti savo iniciatyva, ir baigė 330 tyrimų (iš jų 325 buvo pagrįsti skundais, o 5 pradėti savo iniciatyva);</w:t>
      </w:r>
    </w:p>
    <w:p w:rsidR="000C2EC7" w:rsidRPr="00120CA1" w:rsidRDefault="000C2EC7" w:rsidP="000C2EC7">
      <w:pPr>
        <w:pStyle w:val="NormalHanging12a"/>
      </w:pPr>
      <w:r w:rsidRPr="00120CA1">
        <w:t>H.</w:t>
      </w:r>
      <w:r w:rsidRPr="00120CA1">
        <w:tab/>
        <w:t>kadangi 2022 m. didžioji dauguma tyrimų buvo susiję su Komisija (197 tyrimai arba 57,1 proc.), o kita didžiausia dalis tyrimų buvo susijusi su Europos personalo atrankos tarnyba (22 tyrimai arba 6,3 proc.), Parlamentu (19 tyrimų arba 5,5 proc.) ir Europos išorės veiksmų tarnyba (16 tyrimų arba 4,6 proc.); kadangi likę tyrimai paskirstė taip: Europos sienų ir pakrančių apsaugos agentūra (FRONTEX) (14 tyrimų arba 4,3 proc.), Europos Sąjungos aviacijos saugos agentūra (7 tyrimai arba 2 proc.), kitos ES institucijos ar įstaigos (46 tyrimai arba 13,5 proc.) ir kitos ES agentūros (23 tyrimai arba 6,7 proc.);</w:t>
      </w:r>
    </w:p>
    <w:p w:rsidR="000C2EC7" w:rsidRPr="00120CA1" w:rsidRDefault="000C2EC7" w:rsidP="000C2EC7">
      <w:pPr>
        <w:pStyle w:val="NormalHanging12a"/>
      </w:pPr>
      <w:r w:rsidRPr="00120CA1">
        <w:t>I.</w:t>
      </w:r>
      <w:r w:rsidRPr="00120CA1">
        <w:tab/>
        <w:t>kadangi 2022 m. didžiausia ombudsmenės tyrimų dalis buvo susijusi su Komisija, kurios administracinei veiklai skiriamas didelis visuomenės dėmesys, atsižvelgiant į tai, kad tai yra ES vykdomoji valdžia;</w:t>
      </w:r>
    </w:p>
    <w:p w:rsidR="000C2EC7" w:rsidRPr="00120CA1" w:rsidRDefault="000C2EC7" w:rsidP="000C2EC7">
      <w:pPr>
        <w:pStyle w:val="NormalHanging12a"/>
      </w:pPr>
      <w:r w:rsidRPr="00120CA1">
        <w:lastRenderedPageBreak/>
        <w:t>J.</w:t>
      </w:r>
      <w:r w:rsidRPr="00120CA1">
        <w:tab/>
        <w:t>kadangi 2022 m. ombudsmenės užbaigtuose tyrimuose 37 proc. atvejų netinkamo administravimo atvejų nenustatyta, 46,1 proc. atvejų pati institucija išsprendė klausimą, 12,7 proc. atvejų tolesni tyrimai nebuvo pagrįsti, o netinkamo administravimo atvejų nustatyta 4,5 proc. atvejų;</w:t>
      </w:r>
    </w:p>
    <w:p w:rsidR="000C2EC7" w:rsidRPr="00120CA1" w:rsidRDefault="000C2EC7" w:rsidP="000C2EC7">
      <w:pPr>
        <w:pStyle w:val="NormalHanging12a"/>
      </w:pPr>
      <w:r w:rsidRPr="00120CA1">
        <w:t>K.</w:t>
      </w:r>
      <w:r w:rsidRPr="00120CA1">
        <w:tab/>
        <w:t>kadangi trys didžiausi susirūpinimą keliantys klausimai, susiję su tyrimais, kuriuos ombudsmenė baigė nagrinėti 2022 metais, buvo skaidrumas ir atskaitomybė (pvz., galimybė susipažinti su informacija ir dokumentais) (32 proc.), tarnybos kultūra (20 proc.) ir pagrindinių teisių paisymas (15 proc.); kadangi kiti susirūpinimą keliantys klausimai buvo susiję su tinkamu diskretiškumo naudojimu (įskaitant pažeidimų nagrinėjimo procedūras), įdarbinimu, geru personalo klausimų valdymu, procesinių teisių paisymu, tinkamu pažeidimų nagrinėjimo procedūrų valdymu, patikimu finansų valdymu, etika ir visuomenės dalyvavimu ES sprendimų priėmimo procese;</w:t>
      </w:r>
    </w:p>
    <w:p w:rsidR="000C2EC7" w:rsidRPr="00120CA1" w:rsidRDefault="000C2EC7" w:rsidP="000C2EC7">
      <w:pPr>
        <w:pStyle w:val="NormalHanging12a"/>
      </w:pPr>
      <w:r w:rsidRPr="00120CA1">
        <w:t>L.</w:t>
      </w:r>
      <w:r w:rsidRPr="00120CA1">
        <w:tab/>
        <w:t>kadangi 2022 m. ombudsmenė paprašė Tarybos suteikti galimybę greičiau susipažinti su teisėkūros dokumentais, kad visuomenė galėtų veiksmingai dalyvauti diskusijose dėl ES teisės aktų projektų</w:t>
      </w:r>
      <w:r w:rsidRPr="00120CA1">
        <w:rPr>
          <w:vertAlign w:val="superscript"/>
        </w:rPr>
        <w:footnoteReference w:id="2"/>
      </w:r>
      <w:r w:rsidRPr="00120CA1">
        <w:t>;</w:t>
      </w:r>
    </w:p>
    <w:p w:rsidR="000C2EC7" w:rsidRPr="00120CA1" w:rsidRDefault="000C2EC7" w:rsidP="000C2EC7">
      <w:pPr>
        <w:pStyle w:val="NormalHanging12a"/>
      </w:pPr>
      <w:r w:rsidRPr="00120CA1">
        <w:t>M.</w:t>
      </w:r>
      <w:r w:rsidRPr="00120CA1">
        <w:tab/>
        <w:t>kadangi ombudsmenė nustatė netinkamą administravimą</w:t>
      </w:r>
      <w:r w:rsidRPr="00120CA1">
        <w:rPr>
          <w:rStyle w:val="FootnoteReference"/>
        </w:rPr>
        <w:footnoteReference w:id="3"/>
      </w:r>
      <w:r w:rsidRPr="00120CA1">
        <w:rPr>
          <w:vertAlign w:val="superscript"/>
        </w:rPr>
        <w:t xml:space="preserve">, </w:t>
      </w:r>
      <w:r w:rsidRPr="00120CA1">
        <w:rPr>
          <w:rStyle w:val="FootnoteReference"/>
        </w:rPr>
        <w:footnoteReference w:id="4"/>
      </w:r>
      <w:r w:rsidRPr="00120CA1">
        <w:t>, susijusį su tuo, kaip Komisija nagrinėjo prašymą leisti visuomenei susipažinti su jos pirmininkės ir farmacijos įmonės („Pfizer“) generalinio direktoriaus tekstiniais pranešimais;</w:t>
      </w:r>
    </w:p>
    <w:p w:rsidR="000C2EC7" w:rsidRPr="00120CA1" w:rsidRDefault="000C2EC7" w:rsidP="000C2EC7">
      <w:pPr>
        <w:pStyle w:val="NormalHanging12a"/>
      </w:pPr>
      <w:r w:rsidRPr="00120CA1">
        <w:t>N.</w:t>
      </w:r>
      <w:r w:rsidRPr="00120CA1">
        <w:tab/>
        <w:t>kadangi 2022 m. ombudsmenė pradėjo tyrimą dėl to, kaip Europos Centrinis Bankas (ECB) sprendžia „sukamųjų durų“ reiškinio problemą</w:t>
      </w:r>
      <w:r w:rsidRPr="00120CA1">
        <w:rPr>
          <w:vertAlign w:val="superscript"/>
        </w:rPr>
        <w:footnoteReference w:id="5"/>
      </w:r>
      <w:r w:rsidRPr="00120CA1">
        <w:t>;</w:t>
      </w:r>
    </w:p>
    <w:p w:rsidR="000C2EC7" w:rsidRPr="00120CA1" w:rsidRDefault="000C2EC7" w:rsidP="000C2EC7">
      <w:pPr>
        <w:pStyle w:val="NormalHanging12a"/>
      </w:pPr>
      <w:r w:rsidRPr="00120CA1">
        <w:t>O.</w:t>
      </w:r>
      <w:r w:rsidRPr="00120CA1">
        <w:tab/>
        <w:t>kadangi ombudsmenė pradėjo strateginį tyrimą dėl sistemingų ir didelių vėlavimų, susijusių su tuo, kaip Komisija tvarko prašymus leisti visuomenei susipažinti su dokumentais; kadangi ombudsmenė nustatė, kad Komisija netinkamai administravo tokius prašymus, visų pirma nagrinėdama prašymus peržiūrėti pirminius sprendimus (kartotinės paraiškos)</w:t>
      </w:r>
      <w:r w:rsidRPr="00120CA1">
        <w:rPr>
          <w:rStyle w:val="FootnoteReference"/>
        </w:rPr>
        <w:footnoteReference w:id="6"/>
      </w:r>
      <w:r w:rsidRPr="00120CA1">
        <w:t>;</w:t>
      </w:r>
    </w:p>
    <w:p w:rsidR="000C2EC7" w:rsidRPr="00120CA1" w:rsidRDefault="000C2EC7" w:rsidP="000C2EC7">
      <w:pPr>
        <w:pStyle w:val="NormalHanging12a"/>
      </w:pPr>
      <w:r w:rsidRPr="00120CA1">
        <w:t>P.</w:t>
      </w:r>
      <w:r w:rsidRPr="00120CA1">
        <w:tab/>
        <w:t>kadangi 2022 m. ombudsmenė taip pat atliko platesnio masto strateginius tyrimus ir iniciatyvas sisteminiais klausimais ES institucijose, įskaitant etinius klausimus, „sukamųjų durų“ reiškinius, atskaitomybę priimant sprendimus, galimybę susipažinti su dokumentais ir pagrindines teises;</w:t>
      </w:r>
    </w:p>
    <w:p w:rsidR="000C2EC7" w:rsidRPr="00120CA1" w:rsidRDefault="000C2EC7" w:rsidP="000C2EC7">
      <w:pPr>
        <w:pStyle w:val="NormalHanging12a"/>
      </w:pPr>
      <w:r w:rsidRPr="00120CA1">
        <w:t>Q.</w:t>
      </w:r>
      <w:r w:rsidRPr="00120CA1">
        <w:tab/>
        <w:t xml:space="preserve">kadangi 2022 m. ombudsmenė, atlikusi tyrimą dėl Tarybos atsisakymo suteikti </w:t>
      </w:r>
      <w:r w:rsidRPr="00120CA1">
        <w:lastRenderedPageBreak/>
        <w:t>visapusišką galimybę visuomenei susipažinti su prašomais teisėkūros dokumentais vykstant deryboms dėl Skaitmeninių rinkų akto projekto ir padariusi išvadą, kad esama netinkamo administravimo atvejų, pateikė rekomendaciją Tarybai šią galimybę suteikti;</w:t>
      </w:r>
    </w:p>
    <w:p w:rsidR="000C2EC7" w:rsidRPr="00120CA1" w:rsidRDefault="000C2EC7" w:rsidP="000C2EC7">
      <w:pPr>
        <w:pStyle w:val="NormalHanging12a"/>
        <w:rPr>
          <w:szCs w:val="24"/>
        </w:rPr>
      </w:pPr>
      <w:r w:rsidRPr="00120CA1">
        <w:t>R.</w:t>
      </w:r>
      <w:r w:rsidRPr="00120CA1">
        <w:tab/>
        <w:t>kadangi 2022 m. ombudsmeno tarnyba toliau didino visuomenės informuotumą apie ombudsmeno vaidmenį išlaikant aukštus atskaitomybės ir skaidrumo standartus ES administracijoje;</w:t>
      </w:r>
    </w:p>
    <w:p w:rsidR="000C2EC7" w:rsidRPr="00120CA1" w:rsidRDefault="000C2EC7" w:rsidP="000C2EC7">
      <w:pPr>
        <w:pStyle w:val="NormalHanging12a"/>
      </w:pPr>
      <w:r w:rsidRPr="00120CA1">
        <w:t>S.</w:t>
      </w:r>
      <w:r w:rsidRPr="00120CA1">
        <w:tab/>
        <w:t>kadangi ombudsmenė nusprendė pradėti viešas konsultacijas dėl skaidrumo ir dalyvavimo ES sprendimų, susijusių su aplinka, priėmimo procese, atsižvelgiant į kritinę klimato padėtį ir aplinkos bei ekosistemų būklės blogėjimą, siekiant įvertinti ES, kaip Orhuso konvencijos šalies, požiūrį į aukšto lygio visuomenės prieigą prie informacijos apie aplinką ir visuomenės dalyvavimą priimant su aplinka susijusius sprendimus;</w:t>
      </w:r>
    </w:p>
    <w:p w:rsidR="000C2EC7" w:rsidRPr="00120CA1" w:rsidRDefault="000C2EC7" w:rsidP="000C2EC7">
      <w:pPr>
        <w:pStyle w:val="NormalHanging12a"/>
      </w:pPr>
      <w:r w:rsidRPr="00120CA1">
        <w:t>T.</w:t>
      </w:r>
      <w:r w:rsidRPr="00120CA1">
        <w:tab/>
        <w:t>primena, kad 2022 m. ombudsmenė paragino Komisiją nuosekliau vertinti prašymus leisti susipažinti su dokumentais, susijusiais su ES ekonomikos gaivinimo lėšomis, ir geriau paaiškinti savo argumentus, jei nusprendžiama neatskleisti prašomos informacijos</w:t>
      </w:r>
      <w:r w:rsidRPr="00120CA1">
        <w:rPr>
          <w:vertAlign w:val="superscript"/>
        </w:rPr>
        <w:footnoteReference w:id="7"/>
      </w:r>
      <w:r w:rsidRPr="00120CA1">
        <w:t>;</w:t>
      </w:r>
    </w:p>
    <w:p w:rsidR="000C2EC7" w:rsidRPr="00120CA1" w:rsidRDefault="000C2EC7" w:rsidP="000C2EC7">
      <w:pPr>
        <w:pStyle w:val="NormalHanging12a"/>
      </w:pPr>
      <w:r w:rsidRPr="00120CA1">
        <w:t>U.</w:t>
      </w:r>
      <w:r w:rsidRPr="00120CA1">
        <w:tab/>
        <w:t>kadangi 2022 m. ombudsmenė pradėjo tyrimą dėl Komisijos atsisakymo leisti visuomenei susipažinti su dokumentais, susijusiais su jos pasiūlymu dėl Reglamento dėl Europos sveikatos duomenų erdvės</w:t>
      </w:r>
      <w:r w:rsidRPr="00120CA1">
        <w:rPr>
          <w:vertAlign w:val="superscript"/>
        </w:rPr>
        <w:footnoteReference w:id="8"/>
      </w:r>
      <w:r w:rsidRPr="00120CA1">
        <w:t>;</w:t>
      </w:r>
    </w:p>
    <w:p w:rsidR="000C2EC7" w:rsidRPr="00120CA1" w:rsidRDefault="000C2EC7" w:rsidP="000C2EC7">
      <w:pPr>
        <w:pStyle w:val="NormalHanging12a"/>
      </w:pPr>
      <w:r w:rsidRPr="00120CA1">
        <w:t>V.</w:t>
      </w:r>
      <w:r w:rsidRPr="00120CA1">
        <w:tab/>
        <w:t>kadangi 2022 m. ombudsmenė pradėjo tyrimą dėl to, kaip Komisija nagrinėjo Reglamentavimo patikros valdybos narių prašymą leisti visuomenei susipažinti su interesų deklaracijomis</w:t>
      </w:r>
      <w:r w:rsidRPr="00120CA1">
        <w:rPr>
          <w:vertAlign w:val="superscript"/>
        </w:rPr>
        <w:footnoteReference w:id="9"/>
      </w:r>
      <w:r w:rsidRPr="00120CA1">
        <w:t>;</w:t>
      </w:r>
    </w:p>
    <w:p w:rsidR="000C2EC7" w:rsidRPr="00120CA1" w:rsidRDefault="000C2EC7" w:rsidP="000C2EC7">
      <w:pPr>
        <w:pStyle w:val="NormalHanging12a"/>
      </w:pPr>
      <w:r w:rsidRPr="00120CA1">
        <w:t>W.</w:t>
      </w:r>
      <w:r w:rsidRPr="00120CA1">
        <w:tab/>
        <w:t>kadangi ombudsmenė pabrėžė, kad ES viešųjų pirkimų taisyklės nėra pakankamai griežtos ar aiškios, kad būtų išvengta interesų konfliktų, ir kritikavo Komisiją dėl nepakankamo kritiško tikrinimo prieš skiriant sutartį dėl aplinkos, socialinių ir valdymo tikslų integravimo į ES bankininkystės taisykles tyrimo įmonei „BlackRock Investment Management“, kuri valdo investicijas iškastinio kuro ir bankų sektoriuose, kuriems taikomos naujos aplinkosaugos, socialinės ir valdymo taisyklės;</w:t>
      </w:r>
    </w:p>
    <w:p w:rsidR="000C2EC7" w:rsidRPr="00120CA1" w:rsidRDefault="000C2EC7" w:rsidP="000C2EC7">
      <w:pPr>
        <w:pStyle w:val="NormalHanging12a"/>
        <w:rPr>
          <w:szCs w:val="24"/>
        </w:rPr>
      </w:pPr>
      <w:r w:rsidRPr="00120CA1">
        <w:t>1.</w:t>
      </w:r>
      <w:r w:rsidRPr="00120CA1">
        <w:tab/>
        <w:t>palankiai vertina Europos ombudsmenės pristatytą metinį pranešimą apie 2022 m. veiklą;</w:t>
      </w:r>
    </w:p>
    <w:p w:rsidR="000C2EC7" w:rsidRPr="00120CA1" w:rsidRDefault="000C2EC7" w:rsidP="000C2EC7">
      <w:pPr>
        <w:pStyle w:val="NormalHanging12a"/>
        <w:rPr>
          <w:szCs w:val="24"/>
        </w:rPr>
      </w:pPr>
      <w:r w:rsidRPr="00120CA1">
        <w:t>2.</w:t>
      </w:r>
      <w:r w:rsidRPr="00120CA1">
        <w:tab/>
        <w:t>sveikina Emily O’Reilly už jos gerą darbą ir nuolatines pastangas gerinti administracinę praktiką ir skatinti ES institucijų, įstaigų, organų ir agentūrų atskaitomybę ir visišką skaidrumą, taip pat užtikrinti ES piliečiams galimybę susipažinti su ES dokumentais;</w:t>
      </w:r>
    </w:p>
    <w:p w:rsidR="000C2EC7" w:rsidRPr="00120CA1" w:rsidRDefault="000C2EC7" w:rsidP="000C2EC7">
      <w:pPr>
        <w:pStyle w:val="NormalHanging12a"/>
        <w:rPr>
          <w:szCs w:val="24"/>
        </w:rPr>
      </w:pPr>
      <w:r w:rsidRPr="00120CA1">
        <w:lastRenderedPageBreak/>
        <w:t>3.</w:t>
      </w:r>
      <w:r w:rsidRPr="00120CA1">
        <w:tab/>
        <w:t>palankiai vertina nuolatinį konstruktyvų Europos ombudsmenės bendradarbiavimą su Europos Parlamentu, visų pirma su Peticijų komitetu, ir kitomis ES institucijomis; pakartoja savo įsipareigojimą padėti ombudsmenei vykdyti savo pareigas;</w:t>
      </w:r>
    </w:p>
    <w:p w:rsidR="000C2EC7" w:rsidRPr="00120CA1" w:rsidRDefault="000C2EC7" w:rsidP="000C2EC7">
      <w:pPr>
        <w:pStyle w:val="NormalHanging12a"/>
      </w:pPr>
      <w:r w:rsidRPr="00120CA1">
        <w:t>4.</w:t>
      </w:r>
      <w:r w:rsidRPr="00120CA1">
        <w:tab/>
        <w:t>palankiai vertina tai, kad ombudsmeno tarnyba padarė didelę pažangą sumažindama užbaigtų bylų tyrimo trukmę, kuri 2013 m. buvo vidutiniškai 13 mėnesių, o 2022 m. sutrumpėjo iki mažiau nei 6 mėnesių; pabrėžia, kad pasiekti rezultatai apima kelias ES administravimo sritis su ribotais ištekliais;</w:t>
      </w:r>
    </w:p>
    <w:p w:rsidR="000C2EC7" w:rsidRPr="00120CA1" w:rsidRDefault="000C2EC7" w:rsidP="000C2EC7">
      <w:pPr>
        <w:pStyle w:val="NormalHanging12a"/>
      </w:pPr>
      <w:r w:rsidRPr="00120CA1">
        <w:t xml:space="preserve">5. </w:t>
      </w:r>
      <w:r w:rsidRPr="00120CA1">
        <w:tab/>
        <w:t>ragina Tarybą visapusiškai laikytis parlamentinės ir dalyvaujamosios demokratijos skaidrumo standartų, kaip reikalaujama Sutartyse ir to prašo ombudsmenė; primena, kad ES Teisingumo Teismas nurodė, jog viešumo ir skaidrumo principai yra neatsiejami nuo ES teisėkūros proceso ir kad skaidrumo ir informacijos stoka silpnina piliečių pasitikėjimą viso ES teisėkūros proceso teisėtumu;</w:t>
      </w:r>
    </w:p>
    <w:p w:rsidR="000C2EC7" w:rsidRPr="00120CA1" w:rsidRDefault="000C2EC7" w:rsidP="000C2EC7">
      <w:pPr>
        <w:pStyle w:val="NormalHanging12a"/>
      </w:pPr>
      <w:r w:rsidRPr="00120CA1">
        <w:t>6.</w:t>
      </w:r>
      <w:r w:rsidRPr="00120CA1">
        <w:tab/>
        <w:t>ragina Tarybą suteikti piliečiams galimybę laiku susipažinti su savo teisėkūros dokumentais vykstant teisėkūros procedūroms, kad būtų visapusiškai išsaugota Sutartimi grindžiama piliečių teisė dalyvauti demokratiniame Sąjungos gyvenime, o tai savo ruožtu padidintų piliečių pasitikėjimą bendru ES sprendimų priėmimo procesu;</w:t>
      </w:r>
    </w:p>
    <w:p w:rsidR="000C2EC7" w:rsidRPr="00120CA1" w:rsidRDefault="000C2EC7" w:rsidP="000C2EC7">
      <w:pPr>
        <w:pStyle w:val="NormalHanging12a"/>
      </w:pPr>
      <w:r w:rsidRPr="00120CA1">
        <w:t>7.</w:t>
      </w:r>
      <w:r w:rsidRPr="00120CA1">
        <w:tab/>
        <w:t>palankiai vertina tai, kad pradėtas tyrimas savo iniciatyva siekiant įvertinti, kaip Komisija užtikrina, kad jos bendravimas su tabako pramonės atstovais būtų skaidrus; pabrėžia, kad tai, jog visa Komisija aktyviai nepaskelbė informacijos apie savo susitikimus su tabako lobistais, prilygsta netinkamam administravimui, kaip savo preliminariose išvadose nurodė ombudsmenė; primena, kad ES pasirašė ir oficialiai patvirtino Pasaulio sveikatos organizacijos Tabako kontrolės pagrindų konvenciją ir privalo laikytis jos nuostatų, kuriomis nustatoma, kad sąveika su tabako pramone turėtų vykti tik tada, kai tai tikrai būtina reguliavimo požiūriu, taip pat užtikrinti, kad ši sąveika būtų skaidri, kad tabako pramonė nedarytų neigiamo poveikio visuomenės sveikatos politikai;</w:t>
      </w:r>
    </w:p>
    <w:p w:rsidR="000C2EC7" w:rsidRPr="00120CA1" w:rsidRDefault="000C2EC7" w:rsidP="000C2EC7">
      <w:pPr>
        <w:pStyle w:val="NormalHanging12a"/>
      </w:pPr>
      <w:r w:rsidRPr="00120CA1">
        <w:t>8.</w:t>
      </w:r>
      <w:r w:rsidRPr="00120CA1">
        <w:tab/>
        <w:t>mano, jog labai svarbu, kad ombudsmenė pradėtų tyrimą, kad įvertintų Komisijos įsteigtos ES energetikos platformų pramonės patariamosios grupės nepriklausomumo lygį;</w:t>
      </w:r>
    </w:p>
    <w:p w:rsidR="000C2EC7" w:rsidRPr="00120CA1" w:rsidRDefault="000C2EC7" w:rsidP="000C2EC7">
      <w:pPr>
        <w:pStyle w:val="NormalHanging12a"/>
      </w:pPr>
      <w:r w:rsidRPr="00120CA1">
        <w:t>9.</w:t>
      </w:r>
      <w:r w:rsidRPr="00120CA1">
        <w:tab/>
        <w:t>patvirtina ombudsmenės tyrimo, kaip Komisija užtikrina, kad išorės ekspertai, dalyvaujantys vertinant Europos gynybos fondo (EPF) projektų pasiūlymus, neturėtų interesų konfliktų, rezultatus; pabrėžia, kad itin svarbu prieš skiriant ekspertus atlikti išsamų interesų konfliktų vertinimą ir užtikrinti, kad skaidrumo ir etikos įsipareigojimai būtų patikimai įgyvendinami;</w:t>
      </w:r>
    </w:p>
    <w:p w:rsidR="000C2EC7" w:rsidRPr="00120CA1" w:rsidRDefault="000C2EC7" w:rsidP="000C2EC7">
      <w:pPr>
        <w:pStyle w:val="NormalHanging12a"/>
      </w:pPr>
      <w:r w:rsidRPr="00120CA1">
        <w:t>10.</w:t>
      </w:r>
      <w:r w:rsidRPr="00120CA1">
        <w:tab/>
        <w:t>palankiai vertina Komisijos pasiūlymą, reaguojant į ombudsmenės išvadas, padarytas atlikus tyrimą dėl bendrovės „BlackRock“ bylos, iš dalies pakeisti Finansinį reglamentą, įtraukiant galimybę atmesti konkurso dalyvius, jei jie turi interesų konfliktą; ragina Komisiją visapusiškai laikytis ombudsmenės pasiūlymų priimant griežtesnes ir aiškesnes taisykles, kuriomis siekiama užkirsti kelią bet kokiems interesų konfliktams visose su viešaisiais pirkimais susijusiose procedūrose, įskaitant jos vidaus gaires;</w:t>
      </w:r>
    </w:p>
    <w:p w:rsidR="000C2EC7" w:rsidRPr="00120CA1" w:rsidRDefault="000C2EC7" w:rsidP="000C2EC7">
      <w:pPr>
        <w:pStyle w:val="NormalHanging12a"/>
        <w:rPr>
          <w:szCs w:val="24"/>
        </w:rPr>
      </w:pPr>
      <w:r w:rsidRPr="00120CA1">
        <w:rPr>
          <w:shd w:val="clear" w:color="auto" w:fill="FFFFFF"/>
        </w:rPr>
        <w:t>11.</w:t>
      </w:r>
      <w:r w:rsidRPr="00120CA1">
        <w:rPr>
          <w:shd w:val="clear" w:color="auto" w:fill="FFFFFF"/>
        </w:rPr>
        <w:tab/>
      </w:r>
      <w:r w:rsidRPr="00120CA1">
        <w:t xml:space="preserve">atkreipia dėmesį į tai, kad, ombudsmenei atlikus tyrimą dėl „sukamųjų durų“ reiškinio, Komisija geriau sprendžia šį klausimą ir prašo buvusių darbuotojų pateikti informaciją apie tai, kaip jie laikosi atitinkamų apribojimų; pažymi, kad Komisija greičiau skelbia </w:t>
      </w:r>
      <w:r w:rsidRPr="00120CA1">
        <w:lastRenderedPageBreak/>
        <w:t>savo vyresniųjų darbuotojų, prašančių leidimo pereiti į naują darbo vietą, metinę apžvalgą ir šių prašymų vertinimą; pabrėžia, kad Komisija neturėtų suteikti jokio leidimo, kai atitinkamam darbui negali būti taikomi apribojimai, kuriais būtų tinkamai sumažinta interesų konfliktų rizika, arba kai tų apribojimų negalima patikimai stebėti ir užtikrinti jų vykdymo, įskaitant naujojo darbdavio pareigą viešai paskelbti apribojimus; mano, kad Komisija turėtų laiku skelbti informaciją apie visą anksčiau vadovaujamas pareigas ėjusių darbuotojų veiklą baigus tarnybą, kurią ji vertina, ir taip pagerinti viešąją šių sprendimų kontrolę, kuri yra labai svarbi stebėsenos tikslais; palankiai vertina tai, kad nemokamų atostogų išėjusiems darbuotojams neleidžiama įsidarbinti srityse, kuriose kyla interesų konflikto rizika; ragina ombudsmenę stebėti, kaip Komisija sprendžia šiuos klausimus;</w:t>
      </w:r>
    </w:p>
    <w:p w:rsidR="000C2EC7" w:rsidRPr="00120CA1" w:rsidRDefault="000C2EC7" w:rsidP="000C2EC7">
      <w:pPr>
        <w:pStyle w:val="NormalHanging12a"/>
        <w:rPr>
          <w:szCs w:val="24"/>
        </w:rPr>
      </w:pPr>
      <w:r w:rsidRPr="00120CA1">
        <w:t>12.</w:t>
      </w:r>
      <w:r w:rsidRPr="00120CA1">
        <w:tab/>
        <w:t>palankiai vertina ombudsmenės pradėtą tyrimą savo iniciatyva siekiant įvertinti, kaip ECB sprendžia „sukamųjų durų“ reiškinio klausimą, ir pritaria ombudsmenės raginimui, kad ECB taikytų griežtesnes darbuotojų perkėlimo į privatųjį sektorių taisykles; pritaria rekomendacijai, kad ECB darbuotojams turėtų būti taikomi griežti veiklos pertraukos reikalavimai ir kad turėtų būti pailgintas laikotarpis, per kurį buvusiems ECB darbuotojams draudžiama vykdyti lobistinę veiklą savo buvusių kolegų atžvilgiu;</w:t>
      </w:r>
    </w:p>
    <w:p w:rsidR="000C2EC7" w:rsidRPr="00120CA1" w:rsidRDefault="000C2EC7" w:rsidP="000C2EC7">
      <w:pPr>
        <w:pStyle w:val="NormalHanging12a"/>
      </w:pPr>
      <w:r w:rsidRPr="00120CA1">
        <w:t>13.</w:t>
      </w:r>
      <w:r w:rsidRPr="00120CA1">
        <w:tab/>
        <w:t>pabrėžia, kad skandalas „Qatargate“ leido naujai pažvelgti į lobistinę veiklą ir politikos formavimą ES; pripažįsta, kad ombudsmenė kritiškai įvertino skandalą, ir palankiai vertina tai, kad buvo parengtos naujos priemonės, kuriomis siekiama pagerinti sąžiningumo standartus Europos Parlamente, siekiant apsaugoti ES demokratiją; mano, kad šie veiksmai yra svarbus pirmas žingsnis stiprinant ES reguliavimo sistemą, nes jais siekiama skatinti aukštesnius etikos ir kovos su korupcija standartus, kad ES institucijos taptų sąžiningumo ir atskaitomybės pavyzdžiais;</w:t>
      </w:r>
    </w:p>
    <w:p w:rsidR="000C2EC7" w:rsidRPr="00120CA1" w:rsidRDefault="000C2EC7" w:rsidP="000C2EC7">
      <w:pPr>
        <w:pStyle w:val="NormalHanging12a"/>
      </w:pPr>
      <w:r w:rsidRPr="00120CA1">
        <w:t>14.</w:t>
      </w:r>
      <w:r w:rsidRPr="00120CA1">
        <w:tab/>
        <w:t>palankiai vertina nuolatines ombudsmenės pastangas didinti lobistinės veiklos skaidrumą ir etiką, visų pirma reikalaujant, kad Komisija sustiprintų Komisijos narių elgesio kodeksą, sukurtų viešą Komisijos narių ir lobistų susitikimų registrą ir aktyviai skelbtų Komisijos narių kelionės išlaidas;</w:t>
      </w:r>
    </w:p>
    <w:p w:rsidR="000C2EC7" w:rsidRPr="00120CA1" w:rsidRDefault="000C2EC7" w:rsidP="000C2EC7">
      <w:pPr>
        <w:pStyle w:val="NormalHanging12a"/>
        <w:rPr>
          <w:shd w:val="clear" w:color="auto" w:fill="FFFFFF"/>
        </w:rPr>
      </w:pPr>
      <w:r w:rsidRPr="00120CA1">
        <w:t>15.</w:t>
      </w:r>
      <w:r w:rsidRPr="00120CA1">
        <w:tab/>
        <w:t>pabrėžia, kad piliečių dalyvavimas ES sprendimų priėmimo procese yra svarbus jo teisėtumui; palankiai vertina ombudsmenės įsipareigojimą skatinti atskaitomybę ES sprendimų priėmimo procese, ypač aplinkosaugos sprendimų srityje; palankiai vertina ir remia ombudsmenės prašymus Europos investicijų bankui (EIB) imtis keleto skaidrumo veiksmų, kad visuomenė galėtų lengviau pamatyti galimą jo finansuojamų projektų poveikį aplinkai, taip pat ombudsmenės ketinimą sustiprinti EIB veiklos kontrolę, atsižvelgiant į tai, kad iki šiol EIB nesiėmė pakankamų tolesnių veiksmų, visų pirma susijusių su laiku skelbiama informacija apie projektus, susijusius su aplinka ir EIB finansais, siekiant suteikti pakankamai laiko visuomenei pareikšti susirūpinimą;</w:t>
      </w:r>
    </w:p>
    <w:p w:rsidR="000C2EC7" w:rsidRPr="00120CA1" w:rsidRDefault="000C2EC7" w:rsidP="000C2EC7">
      <w:pPr>
        <w:pStyle w:val="NormalHanging12a"/>
      </w:pPr>
      <w:r w:rsidRPr="00120CA1">
        <w:t>16.</w:t>
      </w:r>
      <w:r w:rsidRPr="00120CA1">
        <w:tab/>
        <w:t>palankiai vertina ombudsmenės darbą teikiant pirmenybę savo ES aplinkos srities sprendimų priėmimo skaidrumo vertinimui, po to, kai, be kita ko, ji nustatė netinkamą administravimą, nes Komisija, prieš užbaigdama derybas, tinkamai neįvertino ES ir MERCOSUR prekybos susitarimo poveikio aplinkai, Komisijai tvarkant prašymus dėl galimybės visuomenei susipažinti su informacija apie aplinką esama didelių trūkumų ir nėra aiškių taisyklių, kuriomis būtų užtikrinta, kad ekspertai, su kuriais Komisija konsultuojasi aplinkos politikos formavimo srityje, nepatirtų interesų konfliktų;</w:t>
      </w:r>
    </w:p>
    <w:p w:rsidR="000C2EC7" w:rsidRPr="00120CA1" w:rsidRDefault="000C2EC7" w:rsidP="000C2EC7">
      <w:pPr>
        <w:pStyle w:val="NormalHanging12a"/>
        <w:rPr>
          <w:szCs w:val="24"/>
          <w:shd w:val="clear" w:color="auto" w:fill="FFFFFF"/>
        </w:rPr>
      </w:pPr>
      <w:r w:rsidRPr="00120CA1">
        <w:rPr>
          <w:shd w:val="clear" w:color="auto" w:fill="FFFFFF"/>
        </w:rPr>
        <w:t>17.</w:t>
      </w:r>
      <w:r w:rsidRPr="00120CA1">
        <w:rPr>
          <w:shd w:val="clear" w:color="auto" w:fill="FFFFFF"/>
        </w:rPr>
        <w:tab/>
      </w:r>
      <w:r w:rsidRPr="00120CA1">
        <w:t xml:space="preserve">pabrėžia, kad ombudsmenė apgailestavo dėl to, kad aktyvus skaidrumo užtikrinimas iš </w:t>
      </w:r>
      <w:r w:rsidRPr="00120CA1">
        <w:lastRenderedPageBreak/>
        <w:t>esmės įvyko tik po to, kai jau buvo patvirtinti nacionaliniai planai pagal Ekonomikos gaivinimo ir atsparumo didinimo priemonę (EGADP), todėl visuomenė negalėjo tinkamai stebėti derybų; yra susirūpinęs dėl to, kad Komisija ilgai delsė nagrinėti prašymus leisti visuomenei susipažinti su EGADP susijusiais dokumentais, o kai kuriais atvejais tai truko vienus metus ar ilgiau; primygtinai ragina Komisiją skatinti valstybes nares naudotis viešuoju portalu, kad būtų išvardyti visi finansavimo pagal EGADP gavėjai, toliau skelbti savo preliminarius valstybių narių mokėjimo prašymų vertinimus ir informuoti visuomenę apie jos vykdomą priežiūros ir audito darbą siekiant užtikrinti prasmingą atskaitomybę už visas išleistas lėšas; palankiai vertina tai, kad Ekonominio bendradarbiavimo ir plėtros organizacija, bendradarbiaudama su Europos ombudsmeno tarnyba, paskelbė politikos dokumentą „Valdžios institucijų skaidrumo naudojant ekonomikos gaivinimo lėšas gerosios praktikos principų kūrimas“, kuriame pateikiamos gairės vyriausybėms, kaip užtikrinti skaidrumą ir atskaitomybę naudojant ekonomikos gaivinimo po COVID-19 lėšas, ir šiuo atžvilgiu palankiai vertina ombudsmenės pastangas pagerinti skaidrumo standartus, susijusius su EGADP;</w:t>
      </w:r>
    </w:p>
    <w:p w:rsidR="000C2EC7" w:rsidRPr="00120CA1" w:rsidRDefault="000C2EC7" w:rsidP="000C2EC7">
      <w:pPr>
        <w:pStyle w:val="NormalHanging12a"/>
      </w:pPr>
      <w:r w:rsidRPr="00120CA1">
        <w:t>18.</w:t>
      </w:r>
      <w:r w:rsidRPr="00120CA1">
        <w:tab/>
        <w:t>pabrėžia, kad savo strateginėje iniciatyvoje dėl to, kaip Komisija užtikrino skaidrumą ir subalansuotą atstovavimą interesams pagal bendrą žemės ūkio politiką (BŽŪP), ombudsmenė nustatė, kad trūksta pagrindinių BŽŪP nacionalinių strateginių planų elementų, įskaitant konkrečias priemones dėl biudžeto punktų ir tarpinių reikšmių, kurias reikia įgyvendinti, todėl piliečiams ir suinteresuotosioms šalims sunku suprasti sąlygas, kuriomis valstybės narės galėtų pasinaudoti pagal naująją BŽŪP teikiama parama; pritaria ombudsmenės raginimui, kad Komisija iniciatyviai atskleistų daugiau informacijos apie valstybių narių strateginių planų patvirtinimą pagal BŽŪP; prašo už žemės ūkį atsakingo Komisijos nario ir jo kabineto, taip pat Komisijos Žemės ūkio ir kaimo plėtros generalinio direktorato laikytis ombudsmenės rekomendacijų ir siekti teisingo ir subalansuoto atstovavimo tiek ūkininkų, tiek pilietinės visuomenės interesams jo posėdžiuose ir keičiantis informacija su interesų grupių atstovais, atsižvelgiant į tai, kad, kaip savo 2022 m. vasario mėn. laiške nurodė ombudsmenė, už žemės ūkį atsakingas Komisijos narys ir jo kabinetas surengė daugiau susitikimų su pramonės atstovais nei su aplinkosaugos organizacijomis ir kitomis organizacijomis, pvz., mokslinių tyrimų institucijomis; prašo Komisijos imtis aktyvaus vaidmens užtikrinant, kad būtų laikomasi valstybėms narėms nustatytų skaidrumo įpareigojimų, įskaitant pareigą atskleisti informaciją apie platesnius subjektus, kuriems priklauso lėšų gavėjai, ir pareigą skelbti visą paramos gavėjo gautų išmokų sumą, siekiant užtikrinti, kad visuomenė galėtų susipažinti su visa būtina informacija apie BŽŪP finansavimo gavėjus;</w:t>
      </w:r>
    </w:p>
    <w:p w:rsidR="000C2EC7" w:rsidRPr="00120CA1" w:rsidRDefault="000C2EC7" w:rsidP="000C2EC7">
      <w:pPr>
        <w:pStyle w:val="NormalHanging12a"/>
      </w:pPr>
      <w:r w:rsidRPr="00120CA1">
        <w:t>19.</w:t>
      </w:r>
      <w:r w:rsidRPr="00120CA1">
        <w:tab/>
        <w:t>apgailestauja, kad Komisijos požiūris į pilietinio dialogo grupių steigimą BŽŪP taikymo sričiai priklausančiais klausimais neatitiko ombudsmenės rekomendacijų ir turėjo keletą spragų, visų pirma dėl to, kad sudarant grupes nebuvo skaidriai ir aiškiai užtikrintas subalansuotas ekonominių ir neekonominių interesų atstovavimas;</w:t>
      </w:r>
    </w:p>
    <w:p w:rsidR="000C2EC7" w:rsidRPr="00120CA1" w:rsidRDefault="000C2EC7" w:rsidP="000C2EC7">
      <w:pPr>
        <w:pStyle w:val="NormalHanging12a"/>
      </w:pPr>
      <w:r w:rsidRPr="00120CA1">
        <w:t xml:space="preserve">20. </w:t>
      </w:r>
      <w:r w:rsidRPr="00120CA1">
        <w:tab/>
        <w:t>pabrėžia, jog svarbu, kad visos institucijos prašymus leisti susipažinti su dokumentais išnagrinėtų laiku, kad būtų išsaugotas informacijos aktualumas; pritaria ombudsmenės paskelbtam specialiajam pranešimui dėl laiko, kurį Komisija užtrunka nagrinėdama prašymus leisti susipažinti su dokumentais</w:t>
      </w:r>
      <w:r w:rsidRPr="00120CA1">
        <w:rPr>
          <w:rStyle w:val="FootnoteReference"/>
        </w:rPr>
        <w:footnoteReference w:id="10"/>
      </w:r>
      <w:r w:rsidRPr="00120CA1">
        <w:t xml:space="preserve">; yra susirūpinęs dėl to, kad Komisija </w:t>
      </w:r>
      <w:r w:rsidRPr="00120CA1">
        <w:lastRenderedPageBreak/>
        <w:t>sistemingai ir labai vėluoja tvarkyti tokius prašymus; pabrėžia, kad galimybė visuomenei susipažinti su dokumentais yra pagrindinė teisė pagal Reglamentą (EB) Nr. 1049/2001</w:t>
      </w:r>
      <w:r w:rsidRPr="00120CA1">
        <w:rPr>
          <w:rStyle w:val="FootnoteReference"/>
        </w:rPr>
        <w:footnoteReference w:id="11"/>
      </w:r>
      <w:r w:rsidRPr="00120CA1">
        <w:t>; primygtinai ragina Komisiją tobulinti savo administracinę praktiką, kad būtų laikomasi teisės aktų leidėjo nustatytų terminų, ir aiškiai bei aktyviai parodyti, kad skaidrumas yra taisyklė ir prioritetas nagrinėjant prašymus leisti visuomenei susipažinti su dokumentais; pabrėžia, kad ES institucijos turi skirti pakankamai žmogiškųjų išteklių, kad pagerintų prašymų leisti susipažinti su dokumentais tvarkymo veiksmingumą; primena, kad ombudsmenė rekomendavo iš esmės pakeisti Komisijos požiūrį į prašymų leisti susipažinti su dokumentais tvarkymą;</w:t>
      </w:r>
    </w:p>
    <w:p w:rsidR="000C2EC7" w:rsidRPr="00120CA1" w:rsidRDefault="000C2EC7" w:rsidP="000C2EC7">
      <w:pPr>
        <w:pStyle w:val="NormalHanging12a"/>
      </w:pPr>
      <w:r w:rsidRPr="00120CA1">
        <w:t>21.</w:t>
      </w:r>
      <w:r w:rsidRPr="00120CA1">
        <w:tab/>
        <w:t>pripažįsta ombudsmenės atliktą tyrimą dėl to, kad Komisija nenustatė, taigi, ir neįvertino galimo tekstinių žinučių, kuriomis keitėsi Komisijos pirmininkė ir farmacijos įmonės generalinis direktorius vakcinos nuo COVID-19 įsigijimo klausimu, atskleidimo; yra susirūpinęs dėl to, kad Komisijos požiūris yra netinkamas administravimas; pabrėžia, kad su darbu susijęs tekstas ir momentinės žinutės yra dokumentai pagal Reglamentą (EB) Nr. 1049/2001, ir pabrėžia, kad ypač svarbu laikytis šio principo; palankiai vertina ombudsmenės rekomendacijas ES administracijai dėl su darbu susijusių tekstų ir momentinių pranešimų registravimo; pabrėžia, jog svarbu, kad ES institucijos visapusiškai laikytųsi šių rekomendacijų, kad ES administracijos praktika atitiktų šiuolaikinius komunikacijos metodus; atkreipia dėmesį į Komisijos atsakymą, kad ji paskelbs daugiau gairių dėl šiuolaikinių komunikacijos priemonių, kaip antai tekstinių žinučių;</w:t>
      </w:r>
    </w:p>
    <w:p w:rsidR="000C2EC7" w:rsidRPr="00120CA1" w:rsidRDefault="000C2EC7" w:rsidP="000C2EC7">
      <w:pPr>
        <w:pStyle w:val="NormalHanging12a"/>
      </w:pPr>
      <w:r w:rsidRPr="00120CA1">
        <w:t>22.</w:t>
      </w:r>
      <w:r w:rsidRPr="00120CA1">
        <w:tab/>
        <w:t>ragina Tarybą pasimokyti iš ombudsmenės tyrimo dėl atsisakymo suteikti visuomenei visapusišką galimybę susipažinti su dokumentais, susijusiais su derybomis dėl Skaitmeninių rinkų akto projekto, dėl kurio 2022 m. ombudsmenė padarė išvadą, kad būta netinkamo administravimo atvejų; ragina Tarybą šiais atvejais taikyti aukščiausius skaidrumo standartus, ypač dėl to, kad ombudsmenė per ankstesnius strateginius tyrimus jau nustatė problemų, susijusių su jos teisėkūros proceso skaidrumu ir sprendimų priėmimu COVID-19 krizės metu; primena, kad skaidrumas yra vienas iš pagrindinių ES sutartyse nustatytų principų ir kad dėl nepakankamo skaidrumo gali sumažėti piliečių pasitikėjimas Europos institucijomis ir visa ES;</w:t>
      </w:r>
    </w:p>
    <w:p w:rsidR="000C2EC7" w:rsidRPr="00120CA1" w:rsidRDefault="000C2EC7" w:rsidP="000C2EC7">
      <w:pPr>
        <w:pStyle w:val="NormalHanging12a"/>
      </w:pPr>
      <w:r w:rsidRPr="00120CA1">
        <w:t>23.</w:t>
      </w:r>
      <w:r w:rsidRPr="00120CA1">
        <w:tab/>
        <w:t>pabrėžia ombudsmenės vykdomų tyrimą, kaip ES administracija laikosi žmogaus teisių, svarbą; pritaria ombudsmenės raginimui, kad Komisija sukurtų naują atskirą skundų nagrinėjimo portalą, skirtą įtariamiems žmogaus teisių pažeidimams, ir užtikrintų, kad ten galėtų būti pateikiami pilietinės visuomenės organizacijų ir kitų suinteresuotųjų subjektų šalyse, su kuriomis ES yra sudariusi prekybos susitarimus, su žmogaus teisėmis susiję skundai;</w:t>
      </w:r>
    </w:p>
    <w:p w:rsidR="000C2EC7" w:rsidRPr="00120CA1" w:rsidRDefault="000C2EC7" w:rsidP="000C2EC7">
      <w:pPr>
        <w:pStyle w:val="NormalHanging12a"/>
      </w:pPr>
      <w:r w:rsidRPr="00120CA1">
        <w:t>24.</w:t>
      </w:r>
      <w:r w:rsidRPr="00120CA1">
        <w:tab/>
        <w:t>atkreipia dėmesį į tai, kad ombudsmenė atliko strateginį tyrimą, kaip FRONTEX laikosi savo pagrindinių teisių ir skaidrumo įsipareigojimų pagal savo išplėstus įgaliojimus pagal Reglamentą (ES) 2019/1896</w:t>
      </w:r>
      <w:r w:rsidRPr="00120CA1">
        <w:rPr>
          <w:rStyle w:val="FootnoteReference"/>
          <w:lang w:eastAsia="x-none"/>
        </w:rPr>
        <w:footnoteReference w:id="12"/>
      </w:r>
      <w:r w:rsidRPr="00120CA1">
        <w:t xml:space="preserve">, pabrėžia, kad svarbu taikyti aukštus skaidrumo standartus, kad būtų galima vykdyti viešąją kontrolę, ir užtikrinti visapusišką pagarbą </w:t>
      </w:r>
      <w:r w:rsidRPr="00120CA1">
        <w:lastRenderedPageBreak/>
        <w:t>pagrindinėms teisėms visose FRONTEX operacijose, kad būtų pagerinta jos atskaitomybė; ragina FRONTEX užtikrinti tinkamus tolesnius veiksmus, susijusius su ombudsmenės pateiktomis rekomendacijomis;</w:t>
      </w:r>
    </w:p>
    <w:p w:rsidR="000C2EC7" w:rsidRPr="00120CA1" w:rsidRDefault="000C2EC7" w:rsidP="000C2EC7">
      <w:pPr>
        <w:pStyle w:val="NormalHanging12a"/>
      </w:pPr>
      <w:r w:rsidRPr="00120CA1">
        <w:t>25.</w:t>
      </w:r>
      <w:r w:rsidRPr="00120CA1">
        <w:tab/>
        <w:t>atkreipia dėmesį į ombudsmenės atliktą Komisijos sistemos, kuria stebima, kaip Kroatijos valdžios institucijos laikosi pagrindinių teisių vykdant ES lėšomis remiamas sienų valdymo operacijas, tyrimą, kurio pabaigoje ombudsmenė kritikavo Komisiją dėl to, kad ji delsė sukurti tinkamą Kroatijos valdžios institucijų sienų valdymo stebėsenos mechanizmą; primygtinai ragina Komisiją visada skubiai reaguoti į ombudsmenės pasiūlymus dėl patobulinimų, ypač tokiais atvejais, kaip šis, kai nustatomi dideli trūkumai;</w:t>
      </w:r>
    </w:p>
    <w:p w:rsidR="000C2EC7" w:rsidRPr="00120CA1" w:rsidRDefault="000C2EC7" w:rsidP="000C2EC7">
      <w:pPr>
        <w:pStyle w:val="NormalHanging12a"/>
      </w:pPr>
      <w:r w:rsidRPr="00120CA1">
        <w:t>26.</w:t>
      </w:r>
      <w:r w:rsidRPr="00120CA1">
        <w:tab/>
        <w:t>palankiai vertina tai, kad, remdamasis ombudsmenės praktinėmis rekomendacijomis dėl oficialiųjų kalbų vartojimo bendraujant su visuomene, ES agentūrų tinklas susitarė dėl daugiakalbės politikos gairių;</w:t>
      </w:r>
    </w:p>
    <w:p w:rsidR="000C2EC7" w:rsidRPr="00120CA1" w:rsidRDefault="000C2EC7" w:rsidP="000C2EC7">
      <w:pPr>
        <w:pStyle w:val="NormalHanging12a"/>
      </w:pPr>
      <w:r w:rsidRPr="00120CA1">
        <w:t>27.</w:t>
      </w:r>
      <w:r w:rsidRPr="00120CA1">
        <w:tab/>
        <w:t>atkreipia dėmesį į tai, kad 2022 m. Europos ombudsmeno statutas buvo atnaujintas įgyvendinimo nuostatomis, kuriose išsamiai išdėstytos ombudsmeno tarnybos darbo procedūros; mano, kad naujos nuostatos padės pagerinti ombudsmeno darbą;</w:t>
      </w:r>
    </w:p>
    <w:p w:rsidR="000C2EC7" w:rsidRPr="00120CA1" w:rsidRDefault="000C2EC7" w:rsidP="000C2EC7">
      <w:pPr>
        <w:pStyle w:val="NormalHanging12a"/>
        <w:rPr>
          <w:szCs w:val="24"/>
        </w:rPr>
      </w:pPr>
      <w:r w:rsidRPr="00120CA1">
        <w:t>28.</w:t>
      </w:r>
      <w:r w:rsidRPr="00120CA1">
        <w:tab/>
        <w:t>palankiai vertina ombudsmenės įsipareigojimą stebėti, kaip ES administracija įgyvendina Jungtinių Tautų neįgaliųjų teisių konvenciją; palankiai vertina ombudsmenės, kaip JT neįgaliųjų teisių konvencijos ES sistemos narės, darbą;</w:t>
      </w:r>
    </w:p>
    <w:p w:rsidR="000C2EC7" w:rsidRPr="00120CA1" w:rsidRDefault="000C2EC7" w:rsidP="000C2EC7">
      <w:pPr>
        <w:pStyle w:val="NormalHanging12a"/>
        <w:rPr>
          <w:szCs w:val="24"/>
        </w:rPr>
      </w:pPr>
      <w:r w:rsidRPr="00120CA1">
        <w:t>29.</w:t>
      </w:r>
      <w:r w:rsidRPr="00120CA1">
        <w:tab/>
        <w:t>atkreipia dėmesį į ombudsmenės tyrimo savo iniciatyva dėl to, kaip Komisija stebi ES struktūrinius ir investicijų fondus, siekdama užtikrinti, kad jie būtų naudojami neįgaliųjų teisei į savarankišką gyvenimą ir įtraukumui į bendruomenę skatinti, rezultatus; palankiai vertina pasiūlymą pateikti aiškesnes gaires dėl būtinybės skatinti deinstitucionalizavimą naudojant ES struktūrinius ir investicijų fondus;</w:t>
      </w:r>
    </w:p>
    <w:p w:rsidR="000C2EC7" w:rsidRPr="00120CA1" w:rsidRDefault="000C2EC7" w:rsidP="000C2EC7">
      <w:pPr>
        <w:pStyle w:val="NormalHanging12a"/>
        <w:rPr>
          <w:szCs w:val="24"/>
        </w:rPr>
      </w:pPr>
      <w:r w:rsidRPr="00120CA1">
        <w:t>30.</w:t>
      </w:r>
      <w:r w:rsidRPr="00120CA1">
        <w:tab/>
        <w:t>ragina ombudsmenę toliau keistis patirtimi ir geriausios praktikos pavyzdžiais su nacionaliniais ombudsmenais per Europos ombudsmenų tinklą; palankiai vertina tai, kad 2022 m. Europos ombudsmenų tinklo metinėje konferencijoje daugiausia dėmesio skirta geriausiai pagalbos pabėgėliams praktikai ir buvo nagrinėjamas viešųjų paslaugų skaitmeninimo poveikis piliečių teisėms; palankiai vertina tai, kad į Europos ombudsmenų tinklą įtraukti Ukrainos ir Moldovos ombudsmenų biurai;</w:t>
      </w:r>
    </w:p>
    <w:p w:rsidR="000C2EC7" w:rsidRPr="00120CA1" w:rsidRDefault="000C2EC7" w:rsidP="000C2EC7">
      <w:pPr>
        <w:pStyle w:val="NormalHanging12a"/>
      </w:pPr>
      <w:r w:rsidRPr="00120CA1">
        <w:t>31.</w:t>
      </w:r>
      <w:r w:rsidRPr="00120CA1">
        <w:tab/>
        <w:t>palankiai vertina nuolatines ombudsmenės pastangas toliau didinti savo veiklos matomumą, be kita ko, naudojantis internetinėmis priemonėmis ir daugiakalbe interneto svetaine, kurioje teikiama pagalba visomis 24 oficialiosiomis ES kalbomis;</w:t>
      </w:r>
    </w:p>
    <w:p w:rsidR="000C2EC7" w:rsidRPr="00120CA1" w:rsidRDefault="000C2EC7" w:rsidP="000C2EC7">
      <w:pPr>
        <w:pStyle w:val="NormalHanging12a"/>
      </w:pPr>
      <w:r w:rsidRPr="00120CA1">
        <w:t>32.</w:t>
      </w:r>
      <w:r w:rsidRPr="00120CA1">
        <w:tab/>
        <w:t>palankiai vertina vaisingą ir ilgalaikį ombudsmenės ir Europos Parlamento Peticijų komiteto dialogą; pabrėžia, kad intensyvus šių dviejų organų bendradarbiavimas padeda didinti ES institucijų demokratinę atskaitomybę ir priartina jas prie piliečių;</w:t>
      </w:r>
    </w:p>
    <w:p w:rsidR="000C2EC7" w:rsidRPr="00120CA1" w:rsidRDefault="000C2EC7" w:rsidP="00DA5BB3">
      <w:pPr>
        <w:pStyle w:val="NormalHanging12a"/>
        <w:rPr>
          <w:b/>
          <w:szCs w:val="24"/>
        </w:rPr>
      </w:pPr>
      <w:r w:rsidRPr="00120CA1">
        <w:t>33.</w:t>
      </w:r>
      <w:r w:rsidRPr="00120CA1">
        <w:tab/>
        <w:t>paveda Pirmininkei perduoti šią rezoliuciją ir Peticijų komiteto pranešimą Tarybai, Komisijai, Europos ombudsmenei, valstybių narių vyriausybėms ir parlamentams bei jų ombudsmenams arba panašioms kompetentingoms institucijoms.</w:t>
      </w:r>
    </w:p>
    <w:p w:rsidR="00E365E1" w:rsidRPr="00120CA1" w:rsidRDefault="00E365E1" w:rsidP="00FA16F6">
      <w:bookmarkStart w:id="9" w:name="TextBodyEnd"/>
      <w:bookmarkEnd w:id="9"/>
    </w:p>
    <w:sectPr w:rsidR="00E365E1" w:rsidRPr="00120CA1" w:rsidSect="00120C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6F6" w:rsidRPr="00120CA1" w:rsidRDefault="00FA16F6">
      <w:r w:rsidRPr="00120CA1">
        <w:separator/>
      </w:r>
    </w:p>
  </w:endnote>
  <w:endnote w:type="continuationSeparator" w:id="0">
    <w:p w:rsidR="00FA16F6" w:rsidRPr="00120CA1" w:rsidRDefault="00FA16F6">
      <w:r w:rsidRPr="00120C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C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C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C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6F6" w:rsidRPr="00120CA1" w:rsidRDefault="00FA16F6">
      <w:r w:rsidRPr="00120CA1">
        <w:separator/>
      </w:r>
    </w:p>
  </w:footnote>
  <w:footnote w:type="continuationSeparator" w:id="0">
    <w:p w:rsidR="00FA16F6" w:rsidRPr="00120CA1" w:rsidRDefault="00FA16F6">
      <w:r w:rsidRPr="00120CA1">
        <w:continuationSeparator/>
      </w:r>
    </w:p>
  </w:footnote>
  <w:footnote w:id="1">
    <w:p w:rsidR="000C2EC7" w:rsidRPr="00120CA1" w:rsidRDefault="000C2EC7" w:rsidP="00120CA1">
      <w:pPr>
        <w:pStyle w:val="FootnoteText"/>
        <w:ind w:left="567" w:hanging="567"/>
        <w:rPr>
          <w:sz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OL L 253, 2021 7 16, p. 1.</w:t>
      </w:r>
    </w:p>
  </w:footnote>
  <w:footnote w:id="2">
    <w:p w:rsidR="000C2EC7" w:rsidRPr="00120CA1" w:rsidRDefault="000C2EC7" w:rsidP="00120CA1">
      <w:pPr>
        <w:pStyle w:val="FootnoteText"/>
        <w:ind w:left="567" w:hanging="567"/>
        <w:rPr>
          <w:sz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 xml:space="preserve">Europos ombudsmenas, </w:t>
      </w:r>
      <w:hyperlink r:id="rId1" w:history="1">
        <w:r w:rsidRPr="00120CA1">
          <w:rPr>
            <w:rStyle w:val="Hyperlink"/>
            <w:sz w:val="24"/>
            <w:lang w:val="lt-LT"/>
          </w:rPr>
          <w:t>„Taryba turėtų suteikti visuomenei galimybę greičiau susipažinti su teisėkūros dokumentais“</w:t>
        </w:r>
      </w:hyperlink>
      <w:r w:rsidRPr="00120CA1">
        <w:rPr>
          <w:sz w:val="24"/>
          <w:lang w:val="lt-LT"/>
        </w:rPr>
        <w:t xml:space="preserve"> (tik anglų k.), 2022 m. birželio 29 d.</w:t>
      </w:r>
    </w:p>
  </w:footnote>
  <w:footnote w:id="3">
    <w:p w:rsidR="000C2EC7" w:rsidRPr="00120CA1" w:rsidRDefault="000C2EC7" w:rsidP="00120CA1">
      <w:pPr>
        <w:pStyle w:val="FootnoteText"/>
        <w:ind w:left="567" w:hanging="567"/>
        <w:rPr>
          <w:sz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 xml:space="preserve">Europos ombudsmenas, </w:t>
      </w:r>
      <w:hyperlink r:id="rId2" w:history="1">
        <w:r w:rsidRPr="00120CA1">
          <w:rPr>
            <w:rStyle w:val="Hyperlink"/>
            <w:sz w:val="24"/>
            <w:lang w:val="lt-LT"/>
          </w:rPr>
          <w:t>Sprendimas dėl Europos Komisijos atsisakymo leisti visuomenei susipažinti su tekstinėmis žinutėmis, kuriomis susirašinėjo Komisijos pirmininkė ir farmacijos įmonės generalinis direktorius dėl vakcinos nuo COVID-19 įsigijimo (byla 1316/2021/MIG)</w:t>
        </w:r>
      </w:hyperlink>
      <w:r w:rsidRPr="00120CA1">
        <w:rPr>
          <w:sz w:val="24"/>
          <w:lang w:val="lt-LT"/>
        </w:rPr>
        <w:t xml:space="preserve"> (tik anglų k.), 2022 m. liepos 12 d.</w:t>
      </w:r>
    </w:p>
  </w:footnote>
  <w:footnote w:id="4">
    <w:p w:rsidR="000C2EC7" w:rsidRPr="00120CA1" w:rsidRDefault="000C2EC7" w:rsidP="00120CA1">
      <w:pPr>
        <w:pStyle w:val="FootnoteText"/>
        <w:ind w:left="567" w:hanging="567"/>
        <w:rPr>
          <w:sz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 xml:space="preserve">Europos ombudsmenas, </w:t>
      </w:r>
      <w:hyperlink r:id="rId3" w:history="1">
        <w:r w:rsidRPr="00120CA1">
          <w:rPr>
            <w:rStyle w:val="Hyperlink"/>
            <w:sz w:val="24"/>
            <w:lang w:val="lt-LT"/>
          </w:rPr>
          <w:t>„Ombudsmenė kritikuoja tai, kaip Komisija nagrinėjo prašymą leisti susipažinti su Pirmininkės tekstinėmis žinutėmis“</w:t>
        </w:r>
      </w:hyperlink>
      <w:r w:rsidRPr="00120CA1">
        <w:rPr>
          <w:sz w:val="24"/>
          <w:lang w:val="lt-LT"/>
        </w:rPr>
        <w:t xml:space="preserve"> (tik anglų k.), 2022 m. sausio 28 d.</w:t>
      </w:r>
    </w:p>
  </w:footnote>
  <w:footnote w:id="5">
    <w:p w:rsidR="000C2EC7" w:rsidRPr="00120CA1" w:rsidRDefault="000C2EC7" w:rsidP="00120CA1">
      <w:pPr>
        <w:pStyle w:val="FootnoteText"/>
        <w:ind w:left="567" w:hanging="567"/>
        <w:rPr>
          <w:sz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 xml:space="preserve">Europos ombudsmenas, </w:t>
      </w:r>
      <w:hyperlink r:id="rId4" w:history="1">
        <w:r w:rsidRPr="00120CA1">
          <w:rPr>
            <w:rStyle w:val="Hyperlink"/>
            <w:sz w:val="24"/>
            <w:lang w:val="lt-LT"/>
          </w:rPr>
          <w:t>„Ombudsmenė pradeda tyrimą dėl to, kaip ECB tvarko „sukamųjų durų“ reiškinį“</w:t>
        </w:r>
      </w:hyperlink>
      <w:r w:rsidRPr="00120CA1">
        <w:rPr>
          <w:sz w:val="24"/>
          <w:lang w:val="lt-LT"/>
        </w:rPr>
        <w:t xml:space="preserve"> (tik anglų k.), 2022 m. kovo 3 d.</w:t>
      </w:r>
    </w:p>
  </w:footnote>
  <w:footnote w:id="6">
    <w:p w:rsidR="000C2EC7" w:rsidRPr="00120CA1" w:rsidRDefault="000C2EC7" w:rsidP="00120CA1">
      <w:pPr>
        <w:pStyle w:val="FootnoteText"/>
        <w:ind w:left="567" w:hanging="567"/>
        <w:rPr>
          <w:sz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 xml:space="preserve">Europos ombudsmenas, </w:t>
      </w:r>
      <w:hyperlink r:id="rId5" w:history="1">
        <w:r w:rsidRPr="00120CA1">
          <w:rPr>
            <w:rStyle w:val="Hyperlink"/>
            <w:sz w:val="24"/>
            <w:lang w:val="lt-LT"/>
          </w:rPr>
          <w:t>Sprendimas dėl laiko, kurį užtrunka Europos Komisija, kad išnagrinėtų prašymus dėl galimybės visuomenei susipažinti su dokumentais (strateginis tyrimas OI/2/2022/OAM)“</w:t>
        </w:r>
      </w:hyperlink>
      <w:r w:rsidRPr="00120CA1">
        <w:rPr>
          <w:sz w:val="24"/>
          <w:lang w:val="lt-LT"/>
        </w:rPr>
        <w:t xml:space="preserve"> (tik anglų k.), 2023 m. rugsėjo 18 d. </w:t>
      </w:r>
    </w:p>
  </w:footnote>
  <w:footnote w:id="7">
    <w:p w:rsidR="000C2EC7" w:rsidRPr="00120CA1" w:rsidRDefault="000C2EC7" w:rsidP="00120CA1">
      <w:pPr>
        <w:pStyle w:val="FootnoteText"/>
        <w:ind w:left="567" w:hanging="567"/>
        <w:rPr>
          <w:sz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 xml:space="preserve">Europos ombudsmenas, </w:t>
      </w:r>
      <w:hyperlink r:id="rId6" w:history="1">
        <w:r w:rsidRPr="00120CA1">
          <w:rPr>
            <w:rStyle w:val="Hyperlink"/>
            <w:sz w:val="24"/>
            <w:lang w:val="lt-LT"/>
          </w:rPr>
          <w:t>„Ombudsmenė ragina didinti skaidrumą, susijusį su ES ekonomikos gaivinimo lėšomis“</w:t>
        </w:r>
      </w:hyperlink>
      <w:r w:rsidRPr="00120CA1">
        <w:rPr>
          <w:sz w:val="24"/>
          <w:lang w:val="lt-LT"/>
        </w:rPr>
        <w:t xml:space="preserve"> (tik anglų k.), 2022 m. gruodžio 1 d.</w:t>
      </w:r>
    </w:p>
  </w:footnote>
  <w:footnote w:id="8">
    <w:p w:rsidR="000C2EC7" w:rsidRPr="00120CA1" w:rsidRDefault="000C2EC7" w:rsidP="00120CA1">
      <w:pPr>
        <w:pStyle w:val="FootnoteText"/>
        <w:ind w:left="567" w:hanging="567"/>
        <w:rPr>
          <w:sz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 xml:space="preserve">Europos ombudsmenas, </w:t>
      </w:r>
      <w:hyperlink r:id="rId7" w:history="1">
        <w:r w:rsidRPr="00120CA1">
          <w:rPr>
            <w:rStyle w:val="Hyperlink"/>
            <w:sz w:val="24"/>
            <w:lang w:val="lt-LT"/>
          </w:rPr>
          <w:t>„Europos Komisijos atsisakymo leisti visuomenei susipažinti su dokumentais, susijusiais su jos pasiūlymu dėl Reglamento dėl Europos s</w:t>
        </w:r>
        <w:r w:rsidR="00827DD7">
          <w:rPr>
            <w:rStyle w:val="Hyperlink"/>
            <w:sz w:val="24"/>
            <w:lang w:val="lt-LT"/>
          </w:rPr>
          <w:t>veikatos duomenų erdvės (COM(202</w:t>
        </w:r>
        <w:bookmarkStart w:id="8" w:name="_GoBack"/>
        <w:bookmarkEnd w:id="8"/>
        <w:r w:rsidRPr="00120CA1">
          <w:rPr>
            <w:rStyle w:val="Hyperlink"/>
            <w:sz w:val="24"/>
            <w:lang w:val="lt-LT"/>
          </w:rPr>
          <w:t>2) 197 final)“</w:t>
        </w:r>
      </w:hyperlink>
      <w:r w:rsidRPr="00120CA1">
        <w:rPr>
          <w:sz w:val="24"/>
          <w:lang w:val="lt-LT"/>
        </w:rPr>
        <w:t xml:space="preserve"> (tik anglų k.), tyrimas pradėtas 2022 m. lapkričio 28 d.</w:t>
      </w:r>
    </w:p>
  </w:footnote>
  <w:footnote w:id="9">
    <w:p w:rsidR="000C2EC7" w:rsidRPr="00120CA1" w:rsidRDefault="000C2EC7" w:rsidP="00120CA1">
      <w:pPr>
        <w:pStyle w:val="FootnoteText"/>
        <w:ind w:left="567" w:hanging="567"/>
        <w:rPr>
          <w:sz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 xml:space="preserve">Europos ombudsmenas, </w:t>
      </w:r>
      <w:hyperlink r:id="rId8" w:history="1">
        <w:r w:rsidRPr="00120CA1">
          <w:rPr>
            <w:rStyle w:val="Hyperlink"/>
            <w:sz w:val="24"/>
            <w:lang w:val="lt-LT"/>
          </w:rPr>
          <w:t>„Kaip Europos Komisija nagrinėjo prašymą leisti visuomenei susipažinti su Reglamentavimo patikros valdybos narių interesų deklaracijomis“</w:t>
        </w:r>
      </w:hyperlink>
      <w:r w:rsidRPr="00120CA1">
        <w:rPr>
          <w:sz w:val="24"/>
          <w:lang w:val="lt-LT"/>
        </w:rPr>
        <w:t xml:space="preserve"> (tik anglų k.), 2022 m. gruodžio 20 d. priimtas sprendimas.</w:t>
      </w:r>
    </w:p>
  </w:footnote>
  <w:footnote w:id="10">
    <w:p w:rsidR="000C2EC7" w:rsidRPr="00120CA1" w:rsidRDefault="000C2EC7" w:rsidP="00120CA1">
      <w:pPr>
        <w:pStyle w:val="FootnoteText"/>
        <w:ind w:left="567" w:hanging="567"/>
        <w:rPr>
          <w:sz w:val="24"/>
          <w:szCs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 xml:space="preserve">Europos ombudsmenas, </w:t>
      </w:r>
      <w:hyperlink r:id="rId9" w:history="1">
        <w:r w:rsidRPr="00120CA1">
          <w:rPr>
            <w:rStyle w:val="Hyperlink"/>
            <w:sz w:val="24"/>
            <w:lang w:val="lt-LT"/>
          </w:rPr>
          <w:t>„Ombudsmenas pradeda tyrimą dėl laiko, kurį Komisija užtrunka nagrinėdama prašymus leisti susipažinti su dokumentais“</w:t>
        </w:r>
      </w:hyperlink>
      <w:r w:rsidRPr="00120CA1">
        <w:rPr>
          <w:sz w:val="24"/>
          <w:lang w:val="lt-LT"/>
        </w:rPr>
        <w:t xml:space="preserve"> (anglų k.), 2022 m. balandžio 6 d.</w:t>
      </w:r>
    </w:p>
  </w:footnote>
  <w:footnote w:id="11">
    <w:p w:rsidR="000C2EC7" w:rsidRPr="00120CA1" w:rsidRDefault="000C2EC7" w:rsidP="00120CA1">
      <w:pPr>
        <w:pStyle w:val="FootnoteText"/>
        <w:ind w:left="567" w:hanging="567"/>
        <w:rPr>
          <w:sz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2001 m. gegužės 30 d. Europos Parlamento ir Tarybos reglamentas (EB) Nr. 1049/2001 dėl galimybės visuomenei susipažinti su Europos Parlamento, Tarybos ir Komisijos dokumentais (OL L 145, 2001 5 31, p. 43).</w:t>
      </w:r>
    </w:p>
  </w:footnote>
  <w:footnote w:id="12">
    <w:p w:rsidR="000C2EC7" w:rsidRPr="00120CA1" w:rsidRDefault="000C2EC7" w:rsidP="00120CA1">
      <w:pPr>
        <w:pStyle w:val="FootnoteText"/>
        <w:ind w:left="567" w:hanging="567"/>
        <w:rPr>
          <w:sz w:val="24"/>
          <w:lang w:val="lt-LT"/>
        </w:rPr>
      </w:pPr>
      <w:r w:rsidRPr="00120CA1">
        <w:rPr>
          <w:rStyle w:val="FootnoteReference"/>
          <w:sz w:val="24"/>
          <w:lang w:val="lt-LT"/>
        </w:rPr>
        <w:footnoteRef/>
      </w:r>
      <w:r w:rsidR="00120CA1" w:rsidRPr="00120CA1">
        <w:rPr>
          <w:sz w:val="24"/>
          <w:lang w:val="lt-LT"/>
        </w:rPr>
        <w:t xml:space="preserve"> </w:t>
      </w:r>
      <w:r w:rsidR="00120CA1" w:rsidRPr="00120CA1">
        <w:rPr>
          <w:sz w:val="24"/>
          <w:lang w:val="lt-LT"/>
        </w:rPr>
        <w:tab/>
      </w:r>
      <w:r w:rsidRPr="00120CA1">
        <w:rPr>
          <w:sz w:val="24"/>
          <w:lang w:val="lt-LT"/>
        </w:rPr>
        <w:t>2019 m. lapkričio 13 d. Europos Parlamento ir Tarybos reglamentas (ES) 2019/1896 dėl Europos sienų ir pakrančių apsaugos pajėgų, kuriuo panaikinami reglamentai (ES) Nr. 1052/2013 ir (ES) 2016/1624 (OL L 295, 2019 11 14,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C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C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C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4"/>
    <w:docVar w:name="dvlangue" w:val="LT"/>
    <w:docVar w:name="dvnumam" w:val="0"/>
    <w:docVar w:name="dvpe" w:val="751.674"/>
    <w:docVar w:name="dvrapporteur" w:val="Pranešėjas: "/>
    <w:docVar w:name="dvtitre" w:val="Europos Parlamento rezoliucija dėl metinio pranešimo apie Europos ombudsmeno 2022 m. veiklą(2023/2120(INI))"/>
  </w:docVars>
  <w:rsids>
    <w:rsidRoot w:val="00FA16F6"/>
    <w:rsid w:val="00002272"/>
    <w:rsid w:val="00064002"/>
    <w:rsid w:val="000677B9"/>
    <w:rsid w:val="000831BA"/>
    <w:rsid w:val="000A42CC"/>
    <w:rsid w:val="000C2EC7"/>
    <w:rsid w:val="000E7DD9"/>
    <w:rsid w:val="0010095E"/>
    <w:rsid w:val="00120CA1"/>
    <w:rsid w:val="00125B37"/>
    <w:rsid w:val="00187494"/>
    <w:rsid w:val="001F32AE"/>
    <w:rsid w:val="0024598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2BB"/>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7DD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BB3"/>
    <w:rsid w:val="00DA7FCD"/>
    <w:rsid w:val="00E365E1"/>
    <w:rsid w:val="00E820A4"/>
    <w:rsid w:val="00EB006A"/>
    <w:rsid w:val="00EB4772"/>
    <w:rsid w:val="00ED169E"/>
    <w:rsid w:val="00ED4235"/>
    <w:rsid w:val="00F04346"/>
    <w:rsid w:val="00F075DC"/>
    <w:rsid w:val="00F149E9"/>
    <w:rsid w:val="00F5134D"/>
    <w:rsid w:val="00F74202"/>
    <w:rsid w:val="00F87713"/>
    <w:rsid w:val="00FA16F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FD0F8"/>
  <w15:chartTrackingRefBased/>
  <w15:docId w15:val="{445CC8CE-8D30-4351-9277-3C13E66BB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2EC7"/>
    <w:pPr>
      <w:spacing w:before="480" w:after="240"/>
    </w:pPr>
  </w:style>
  <w:style w:type="paragraph" w:customStyle="1" w:styleId="NormalHanging12a">
    <w:name w:val="NormalHanging12a"/>
    <w:basedOn w:val="Normal"/>
    <w:link w:val="NormalHanging12aChar"/>
    <w:rsid w:val="000C2EC7"/>
    <w:pPr>
      <w:spacing w:after="240"/>
      <w:ind w:left="567" w:hanging="567"/>
    </w:pPr>
  </w:style>
  <w:style w:type="character" w:customStyle="1" w:styleId="NormalHanging12aChar">
    <w:name w:val="NormalHanging12a Char"/>
    <w:basedOn w:val="DefaultParagraphFont"/>
    <w:link w:val="NormalHanging12a"/>
    <w:locked/>
    <w:rsid w:val="000C2EC7"/>
    <w:rPr>
      <w:sz w:val="24"/>
      <w:lang w:val="lt-LT"/>
    </w:rPr>
  </w:style>
  <w:style w:type="character" w:customStyle="1" w:styleId="graphbold">
    <w:name w:val="graph bold"/>
    <w:basedOn w:val="DefaultParagraphFont"/>
    <w:uiPriority w:val="1"/>
    <w:qFormat/>
    <w:rsid w:val="000C2EC7"/>
    <w:rPr>
      <w:rFonts w:ascii="Arial" w:hAnsi="Arial" w:cs="Arial" w:hint="default"/>
      <w:b/>
      <w:bCs w:val="0"/>
      <w:sz w:val="16"/>
    </w:rPr>
  </w:style>
  <w:style w:type="character" w:styleId="Hyperlink">
    <w:name w:val="Hyperlink"/>
    <w:basedOn w:val="DefaultParagraphFont"/>
    <w:uiPriority w:val="99"/>
    <w:unhideWhenUsed/>
    <w:rsid w:val="000C2EC7"/>
    <w:rPr>
      <w:rFonts w:cs="Times New Roman"/>
      <w:color w:val="0563C1" w:themeColor="hyperlink"/>
      <w:u w:val="single"/>
    </w:rPr>
  </w:style>
  <w:style w:type="paragraph" w:styleId="BalloonText">
    <w:name w:val="Balloon Text"/>
    <w:basedOn w:val="Normal"/>
    <w:link w:val="BalloonTextChar"/>
    <w:rsid w:val="005D02BB"/>
    <w:rPr>
      <w:rFonts w:ascii="Segoe UI" w:hAnsi="Segoe UI" w:cs="Segoe UI"/>
      <w:sz w:val="18"/>
      <w:szCs w:val="18"/>
    </w:rPr>
  </w:style>
  <w:style w:type="character" w:customStyle="1" w:styleId="BalloonTextChar">
    <w:name w:val="Balloon Text Char"/>
    <w:basedOn w:val="DefaultParagraphFont"/>
    <w:link w:val="BalloonText"/>
    <w:rsid w:val="005D02B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en/opening-summary/en/163838" TargetMode="External"/><Relationship Id="rId3" Type="http://schemas.openxmlformats.org/officeDocument/2006/relationships/hyperlink" Target="https://www.ombudsman.europa.eu/en/news-document/en/151742" TargetMode="External"/><Relationship Id="rId7" Type="http://schemas.openxmlformats.org/officeDocument/2006/relationships/hyperlink" Target="https://www.ombudsman.europa.eu/en/case/en/62762" TargetMode="External"/><Relationship Id="rId2" Type="http://schemas.openxmlformats.org/officeDocument/2006/relationships/hyperlink" Target="https://www.ombudsman.europa.eu/en/decision/en/158295" TargetMode="External"/><Relationship Id="rId1" Type="http://schemas.openxmlformats.org/officeDocument/2006/relationships/hyperlink" Target="https://www.ombudsman.europa.eu/en/news-document/en/157774" TargetMode="External"/><Relationship Id="rId6" Type="http://schemas.openxmlformats.org/officeDocument/2006/relationships/hyperlink" Target="https://www.ombudsman.europa.eu/en/news-document/en/163567" TargetMode="External"/><Relationship Id="rId5" Type="http://schemas.openxmlformats.org/officeDocument/2006/relationships/hyperlink" Target="https://www.ombudsman.europa.eu/en/decision/en/175321" TargetMode="External"/><Relationship Id="rId4" Type="http://schemas.openxmlformats.org/officeDocument/2006/relationships/hyperlink" Target="https://www.ombudsman.europa.eu/en/news-document/en/153137" TargetMode="External"/><Relationship Id="rId9" Type="http://schemas.openxmlformats.org/officeDocument/2006/relationships/hyperlink" Target="https://www.ombudsman.europa.eu/en/news-document/en/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2E024-3B7F-4801-94D3-7A21E80E4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3889</Words>
  <Characters>22172</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2024-02-15T13:58:00Z</dcterms:created>
  <dcterms:modified xsi:type="dcterms:W3CDTF">2024-02-15T13:58:00Z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A9-0414/2024</vt:lpwstr>
  </property>
  <property fmtid="{D5CDD505-2E9C-101B-9397-08002B2CF9AE}" pid="4" name="&lt;Type&gt;">
    <vt:lpwstr>RR</vt:lpwstr>
  </property>
</Properties>
</file>