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17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17CA" w:rsidRDefault="00D83C0B" w:rsidP="0010095E">
            <w:pPr>
              <w:pStyle w:val="EPName"/>
            </w:pPr>
            <w:r w:rsidRPr="00BB17CA">
              <w:t>Parlament Europejski</w:t>
            </w:r>
          </w:p>
          <w:p w:rsidR="00751A4A" w:rsidRPr="00BB17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17C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B17CA" w:rsidRDefault="00187494" w:rsidP="0010095E">
            <w:pPr>
              <w:pStyle w:val="EPLogo"/>
            </w:pPr>
            <w:r w:rsidRPr="00BB17CA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17CA" w:rsidRDefault="00D058B8" w:rsidP="004C5D52">
      <w:pPr>
        <w:pStyle w:val="LineTop"/>
      </w:pPr>
    </w:p>
    <w:p w:rsidR="00680577" w:rsidRPr="00BB17CA" w:rsidRDefault="00D83C0B" w:rsidP="00680577">
      <w:pPr>
        <w:pStyle w:val="EPBodyTA1"/>
      </w:pPr>
      <w:r w:rsidRPr="00BB17CA">
        <w:t>TEKSTY PRZYJĘTE</w:t>
      </w:r>
    </w:p>
    <w:p w:rsidR="00D058B8" w:rsidRPr="00BB17CA" w:rsidRDefault="00D058B8" w:rsidP="00D058B8">
      <w:pPr>
        <w:pStyle w:val="LineBottom"/>
      </w:pPr>
    </w:p>
    <w:p w:rsidR="00D83C0B" w:rsidRPr="00BB17CA" w:rsidRDefault="00D83C0B" w:rsidP="00D83C0B">
      <w:pPr>
        <w:pStyle w:val="ATHeading1"/>
      </w:pPr>
      <w:bookmarkStart w:id="0" w:name="TANumber"/>
      <w:r w:rsidRPr="00BB17CA">
        <w:t>P9_TA(2024)00</w:t>
      </w:r>
      <w:bookmarkEnd w:id="0"/>
      <w:r w:rsidR="000A0647">
        <w:t>35</w:t>
      </w:r>
    </w:p>
    <w:p w:rsidR="00D83C0B" w:rsidRPr="00BB17CA" w:rsidRDefault="00D83C0B" w:rsidP="00D83C0B">
      <w:pPr>
        <w:pStyle w:val="ATHeading2"/>
      </w:pPr>
      <w:bookmarkStart w:id="1" w:name="title"/>
      <w:r w:rsidRPr="00BB17CA">
        <w:t>Działalność Europejskiego Rzecznika Praw Obywatelskich</w:t>
      </w:r>
      <w:bookmarkEnd w:id="1"/>
    </w:p>
    <w:p w:rsidR="00D83C0B" w:rsidRPr="00BB17CA" w:rsidRDefault="00D83C0B" w:rsidP="00D83C0B">
      <w:pPr>
        <w:rPr>
          <w:i/>
          <w:vanish/>
        </w:rPr>
      </w:pPr>
      <w:r w:rsidRPr="00BB17CA">
        <w:rPr>
          <w:i/>
        </w:rPr>
        <w:fldChar w:fldCharType="begin"/>
      </w:r>
      <w:r w:rsidRPr="00BB17CA">
        <w:rPr>
          <w:i/>
        </w:rPr>
        <w:instrText xml:space="preserve"> TC"(</w:instrText>
      </w:r>
      <w:bookmarkStart w:id="2" w:name="DocNumber"/>
      <w:r w:rsidRPr="00BB17CA">
        <w:rPr>
          <w:i/>
        </w:rPr>
        <w:instrText>A9-0414/2023</w:instrText>
      </w:r>
      <w:bookmarkEnd w:id="2"/>
      <w:r w:rsidRPr="00BB17CA">
        <w:rPr>
          <w:i/>
        </w:rPr>
        <w:instrText xml:space="preserve"> - Sprawozdawca: Peter Jahr)"\l3 \n&gt; \* MERGEFORMAT </w:instrText>
      </w:r>
      <w:r w:rsidRPr="00BB17CA">
        <w:rPr>
          <w:i/>
        </w:rPr>
        <w:fldChar w:fldCharType="end"/>
      </w:r>
    </w:p>
    <w:p w:rsidR="00D83C0B" w:rsidRPr="00BB17CA" w:rsidRDefault="00D83C0B" w:rsidP="00D83C0B">
      <w:pPr>
        <w:rPr>
          <w:vanish/>
        </w:rPr>
      </w:pPr>
      <w:bookmarkStart w:id="3" w:name="Commission"/>
      <w:r w:rsidRPr="00BB17CA">
        <w:rPr>
          <w:vanish/>
        </w:rPr>
        <w:t>Komisja Petycji</w:t>
      </w:r>
      <w:bookmarkEnd w:id="3"/>
    </w:p>
    <w:p w:rsidR="00D83C0B" w:rsidRPr="00BB17CA" w:rsidRDefault="00D83C0B" w:rsidP="00D83C0B">
      <w:pPr>
        <w:rPr>
          <w:vanish/>
        </w:rPr>
      </w:pPr>
      <w:bookmarkStart w:id="4" w:name="PE"/>
      <w:r w:rsidRPr="00BB17CA">
        <w:rPr>
          <w:vanish/>
        </w:rPr>
        <w:t>PE751.674</w:t>
      </w:r>
      <w:bookmarkEnd w:id="4"/>
    </w:p>
    <w:p w:rsidR="00D83C0B" w:rsidRPr="00BB17CA" w:rsidRDefault="00D83C0B" w:rsidP="00D83C0B">
      <w:pPr>
        <w:pStyle w:val="ATHeading3"/>
      </w:pPr>
      <w:bookmarkStart w:id="5" w:name="Sujet"/>
      <w:r w:rsidRPr="00BB17CA">
        <w:t xml:space="preserve">Rezolucja Parlamentu Europejskiego z dnia </w:t>
      </w:r>
      <w:r w:rsidR="00EE6F28">
        <w:t>17 stycznia</w:t>
      </w:r>
      <w:r w:rsidRPr="00BB17CA">
        <w:t xml:space="preserve"> 2024 r. w sprawie sprawozdania rocznego z działalności Europejskiego Rzecznika Praw Obywatelskich w 2022 r.</w:t>
      </w:r>
      <w:bookmarkEnd w:id="5"/>
      <w:r w:rsidRPr="00BB17CA">
        <w:t xml:space="preserve"> </w:t>
      </w:r>
      <w:bookmarkStart w:id="6" w:name="References"/>
      <w:r w:rsidRPr="00BB17CA">
        <w:t>(2023/2120(INI))</w:t>
      </w:r>
      <w:bookmarkEnd w:id="6"/>
    </w:p>
    <w:p w:rsidR="00993DC6" w:rsidRPr="00BB17CA" w:rsidRDefault="00993DC6" w:rsidP="00993DC6">
      <w:pPr>
        <w:pStyle w:val="EPComma"/>
      </w:pPr>
      <w:bookmarkStart w:id="7" w:name="TextBodyBegin"/>
      <w:bookmarkEnd w:id="7"/>
      <w:r w:rsidRPr="00BB17CA">
        <w:rPr>
          <w:i/>
        </w:rPr>
        <w:t>Parlament Europejski</w:t>
      </w:r>
      <w:r w:rsidRPr="00BB17CA">
        <w:t>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sprawozdanie roczne z działalności Europejskiego Rzecznika Praw Obywatelskich w 2022 r.,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art. 10 ust. 3 Tr</w:t>
      </w:r>
      <w:r w:rsidR="001E0DA1">
        <w:t>aktatu o Unii Europejskiej</w:t>
      </w:r>
      <w:r w:rsidRPr="00BB17CA">
        <w:t>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art. 15, art. 24 akapit trzeci, art. 228 i art. 298 ust. 1 Traktatu o funkcjonowaniu Unii Europejskiej (TFUE),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art. 11, 41, 42 i 43 Karty praw podstawowych Unii Europejskiej (Karta),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Konwencję ONZ o prawach osób niepełnosprawnych,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rozporządzenie Parlamentu Europejskiego (UE, Euratom) 2021/1163 z dnia 24 czerwca 2021 r. określające przepisy i ogólne warunki regulujące wykonywanie funkcji Rzecznika Praw Obywatelskich (Statut Europejskiego Rzecznika Praw Obywatelskich) i uchylające decyzję 94/262/EWWiS, WE, Euratom</w:t>
      </w:r>
      <w:r w:rsidRPr="00BB17CA">
        <w:rPr>
          <w:rStyle w:val="FootnoteReference"/>
        </w:rPr>
        <w:footnoteReference w:id="1"/>
      </w:r>
      <w:r w:rsidRPr="00BB17CA">
        <w:t>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Europejski kodeks dobrej praktyki administracyjnej przyjęty przez Parlament 6 września 2001 r.,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umowę ramową w sprawie współpracy, zawartą pomiędzy Parlamentem a Europejskim Rzecznikiem Praw Obywatelskich 15 marca 2006 r., która weszła w życie 1 kwietnia 2006 r.,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swoje poprzednie rezolucje w sprawie działalności Europejskiego Rzecznika Praw Obywatelskich,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art. 54 i art. 142 ust. 2 Regulaminu,</w:t>
      </w:r>
    </w:p>
    <w:p w:rsidR="00993DC6" w:rsidRPr="00BB17CA" w:rsidRDefault="00993DC6" w:rsidP="00993DC6">
      <w:pPr>
        <w:pStyle w:val="NormalHanging12a"/>
      </w:pPr>
      <w:r w:rsidRPr="00BB17CA">
        <w:t>–</w:t>
      </w:r>
      <w:r w:rsidRPr="00BB17CA">
        <w:tab/>
        <w:t>uwzględniając sprawozdanie Komisji Petycji (A9-0414/2023),</w:t>
      </w:r>
    </w:p>
    <w:p w:rsidR="00993DC6" w:rsidRPr="00BB17CA" w:rsidRDefault="00993DC6" w:rsidP="00993DC6">
      <w:pPr>
        <w:pStyle w:val="NormalHanging12a"/>
      </w:pPr>
      <w:r w:rsidRPr="00BB17CA">
        <w:lastRenderedPageBreak/>
        <w:t>A.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sprawozdanie roczne z działalności Europejskiego Rzecznika Praw Obywatelskich w 2022 r. oficjalnie przedłożono przewodniczącej Parlamentu Europejskiego 28 kwietnia 2023 r., zaś 27 czerwca 2023 r. sprawująca Urząd Rzecznika Emily O’Reilly przedstawiła w Brukseli swoje sprawozdanie Komisji Petycji;</w:t>
      </w:r>
    </w:p>
    <w:p w:rsidR="00993DC6" w:rsidRPr="00BB17CA" w:rsidRDefault="00993DC6" w:rsidP="00993DC6">
      <w:pPr>
        <w:pStyle w:val="NormalHanging12a"/>
      </w:pPr>
      <w:r w:rsidRPr="00BB17CA">
        <w:t>B.</w:t>
      </w:r>
      <w:r w:rsidRPr="00BB17CA">
        <w:tab/>
        <w:t>mając na uwadze, że na mocy art. 20, 24 i 228 TFUE Europejski Rzecznik Praw Obywatelskich uprawniony jest do przyjmowania skarg dotyczących przypadków niewłaściwego administrowania w działaniach instytucji, organów lub jednostek organizacyjnych Unii, z wyłączeniem Trybunału Sprawiedliwości Unii Europejskiej wykonującego swoje funkcje sądowe;</w:t>
      </w:r>
    </w:p>
    <w:p w:rsidR="00993DC6" w:rsidRPr="00BB17CA" w:rsidRDefault="00993DC6" w:rsidP="00993DC6">
      <w:pPr>
        <w:pStyle w:val="NormalHanging12a"/>
      </w:pPr>
      <w:r w:rsidRPr="00BB17CA">
        <w:t>C.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art. 15 TFUE stanowi, że „w celu wspierania dobrych rządów i zapewnienia uczestnictwa społeczeństwa obywatelskiego instytucje, organy i jednostki organizacyjne Unii działają z jak największym poszanowaniem zasady otwartości” oraz że „każdy obywatel Unii i każda osoba fizyczna lub prawna mająca miejsce zamieszkania lub siedzibę statutową w państwie członkowskim ma prawo dostępu do dokumentów instytucji, organów i jednostek organizacyjnych Unii”; mając na uwadze, że troska o to, aby obywatele UE otrzymywali usługi wysokiej jakości i aby organy administracyjne UE reagowały na ich potrzeby i obawy ma zasadnicze znaczenie dla ochrony praw obywatelskich i podstawowych wolności;</w:t>
      </w:r>
    </w:p>
    <w:p w:rsidR="00993DC6" w:rsidRPr="00BB17CA" w:rsidRDefault="00993DC6" w:rsidP="00993DC6">
      <w:pPr>
        <w:pStyle w:val="NormalHanging12a"/>
      </w:pPr>
      <w:r w:rsidRPr="00BB17CA">
        <w:t>D.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zgodnie z art. 41 Karty dotyczącym prawa do dobrej administracji „każdy ma prawo do bezstronnego i sprawiedliwego rozpatrzenia swojej sprawy w rozsądnym terminie przez instytucje, organy i jednostki organizacyjne Unii”;</w:t>
      </w:r>
    </w:p>
    <w:p w:rsidR="00993DC6" w:rsidRPr="00BB17CA" w:rsidRDefault="00993DC6" w:rsidP="00993DC6">
      <w:pPr>
        <w:pStyle w:val="NormalHanging12a"/>
      </w:pPr>
      <w:r w:rsidRPr="00BB17CA">
        <w:t>E.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art. 43 Karty praw podstawowych Unii Europejskiej stanowi, iż „każdy obywatel Unii i każda osoba fizyczna lub prawna mająca miejsce zamieszkania lub statutową siedzibę w państwie członkowskim ma prawo zwracać się do Europejskiego Rzecznika Praw Obywatelskich w przypadkach niewłaściwego administrowania w działaniach instytucji, organów i jednostek organizacyjnych Unii, z wyłączeniem Trybunału Sprawiedliwości Unii Europejskiej wykonującego swoje funkcje sądowe”;</w:t>
      </w:r>
    </w:p>
    <w:p w:rsidR="00993DC6" w:rsidRPr="00BB17CA" w:rsidRDefault="00993DC6" w:rsidP="00993DC6">
      <w:pPr>
        <w:pStyle w:val="NormalHanging12a"/>
      </w:pPr>
      <w:r w:rsidRPr="00BB17CA">
        <w:t>F.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art. 298 ust. 1 TFUE stanowi, że „wykonując swoje zadania, instytucje, organy i jednostki organizacyjne Unii korzystają ze wsparcia otwartej, efektywnej i niezależnej administracji europejskiej”;</w:t>
      </w:r>
    </w:p>
    <w:p w:rsidR="00993DC6" w:rsidRPr="00BB17CA" w:rsidRDefault="00993DC6" w:rsidP="00993DC6">
      <w:pPr>
        <w:pStyle w:val="NormalHanging12a"/>
      </w:pPr>
      <w:r w:rsidRPr="00BB17CA">
        <w:t>G.</w:t>
      </w:r>
      <w:r w:rsidRPr="00BB17CA">
        <w:tab/>
        <w:t xml:space="preserve">mając na uwadze, że w 2022 r. Rzecznik Praw Obywatelskich wszczął </w:t>
      </w:r>
      <w:r w:rsidRPr="00BB17CA">
        <w:rPr>
          <w:rStyle w:val="graphbold"/>
        </w:rPr>
        <w:t>348</w:t>
      </w:r>
      <w:r w:rsidRPr="00BB17CA">
        <w:t xml:space="preserve"> dochodzeń, w tym 344 na podstawie skarg, a 4 z własnej inicjatywy, oraz zamknął 330 dochodzeń (325 na podstawie skarg, a 5 z własnej inicjatywy);</w:t>
      </w:r>
    </w:p>
    <w:p w:rsidR="00993DC6" w:rsidRPr="00BB17CA" w:rsidRDefault="00993DC6" w:rsidP="00993DC6">
      <w:pPr>
        <w:pStyle w:val="NormalHanging12a"/>
      </w:pPr>
      <w:r w:rsidRPr="00BB17CA">
        <w:t>H.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w 2022 r. zdecydowana większość dochodzeń dotyczyła Komisji (197 dochodzeń, czyli 57,1 %), a następnie Europejskiego Urzędu Doboru Kadr (22 dochodzenia, czyli 6,3 %), Parlamentu Europejskiego (19 dochodzeń, czyli 5,5 %) i Europejskiej Służby Działań Zewnętrznych (16 dochodzeń, czyli 4,6 %); mając na uwadze, że pozostałe dochodzenia dotyczyły następujących instytucji: Europejskiej Agencji Straży Granicznej i Przybrzeżnej (Frontex) (14 dochodzeń, czyli 4,3 %), Agencji Unii Europejskiej ds. Bezpieczeństwa Lotniczego (7 dochodzeń, czyli 2 %), innych instytucji lub organów Unii (46 dochodzeń, czyli 13,5 %), a także innych agencji UE (23 dochodzenia, czyli 6,7 %);</w:t>
      </w:r>
    </w:p>
    <w:p w:rsidR="00993DC6" w:rsidRPr="00BB17CA" w:rsidRDefault="00993DC6" w:rsidP="00993DC6">
      <w:pPr>
        <w:pStyle w:val="NormalHanging12a"/>
      </w:pPr>
      <w:r w:rsidRPr="00BB17CA">
        <w:lastRenderedPageBreak/>
        <w:t>I.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w 2022 r. największy odsetek dochodzeń prowadzonych przez Rzecznika Praw Obywatelskich dotyczył Komisji, której działalność administracyjna cieszy się dużym zainteresowaniem opinii publicznej, biorąc pod uwagę, że jest ona organem wykonawczym UE;</w:t>
      </w:r>
    </w:p>
    <w:p w:rsidR="00993DC6" w:rsidRPr="00BB17CA" w:rsidRDefault="00993DC6" w:rsidP="00993DC6">
      <w:pPr>
        <w:pStyle w:val="NormalHanging12a"/>
      </w:pPr>
      <w:r w:rsidRPr="00BB17CA">
        <w:t>J.</w:t>
      </w:r>
      <w:r w:rsidRPr="00BB17CA">
        <w:tab/>
        <w:t>mając na uwadze, że w dochodzeniach zakończonych przez Rzecznika Praw Obywatelskich w 2022 r. w 37 % przypadków nie stwierdzono niewłaściwego administrowania, w 46,1 % przypadków instytucja znalazła rozwiązanie, w 12,7 % przypadków dalsze dochodzenia nie były uzasadnione, a w 4,5 % przypadków stwierdzono niewłaściwe administrowanie;</w:t>
      </w:r>
    </w:p>
    <w:p w:rsidR="00993DC6" w:rsidRPr="00BB17CA" w:rsidRDefault="00993DC6" w:rsidP="00993DC6">
      <w:pPr>
        <w:pStyle w:val="NormalHanging12a"/>
      </w:pPr>
      <w:r w:rsidRPr="00BB17CA">
        <w:t>K.</w:t>
      </w:r>
      <w:r w:rsidRPr="00BB17CA">
        <w:tab/>
        <w:t>mając na uwadze, że trzy główne kwestie będące przedmiotem dochodzeń zakończonych przez Rzecznika Praw Obywatelskich w 2022 r. dotyczyły przejrzystości i rozliczalności (np. dostępu do informacji i dokumentów) (32 %), kultury sprawowania służby publicznej (20 %) oraz poszanowania praw podstawowych (15 %); mając na uwadze, że inne zastrzeżenia obejmowały właściwe korzystanie z uznania administracyjnego (w tym w postępowaniach w sprawie uchybienia zobowiązaniom państwa członkowskiego), rekrutację, dobre zarządzanie kwestiami kadrowymi, poszanowanie praw procesowych, właściwe zarządzanie postępowaniami w sprawie uchybienia zobowiązaniom państwa członkowskiego, należyte zarządzanie finansami, kwestie etyczne oraz udział społeczeństwa w procesie decyzyjnym UE;</w:t>
      </w:r>
    </w:p>
    <w:p w:rsidR="00993DC6" w:rsidRPr="00BB17CA" w:rsidRDefault="00993DC6" w:rsidP="00993DC6">
      <w:pPr>
        <w:pStyle w:val="NormalHanging12a"/>
      </w:pPr>
      <w:r w:rsidRPr="00BB17CA">
        <w:t>L.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w 2022 r. Rzecznik Praw Obywatelskich zwrócił się do Rady o udzielanie szybszego dostępu do dokumentów ustawodawczych, tak aby obywatele mogli skutecznie uczestniczyć w dyskusjach na temat projektów aktów prawnych UE</w:t>
      </w:r>
      <w:r w:rsidRPr="00BB17CA">
        <w:rPr>
          <w:vertAlign w:val="superscript"/>
        </w:rPr>
        <w:footnoteReference w:id="2"/>
      </w:r>
      <w:r w:rsidRPr="00BB17CA">
        <w:t>;</w:t>
      </w:r>
    </w:p>
    <w:p w:rsidR="00993DC6" w:rsidRPr="00BB17CA" w:rsidRDefault="00993DC6" w:rsidP="00993DC6">
      <w:pPr>
        <w:pStyle w:val="NormalHanging12a"/>
      </w:pPr>
      <w:r w:rsidRPr="00BB17CA">
        <w:t>M.</w:t>
      </w:r>
      <w:r w:rsidRPr="00BB17CA">
        <w:tab/>
        <w:t>mając na uwadze, że Rzecznik Praw Obywatelskich stwierdził niewłaściwe administrowanie</w:t>
      </w:r>
      <w:r w:rsidRPr="00BB17CA">
        <w:rPr>
          <w:rStyle w:val="FootnoteReference"/>
        </w:rPr>
        <w:footnoteReference w:id="3"/>
      </w:r>
      <w:r w:rsidRPr="00BB17CA">
        <w:rPr>
          <w:vertAlign w:val="superscript"/>
        </w:rPr>
        <w:t xml:space="preserve"> </w:t>
      </w:r>
      <w:r w:rsidRPr="00BB17CA">
        <w:rPr>
          <w:rStyle w:val="FootnoteReference"/>
        </w:rPr>
        <w:footnoteReference w:id="4"/>
      </w:r>
      <w:r w:rsidRPr="00BB17CA">
        <w:t xml:space="preserve"> w odniesieniu do podejścia Komisji do wniosku o dostęp do wiadomości tekstowych wymienianych przez przewodniczącą Komisji z dyrektorem generalnym firmy farmaceutycznej (Pfizer);</w:t>
      </w:r>
    </w:p>
    <w:p w:rsidR="00993DC6" w:rsidRPr="00BB17CA" w:rsidRDefault="00993DC6" w:rsidP="00993DC6">
      <w:pPr>
        <w:pStyle w:val="NormalHanging12a"/>
      </w:pPr>
      <w:r w:rsidRPr="00BB17CA">
        <w:t>N.</w:t>
      </w:r>
      <w:r w:rsidRPr="00BB17CA">
        <w:tab/>
        <w:t>mając na uwadze, że w 2022 r. Rzecznik Praw Obywatelskich wszczął dochodzenie w sprawie sposobu, w jaki Europejski Bank Centralny (EBC) radzi sobie z efektem „drzwi obrotowych”</w:t>
      </w:r>
      <w:r w:rsidRPr="00BB17CA">
        <w:rPr>
          <w:vertAlign w:val="superscript"/>
        </w:rPr>
        <w:footnoteReference w:id="5"/>
      </w:r>
      <w:r w:rsidRPr="00BB17CA">
        <w:t>;</w:t>
      </w:r>
    </w:p>
    <w:p w:rsidR="00993DC6" w:rsidRPr="00BB17CA" w:rsidRDefault="00993DC6" w:rsidP="00993DC6">
      <w:pPr>
        <w:pStyle w:val="NormalHanging12a"/>
      </w:pPr>
      <w:r w:rsidRPr="00BB17CA">
        <w:t>O.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Rzecznik Praw Obywatelskich wszczął strategiczne dochodzenie </w:t>
      </w:r>
      <w:r w:rsidRPr="00BB17CA">
        <w:lastRenderedPageBreak/>
        <w:t>dotyczące systemowych i znacznych opóźnień w sposobie, w jaki Komisja rozpatruje wnioski o udzielenie publicznego dostępu do dokumentów; mając na uwadze, że Rzecznik Praw Obywatelskich stwierdził niewłaściwe administrowanie w sposobie, w jaki Komisja rozpatruje takie wnioski, a zwłaszcza wnioski o przegląd wstępnych decyzji („wnioski potwierdzające”)</w:t>
      </w:r>
      <w:r w:rsidRPr="00BB17CA">
        <w:rPr>
          <w:rStyle w:val="FootnoteReference"/>
        </w:rPr>
        <w:footnoteReference w:id="6"/>
      </w:r>
      <w:r w:rsidRPr="00BB17CA">
        <w:t>;</w:t>
      </w:r>
    </w:p>
    <w:p w:rsidR="00993DC6" w:rsidRPr="00BB17CA" w:rsidRDefault="00993DC6" w:rsidP="00993DC6">
      <w:pPr>
        <w:pStyle w:val="NormalHanging12a"/>
      </w:pPr>
      <w:r w:rsidRPr="00BB17CA">
        <w:t>P.</w:t>
      </w:r>
      <w:r w:rsidRPr="00BB17CA">
        <w:tab/>
        <w:t>mając na uwadze, że w 2022 r. Rzecznik Praw Obywatelskich prowadził również szerzej zakrojone dochodzenia i inicjatywy strategiczne dotyczące kwestii systemowych w instytucjach Unii, obejmujące kwestie etyczne, efekt „drzwi obrotowych”, rozliczalność w procesie decyzyjnym, dostęp do dokumentów i prawa podstawowe;</w:t>
      </w:r>
    </w:p>
    <w:p w:rsidR="00993DC6" w:rsidRPr="00BB17CA" w:rsidRDefault="00993DC6" w:rsidP="00993DC6">
      <w:pPr>
        <w:pStyle w:val="NormalHanging12a"/>
      </w:pPr>
      <w:r w:rsidRPr="00BB17CA">
        <w:t>Q.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w 2022 r. Rzecznik Praw Obywatelskich wydał zalecenie dla Rady, aby udzieliła pełnego publicznego dostępu do żądanych dokumentów ustawodawczych w następstwie dochodzenia w sprawie odmowy udzielenia takiego dostępu przez Radę w kontekście negocjacji w sprawie projektu aktu o rynkach cyfrowych, w związku z czym Rzecznik stwierdził niewłaściwe administrowanie;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R.</w:t>
      </w:r>
      <w:r w:rsidRPr="00BB17CA">
        <w:tab/>
        <w:t>mając na uwadze, że w 2022 r. biuro Rzecznika Praw Obywatelskich prowadziło dalsze działania służące podniesieniu świadomości społecznej na temat roli Rzecznika Praw Obywatelskich w utrzymywaniu wysokich standardów rozliczalności i przejrzystości w administracji UE;</w:t>
      </w:r>
    </w:p>
    <w:p w:rsidR="00993DC6" w:rsidRPr="00BB17CA" w:rsidRDefault="00993DC6" w:rsidP="00993DC6">
      <w:pPr>
        <w:pStyle w:val="NormalHanging12a"/>
      </w:pPr>
      <w:r w:rsidRPr="00BB17CA">
        <w:t>S.</w:t>
      </w:r>
      <w:r w:rsidRPr="00BB17CA">
        <w:tab/>
        <w:t>mając na uwadze, że Rzecznik Praw Obywatelskich postanowił rozpocząć konsultacje publiczne w sprawie przejrzystości i udziału w procesie decyzyjnym UE dotyczącym środowiska, w kontekście kryzysu klimatycznego oraz degradacji środowiska i ekosystemów, w celu oceny podejścia UE jako strony konwencji z Aarhus w odniesieniu do zapewnienia wysokiego poziomu publicznego dostępu do informacji o środowisku i udziału społeczeństwa w procesie decyzyjnym dotyczącym środowiska;</w:t>
      </w:r>
    </w:p>
    <w:p w:rsidR="00993DC6" w:rsidRPr="00BB17CA" w:rsidRDefault="00993DC6" w:rsidP="00993DC6">
      <w:pPr>
        <w:pStyle w:val="NormalHanging12a"/>
      </w:pPr>
      <w:r w:rsidRPr="00BB17CA">
        <w:t>T.</w:t>
      </w:r>
      <w:r w:rsidRPr="00BB17CA">
        <w:tab/>
        <w:t>mając na uwadze, że w 2022 r. Rzecznik Praw Obywatelskich wezwał Komisję do rozpatrywania wniosków o udzielenie dostępu do dokumentów dotyczących unijnych funduszy naprawczych w sposób bardziej spójny oraz do przedstawiania lepszego uzasadnienia w przypadku podjęcia decyzji o nieudostępnianiu informacji będących przedmiotem takich wniosków</w:t>
      </w:r>
      <w:r w:rsidRPr="00BB17CA">
        <w:rPr>
          <w:vertAlign w:val="superscript"/>
        </w:rPr>
        <w:footnoteReference w:id="7"/>
      </w:r>
      <w:r w:rsidRPr="00BB17CA">
        <w:t>;</w:t>
      </w:r>
    </w:p>
    <w:p w:rsidR="00993DC6" w:rsidRPr="00BB17CA" w:rsidRDefault="00993DC6" w:rsidP="00993DC6">
      <w:pPr>
        <w:pStyle w:val="NormalHanging12a"/>
      </w:pPr>
      <w:r w:rsidRPr="00BB17CA">
        <w:t>U.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w 2022 r. Rzecznik Praw Obywatelskich wszczął dochodzenie w sprawie odmowy udzielenia przez Komisję publicznego dostępu do dokumentów związanych z jej wnioskiem dotyczącym rozporządzenia w sprawie europejskiej </w:t>
      </w:r>
      <w:r w:rsidRPr="00BB17CA">
        <w:lastRenderedPageBreak/>
        <w:t>przestrzeni danych dotyczących zdrowia</w:t>
      </w:r>
      <w:r w:rsidRPr="00BB17CA">
        <w:rPr>
          <w:vertAlign w:val="superscript"/>
        </w:rPr>
        <w:footnoteReference w:id="8"/>
      </w:r>
      <w:r w:rsidRPr="00BB17CA">
        <w:t>;</w:t>
      </w:r>
    </w:p>
    <w:p w:rsidR="00993DC6" w:rsidRPr="00BB17CA" w:rsidRDefault="00993DC6" w:rsidP="00993DC6">
      <w:pPr>
        <w:pStyle w:val="NormalHanging12a"/>
      </w:pPr>
      <w:r w:rsidRPr="00BB17CA">
        <w:t>V.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w 2022 r. Rzecznik Praw Obywatelskich wszczął dochodzenie w sprawie sposobu, w jaki Komisja rozpatrzyła wniosek o publiczny dostęp do deklaracji interesów członków Rady ds. Kontroli Regulacyjnej</w:t>
      </w:r>
      <w:r w:rsidRPr="00BB17CA">
        <w:rPr>
          <w:vertAlign w:val="superscript"/>
        </w:rPr>
        <w:footnoteReference w:id="9"/>
      </w:r>
      <w:r w:rsidRPr="00BB17CA">
        <w:t>;</w:t>
      </w:r>
    </w:p>
    <w:p w:rsidR="00993DC6" w:rsidRPr="00BB17CA" w:rsidRDefault="00993DC6" w:rsidP="00993DC6">
      <w:pPr>
        <w:pStyle w:val="NormalHanging12a"/>
      </w:pPr>
      <w:r w:rsidRPr="00BB17CA">
        <w:t>W.</w:t>
      </w:r>
      <w:r w:rsidRPr="00BB17CA">
        <w:tab/>
      </w:r>
      <w:proofErr w:type="gramStart"/>
      <w:r w:rsidRPr="00BB17CA">
        <w:t>mając</w:t>
      </w:r>
      <w:proofErr w:type="gramEnd"/>
      <w:r w:rsidRPr="00BB17CA">
        <w:t xml:space="preserve"> na uwadze, że – jak podkreślił Rzecznik Praw Obywatelskich – unijne przepisy dotyczące zamówień publicznych nie są wystarczająco solidne ani jasne, aby zapobiegać konfliktom interesów; skrytykował on też Komisję za niedostatecznie krytyczną kontrolę przed udzieleniem zamówienia na przeprowadzenie badania dotyczącego włączenia celów z zakresu ochrony środowiska, polityki społecznej i ładu korporacyjnego do unijnych przepisów dotyczących bankowości firmie BlackRock Investment Management, która zarządza inwestycjami w sektorach paliw kopalnych i bankowości, które to obszary podlegają nowym przepisom dotyczącym środowiska, polityki społecznej i ładu korporacyjnego;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1.</w:t>
      </w:r>
      <w:r w:rsidRPr="00BB17CA">
        <w:tab/>
      </w:r>
      <w:proofErr w:type="gramStart"/>
      <w:r w:rsidRPr="00BB17CA">
        <w:t>zatwierdza</w:t>
      </w:r>
      <w:proofErr w:type="gramEnd"/>
      <w:r w:rsidRPr="00BB17CA">
        <w:t xml:space="preserve"> sprawozdanie roczne za 2022 r. przedstawione przez Europejskiego Rzecznika Praw Obywatelskich;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2.</w:t>
      </w:r>
      <w:r w:rsidRPr="00BB17CA">
        <w:tab/>
      </w:r>
      <w:proofErr w:type="gramStart"/>
      <w:r w:rsidRPr="00BB17CA">
        <w:t>gratuluje</w:t>
      </w:r>
      <w:proofErr w:type="gramEnd"/>
      <w:r w:rsidRPr="00BB17CA">
        <w:t xml:space="preserve"> Emily O’Reilly wykonania dobrej pracy i ciągłych starań na rzecz ulepszenia praktyk administracyjnych oraz propagowania rozliczalności i pełnej przejrzystości instytucji, organów i jednostek organizacyjnych UE, jak również zapewnienia dostępności dokumentów unijnych dla obywateli UE;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3.</w:t>
      </w:r>
      <w:r w:rsidRPr="00BB17CA">
        <w:tab/>
      </w:r>
      <w:proofErr w:type="gramStart"/>
      <w:r w:rsidRPr="00BB17CA">
        <w:t>wyraża</w:t>
      </w:r>
      <w:proofErr w:type="gramEnd"/>
      <w:r w:rsidRPr="00BB17CA">
        <w:t xml:space="preserve"> uznanie dla nieprzerwanej konstruktywnej współpracy Europejskiego Rzecznika Praw Obywatelskich z Parlamentem Europejskim, w szczególności z Komisja Petycji, a także z innymi instytucjami Unii; potwierdza swoje zobowiązanie do wspierania Rzecznika Praw Obywatelskich w wykonywaniu jego obowiązków;</w:t>
      </w:r>
    </w:p>
    <w:p w:rsidR="00993DC6" w:rsidRPr="00BB17CA" w:rsidRDefault="00993DC6" w:rsidP="00993DC6">
      <w:pPr>
        <w:pStyle w:val="NormalHanging12a"/>
      </w:pPr>
      <w:r w:rsidRPr="00BB17CA">
        <w:t>4.</w:t>
      </w:r>
      <w:r w:rsidRPr="00BB17CA">
        <w:tab/>
      </w:r>
      <w:proofErr w:type="gramStart"/>
      <w:r w:rsidRPr="00BB17CA">
        <w:t>gratuluje</w:t>
      </w:r>
      <w:proofErr w:type="gramEnd"/>
      <w:r w:rsidRPr="00BB17CA">
        <w:t xml:space="preserve"> biuru Rzecznika Praw Obywatelskich znacznej poprawy wskaźnika efektywności w zakresie czasu trwania dochodzeń dotyczących zamkniętych spraw, który skrócił się ze średnio 13 miesięcy w 2013 r. do średnio mniej niż 6 miesięcy w 2022 r.; podkreśla, że osiągnięte wyniki dotyczą kilku obszarów administracji UE przy ograniczonych zasobach;</w:t>
      </w:r>
    </w:p>
    <w:p w:rsidR="00993DC6" w:rsidRPr="00BB17CA" w:rsidRDefault="00993DC6" w:rsidP="00993DC6">
      <w:pPr>
        <w:pStyle w:val="NormalHanging12a"/>
      </w:pPr>
      <w:r w:rsidRPr="00BB17CA">
        <w:t xml:space="preserve">5. </w:t>
      </w:r>
      <w:r w:rsidRPr="00BB17CA">
        <w:tab/>
      </w:r>
      <w:proofErr w:type="gramStart"/>
      <w:r w:rsidRPr="00BB17CA">
        <w:t>wzywa</w:t>
      </w:r>
      <w:proofErr w:type="gramEnd"/>
      <w:r w:rsidRPr="00BB17CA">
        <w:t xml:space="preserve"> Radę, aby w pełni przestrzegała standardów przejrzystości w demokracji parlamentarnej i uczestniczącej, zgodnie z wymogami Traktatów, o co zwrócił się Rzecznik Praw Obywatelskich; przypomina, że, jak stwierdził Trybunał Sprawiedliwości UE, zasady jawności i przejrzystości mają zasadnicze znaczenie dla procesu ustawodawczego w UE oraz że brak przejrzystości i informacji osłabia przekonanie obywateli o legitymacji unijnego procesu ustawodawczego jako całości;</w:t>
      </w:r>
    </w:p>
    <w:p w:rsidR="00993DC6" w:rsidRPr="00BB17CA" w:rsidRDefault="00993DC6" w:rsidP="00993DC6">
      <w:pPr>
        <w:pStyle w:val="NormalHanging12a"/>
      </w:pPr>
      <w:r w:rsidRPr="00BB17CA">
        <w:t>6.</w:t>
      </w:r>
      <w:r w:rsidRPr="00BB17CA">
        <w:tab/>
      </w:r>
      <w:proofErr w:type="gramStart"/>
      <w:r w:rsidRPr="00BB17CA">
        <w:t>wzywa</w:t>
      </w:r>
      <w:proofErr w:type="gramEnd"/>
      <w:r w:rsidRPr="00BB17CA">
        <w:t xml:space="preserve"> Radę do zapewnienia obywatelom terminowego dostępu do jej dokumentów ustawodawczych podczas trwających procedur ustawodawczych, aby zagwarantować </w:t>
      </w:r>
      <w:r w:rsidRPr="00BB17CA">
        <w:lastRenderedPageBreak/>
        <w:t>pełne poszanowanie zapisanego w Traktatach prawa obywateli do uczestnictwa w demokratycznym życiu Unii, co z kolei przyczyniłoby się do zwiększenia zaufania obywateli do całego procesu decyzyjnego UE;</w:t>
      </w:r>
    </w:p>
    <w:p w:rsidR="00993DC6" w:rsidRPr="00BB17CA" w:rsidRDefault="00993DC6" w:rsidP="00993DC6">
      <w:pPr>
        <w:pStyle w:val="NormalHanging12a"/>
      </w:pPr>
      <w:r w:rsidRPr="00BB17CA">
        <w:t>7.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wszczęcie dochodzeń z własnej inicjatywy, aby ocenić, w jaki sposób Komisja zapewnia przejrzystość swoich kontaktów z przedstawicielami sektora tytoniowego; podkreśla, że brak aktywnego publikowania przez Komisję jako całość szczegółowych informacji na temat jej spotkań z przedstawicielami lobby tytoniowego stanowiło przypadek niewłaściwego administrowania, jak wskazał Rzecznik Praw Obywatelskich w swoich wstępnych ustaleniach; przypomina, że UE podpisała i formalnie potwierdziła Ramową konwencję Światowej Organizacji Zdrowia o ograniczeniu użycia tytoniu i jest zobowiązana do przestrzegania jej postanowień, w których przewidziano, że współpraca z przemysłem tytoniowym powinna mieć miejsce tylko wtedy, gdy jest to absolutnie konieczne z regulacyjnego punktu widzenia, a </w:t>
      </w:r>
      <w:proofErr w:type="gramStart"/>
      <w:r w:rsidRPr="00BB17CA">
        <w:t>także</w:t>
      </w:r>
      <w:proofErr w:type="gramEnd"/>
      <w:r w:rsidRPr="00BB17CA">
        <w:t xml:space="preserve"> do zapewnienia przejrzystości tej współpracy, aby zapobiec wywieraniu przez przemysł tytoniowy negatywnego wpływu na politykę dotyczącą zdrowia publicznego;</w:t>
      </w:r>
    </w:p>
    <w:p w:rsidR="00993DC6" w:rsidRPr="00BB17CA" w:rsidRDefault="00993DC6" w:rsidP="00993DC6">
      <w:pPr>
        <w:pStyle w:val="NormalHanging12a"/>
      </w:pPr>
      <w:r w:rsidRPr="00BB17CA">
        <w:t>8.</w:t>
      </w:r>
      <w:r w:rsidRPr="00BB17CA">
        <w:tab/>
      </w:r>
      <w:proofErr w:type="gramStart"/>
      <w:r w:rsidRPr="00BB17CA">
        <w:t>uważa</w:t>
      </w:r>
      <w:proofErr w:type="gramEnd"/>
      <w:r w:rsidRPr="00BB17CA">
        <w:t>, że niezwykle ważne jest, aby Rzecznik Praw Obywatelskich rozpoczął dochodzenie w celu oceny poziomu niezależności powołanej przez Komisję branżowej grupy doradczej ds. platformy energetycznej UE;</w:t>
      </w:r>
    </w:p>
    <w:p w:rsidR="00993DC6" w:rsidRPr="00BB17CA" w:rsidRDefault="00993DC6" w:rsidP="00993DC6">
      <w:pPr>
        <w:pStyle w:val="NormalHanging12a"/>
      </w:pPr>
      <w:r w:rsidRPr="00BB17CA">
        <w:t>9.</w:t>
      </w:r>
      <w:r w:rsidRPr="00BB17CA">
        <w:tab/>
      </w:r>
      <w:proofErr w:type="gramStart"/>
      <w:r w:rsidRPr="00BB17CA">
        <w:t>aprobuje</w:t>
      </w:r>
      <w:proofErr w:type="gramEnd"/>
      <w:r w:rsidRPr="00BB17CA">
        <w:t xml:space="preserve"> wyniki przeprowadzonego przez Rzecznika Praw Obywatelskich badania dotyczącego tego, w jaki sposób Komisja zapewnia, aby eksperci zewnętrzni angażowani w ocenę wniosków dotyczących projektów w ramach Europejskiego Funduszu Obronnego nie mieli konfliktu interesów; podkreśla nadrzędne znaczenie przeprowadzenia dogłębnej oceny konfliktu interesów przed wyznaczeniem ekspertów i zagwarantowania, że obowiązki w zakresie przejrzystości i etyki są skutecznie wdrażane;</w:t>
      </w:r>
    </w:p>
    <w:p w:rsidR="00993DC6" w:rsidRPr="00BB17CA" w:rsidRDefault="00993DC6" w:rsidP="00993DC6">
      <w:pPr>
        <w:pStyle w:val="NormalHanging12a"/>
      </w:pPr>
      <w:r w:rsidRPr="00BB17CA">
        <w:t>10.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wniosek Komisji przedstawiony w odpowiedzi na ustalenia Rzecznika Praw Obywatelskich w następstwie dochodzenia w sprawie BlackRock, dotyczący zmiany rozporządzenia finansowego mającej na celu umożliwienie odrzucenia oferentów w przypadku wystąpienia konfliktu interesów; wzywa Komisję, aby w pełni zastosowała się do sugestii Rzecznika Praw Obywatelskich i przyjęła zaostrzone i jaśniejsze przepisy mające na celu zapobieganie wszelkim konfliktom interesu we wszystkich procedurach związanych z zamówieniami publicznymi, w tym w odniesieniu do wewnętrznych wytycznych Komisji;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rPr>
          <w:shd w:val="clear" w:color="auto" w:fill="FFFFFF"/>
        </w:rPr>
        <w:t>11.</w:t>
      </w:r>
      <w:r w:rsidRPr="00BB17CA">
        <w:rPr>
          <w:shd w:val="clear" w:color="auto" w:fill="FFFFFF"/>
        </w:rPr>
        <w:tab/>
      </w:r>
      <w:proofErr w:type="gramStart"/>
      <w:r w:rsidRPr="00BB17CA">
        <w:t>podkreśla</w:t>
      </w:r>
      <w:proofErr w:type="gramEnd"/>
      <w:r w:rsidRPr="00BB17CA">
        <w:t xml:space="preserve"> fakt, że w następstwie dochodzenia Rzecznika Praw Obywatelskich w sprawie efektu „drzwi obrotowych” </w:t>
      </w:r>
      <w:r w:rsidRPr="00BB17CA">
        <w:rPr>
          <w:shd w:val="clear" w:color="auto" w:fill="FFFFFF"/>
        </w:rPr>
        <w:t>Komisja usprawnia swoje postępowanie w tej sprawie</w:t>
      </w:r>
      <w:r w:rsidRPr="00BB17CA">
        <w:t xml:space="preserve"> i zwraca się do byłych pracowników o informacje na temat tego, w jaki sposób przestrzegają oni odpowiednich ograniczeń; zwraca uwagę, że Komisja szybciej opublikowała roczny przegląd swoich pracowników wyższego szczebla ubiegających się o zezwolenie na przejście do nowej pracy, a także swoją ocenę tych wniosków; podkreśla, że Komisja nie powinna udzielać żadnych zezwoleń, jeżeli dany stosunek pracy nie może podlegać ograniczeniom, które odpowiednio zmniejszają ryzyko konfliktu interesów lub gdy ograniczenia te nie mogą być skutecznie monitorowane i egzekwowane, co </w:t>
      </w:r>
      <w:proofErr w:type="gramStart"/>
      <w:r w:rsidRPr="00BB17CA">
        <w:t>obejmuje</w:t>
      </w:r>
      <w:proofErr w:type="gramEnd"/>
      <w:r w:rsidRPr="00BB17CA">
        <w:t xml:space="preserve"> obowiązek nowego pracodawcy do podania takich ograniczeń do wiadomości publicznej; uważa, że Komisja powinna publikować w odpowiednim czasie informacje na temat wszystkich ocenianych przez nią działań byłych pracowników wyższego szczebla po zakończeniu służby, co przyczyni się do </w:t>
      </w:r>
      <w:r w:rsidRPr="00BB17CA">
        <w:lastRenderedPageBreak/>
        <w:t>poprawy publicznej kontroli tych decyzji, która ma kluczowe znaczenie w kontekście celów monitorowania; z zadowoleniem przyjmuje fakt, że pracownikom przebywającym na urlopie bezpłatnym zakazuje się podejmowania zatrudnienia w obszarach, w których istnieje ryzyko konfliktu interesów; zachęca Rzecznika Praw Obywatelskich do monitorowania sposobu, w jaki Komisja zajmuje się tymi kwestiami;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12.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dochodzenie z własnej inicjatywy wszczęte przez Rzecznika Praw Obywatelskich w celu oceny tego, jak EBC zarządza kwestią efektu „drzwi obrotowych”, a także popiera apel Rzecznika Praw Obywatelskich skierowany do EBC o stosowanie bardziej rygorystycznych zasad regulujących przechodzenie pracowników do sektora prywatnego; popiera zalecenie, zgodnie z którym pracownicy EBC powinni podlegać rygorystycznym wymogom dotyczącym okresu przejściowego, a okres, w którym byli pracownicy EBC mają zakaz lobbowania na rzecz swoich byłych kolegów, powinien zostać wydłużony;</w:t>
      </w:r>
    </w:p>
    <w:p w:rsidR="00993DC6" w:rsidRPr="00BB17CA" w:rsidRDefault="00993DC6" w:rsidP="00993DC6">
      <w:pPr>
        <w:pStyle w:val="NormalHanging12a"/>
      </w:pPr>
      <w:r w:rsidRPr="00BB17CA">
        <w:t>13.</w:t>
      </w:r>
      <w:r w:rsidRPr="00BB17CA">
        <w:tab/>
      </w:r>
      <w:proofErr w:type="gramStart"/>
      <w:r w:rsidRPr="00BB17CA">
        <w:t>podkreśla</w:t>
      </w:r>
      <w:proofErr w:type="gramEnd"/>
      <w:r w:rsidRPr="00BB17CA">
        <w:t>, że sprawa Katargate rzuciła nowe światło na lobbing i kształtowanie polityki w UE; przyjmuje do wiadomości krytyczną ocenę skandalu przeprowadzoną przez Rzecznika Praw Obywatelskich i cieszy się, że opracowano nowe środki, które mają poprawić standardy uczciwości w Parlamencie Europejskim w celu ochrony demokracji w UE; uważa, że działania te stanowią ważny pierwszy krok w kierunku wzmocnienia ram regulacyjnych UE, gdyż mają wspierać wyższe standardy etyczne i antykorupcyjne, a tym samym uczynić instytucje unijne przykładami uczciwości i rozliczalności;</w:t>
      </w:r>
    </w:p>
    <w:p w:rsidR="00993DC6" w:rsidRPr="00BB17CA" w:rsidRDefault="00993DC6" w:rsidP="00993DC6">
      <w:pPr>
        <w:pStyle w:val="NormalHanging12a"/>
      </w:pPr>
      <w:r w:rsidRPr="00BB17CA">
        <w:t>14.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nieustające starania Rzecznika Praw Obywatelskich mające na celu poprawę przejrzystości i etyki lobbingu, a w szczególności skierowany do Komisji wniosek o wzmocnienie kodeksu postępowania komisarzy, wprowadzenie publicznego rejestru spotkań komisarzy z lobbystami oraz proaktywne publikowanie informacji na temat kosztów podróży komisarzy;</w:t>
      </w:r>
    </w:p>
    <w:p w:rsidR="00993DC6" w:rsidRPr="00BB17CA" w:rsidRDefault="00993DC6" w:rsidP="00993DC6">
      <w:pPr>
        <w:pStyle w:val="NormalHanging12a"/>
        <w:rPr>
          <w:shd w:val="clear" w:color="auto" w:fill="FFFFFF"/>
        </w:rPr>
      </w:pPr>
      <w:r w:rsidRPr="00BB17CA">
        <w:t>15.</w:t>
      </w:r>
      <w:r w:rsidRPr="00BB17CA">
        <w:tab/>
      </w:r>
      <w:proofErr w:type="gramStart"/>
      <w:r w:rsidRPr="00BB17CA">
        <w:t>podkreśla</w:t>
      </w:r>
      <w:proofErr w:type="gramEnd"/>
      <w:r w:rsidRPr="00BB17CA">
        <w:t xml:space="preserve">, że udział obywateli w procesie decyzyjnym UE jest ważny dla zapewnienia legitymacji tego procesu; docenia zaangażowanie Rzecznika Praw Obywatelskich we wspieranie rozliczalności w procesie decyzyjnym UE, zwłaszcza w obszarze decyzji dotyczących środowiska; z zadowoleniem przyjmuje i popiera wnioski Rzecznika Praw Obywatelskich skierowane do Europejskiego Banku Inwestycyjnego (EBI) o podjęcie szeregu działań na rzecz przejrzystości, aby umożliwić społeczeństwu łatwiejsze zapoznanie się z potencjalnym wpływem finansowanych przez niego projektów na środowisko, a także </w:t>
      </w:r>
      <w:r w:rsidRPr="00BB17CA">
        <w:rPr>
          <w:shd w:val="clear" w:color="auto" w:fill="FFFFFF"/>
        </w:rPr>
        <w:t xml:space="preserve">zamiar wzmożenia przez Rzecznika Praw Obywatelskich kontroli nad działalnością </w:t>
      </w:r>
      <w:r w:rsidRPr="00BB17CA">
        <w:t>EIB</w:t>
      </w:r>
      <w:r w:rsidRPr="00BB17CA">
        <w:rPr>
          <w:shd w:val="clear" w:color="auto" w:fill="FFFFFF"/>
        </w:rPr>
        <w:t xml:space="preserve"> </w:t>
      </w:r>
      <w:r w:rsidRPr="00BB17CA">
        <w:t xml:space="preserve">w kontekście jego dotychczasowych niewystarczających działań następczych, </w:t>
      </w:r>
      <w:r w:rsidRPr="00BB17CA">
        <w:rPr>
          <w:shd w:val="clear" w:color="auto" w:fill="FFFFFF"/>
        </w:rPr>
        <w:t xml:space="preserve">w szczególności w odniesieniu do terminowego publikowania informacji o projektach związanych </w:t>
      </w:r>
      <w:proofErr w:type="gramStart"/>
      <w:r w:rsidRPr="00BB17CA">
        <w:rPr>
          <w:shd w:val="clear" w:color="auto" w:fill="FFFFFF"/>
        </w:rPr>
        <w:t>ze</w:t>
      </w:r>
      <w:proofErr w:type="gramEnd"/>
      <w:r w:rsidRPr="00BB17CA">
        <w:rPr>
          <w:shd w:val="clear" w:color="auto" w:fill="FFFFFF"/>
        </w:rPr>
        <w:t xml:space="preserve"> środowiskiem i finansami EBI, co da społeczeństwu wystarczająco dużo czasu na wyrażenie obaw;</w:t>
      </w:r>
    </w:p>
    <w:p w:rsidR="00993DC6" w:rsidRPr="00BB17CA" w:rsidRDefault="00993DC6" w:rsidP="00993DC6">
      <w:pPr>
        <w:pStyle w:val="NormalHanging12a"/>
      </w:pPr>
      <w:r w:rsidRPr="00BB17CA">
        <w:t>16.</w:t>
      </w:r>
      <w:r w:rsidRPr="00BB17CA">
        <w:tab/>
      </w:r>
      <w:proofErr w:type="gramStart"/>
      <w:r w:rsidRPr="00BB17CA">
        <w:t>wyraża</w:t>
      </w:r>
      <w:proofErr w:type="gramEnd"/>
      <w:r w:rsidRPr="00BB17CA">
        <w:t xml:space="preserve"> uznanie dla pracy Rzecznika Praw Obywatelskich w zakresie priorytetowego traktowania oceny przejrzystości procesu decyzyjnego UE w dziedzinie środowiska, w następstwie m.in. stwierdzenia przez niego niewłaściwego administrowania w związku z nieuwzględnieniem przez Komisję w należyty sposób wpływu umowy handlowej między UE a Mercosurem na środowisko przed zakończeniem negocjacji, poważnych niedociągnięć Komisji w rozpatrywaniu wniosków o udzielenie publicznego dostępu do informacji dotyczących środowiska oraz braku jasnych przepisów zapewniających, aby eksperci, z którymi Komisja współpracuje w kontekście kształtowania polityki ochrony środowiska, nie podlegali konfliktowi interesów;</w:t>
      </w:r>
    </w:p>
    <w:p w:rsidR="00993DC6" w:rsidRPr="00BB17CA" w:rsidRDefault="00993DC6" w:rsidP="00993DC6">
      <w:pPr>
        <w:pStyle w:val="NormalHanging12a"/>
        <w:rPr>
          <w:szCs w:val="24"/>
          <w:shd w:val="clear" w:color="auto" w:fill="FFFFFF"/>
        </w:rPr>
      </w:pPr>
      <w:r w:rsidRPr="00BB17CA">
        <w:rPr>
          <w:shd w:val="clear" w:color="auto" w:fill="FFFFFF"/>
        </w:rPr>
        <w:lastRenderedPageBreak/>
        <w:t>17.</w:t>
      </w:r>
      <w:r w:rsidRPr="00BB17CA">
        <w:rPr>
          <w:shd w:val="clear" w:color="auto" w:fill="FFFFFF"/>
        </w:rPr>
        <w:tab/>
      </w:r>
      <w:proofErr w:type="gramStart"/>
      <w:r w:rsidRPr="00BB17CA">
        <w:t>podkreśla</w:t>
      </w:r>
      <w:proofErr w:type="gramEnd"/>
      <w:r w:rsidRPr="00BB17CA">
        <w:t xml:space="preserve">, że Rzecznik Praw Obywatelskich wyraził ubolewanie, że proaktywną przejrzystość zapewniono zasadniczo dopiero po zatwierdzeniu krajowych planów odbudowy w ramach Instrumentu na rzecz Odbudowy i Zwiększania Odporności (RRF), co uniemożliwiło opinii publicznej odpowiednie śledzenie negocjacji; wyraża zaniepokojenie z powodu znacznych opóźnień ze strony Komisji w rozpatrywaniu wniosków o udzielenie publicznego dostępu do dokumentów związanych z RRF, w niektórych przypadkach trwających rok lub dłużej; wzywa Komisję, aby zachęcała państwa członkowskie do korzystania z publicznego portalu w celu sporządzania wykazu wszystkich odbiorców finansowania w ramach RRF, aby nadal publikowała wstępne oceny wniosków o płatność złożonych przez państwa członkowskie oraz by przekazywała opinii </w:t>
      </w:r>
      <w:proofErr w:type="gramStart"/>
      <w:r w:rsidRPr="00BB17CA">
        <w:t>publicznej</w:t>
      </w:r>
      <w:proofErr w:type="gramEnd"/>
      <w:r w:rsidRPr="00BB17CA">
        <w:t xml:space="preserve"> szczegółowe informacje o prowadzonych przez nią pracach nadzorczych i audytowych w celu zapewnienia miarodajnej rozliczalności wszystkich wydanych środków; </w:t>
      </w:r>
      <w:r w:rsidRPr="00BB17CA">
        <w:rPr>
          <w:shd w:val="clear" w:color="auto" w:fill="FFFFFF"/>
        </w:rPr>
        <w:t xml:space="preserve">z zadowoleniem przyjmuje publikację </w:t>
      </w:r>
      <w:r w:rsidRPr="00BB17CA">
        <w:t xml:space="preserve">przez Organizację Współpracy Gospodarczej i Rozwoju, we współpracy z biurem Europejskiego Rzecznika Praw Obywatelskich, dokumentu programowego zatytułowanego „Dążenie do zasad dobrych praktyk w zakresie zarządzania przejrzystością w korzystaniu ze środków na odbudowę”, </w:t>
      </w:r>
      <w:r w:rsidRPr="00BB17CA">
        <w:rPr>
          <w:shd w:val="clear" w:color="auto" w:fill="FFFFFF"/>
        </w:rPr>
        <w:t>w którym zawarto wytyczne dla rządów dotyczące zapewnienia przejrzystości i odpowiedzialności w zakresie wykorzystania środków na odbudowę po pandemii COVID-19;</w:t>
      </w:r>
      <w:r w:rsidRPr="00BB17CA">
        <w:t xml:space="preserve"> w związku z tym z zadowoleniem przyjmuje wysiłki Rzecznika na rzecz poprawy standardów przejrzystości związanych z RRF;</w:t>
      </w:r>
    </w:p>
    <w:p w:rsidR="00993DC6" w:rsidRPr="00BB17CA" w:rsidRDefault="00993DC6" w:rsidP="00993DC6">
      <w:pPr>
        <w:pStyle w:val="NormalHanging12a"/>
      </w:pPr>
      <w:r w:rsidRPr="00BB17CA">
        <w:t>18.</w:t>
      </w:r>
      <w:r w:rsidRPr="00BB17CA">
        <w:tab/>
      </w:r>
      <w:proofErr w:type="gramStart"/>
      <w:r w:rsidRPr="00BB17CA">
        <w:t>zwraca</w:t>
      </w:r>
      <w:proofErr w:type="gramEnd"/>
      <w:r w:rsidRPr="00BB17CA">
        <w:t xml:space="preserve"> uwagę, że Rzecznik Praw Obywatelskich w swojej inicjatywie strategicznej dotyczącej sposobu, w jaki Komisja zapewniła przejrzystość i zrównoważoną reprezentację interesów w ramach wspólnej polityki rolnej (WPR), stwierdził, że brakuje kluczowych elementów krajowych planów strategicznych WPR, w tym konkretnych środków w podziale na pozycje budżetowe i cele pośrednie, które należy zrealizować, co utrudnia obywatelom i zainteresowanym stronom zrozumienie warunków, na jakich państwa członkowskie mogłyby korzystać z pomocy zapewnianej w ramach nowej WPR; popiera apel Rzecznika Praw Obywatelskich do Komisji o aktywne ujawnianie większej ilości informacji dotyczących zatwierdzania planów strategicznych państw członkowskich w ramach WPR; zwraca się do komisarza do spraw </w:t>
      </w:r>
      <w:proofErr w:type="gramStart"/>
      <w:r w:rsidRPr="00BB17CA">
        <w:t>rolnictwa</w:t>
      </w:r>
      <w:proofErr w:type="gramEnd"/>
      <w:r w:rsidRPr="00BB17CA">
        <w:t xml:space="preserve"> i jego gabinetu, a także do Dyrekcji Generalnej ds. Rolnictwa i Rozwoju Obszarów Wiejskich Komisji o zastosowanie się do zaleceń Rzecznika Praw Obywatelskich i dążenie do sprawiedliwej i zrównoważonej reprezentacji interesów zarówno rolników, jak i społeczeństwa obywatelskiego podczas spotkań i wymiany poglądów z przedstawicielami grup interesu, biorąc pod uwagę, że, jak wskazał Rzecznik Praw Obywatelskich w swoim piśmie z lutego 2022 r., komisarz do spraw rolnictwa i jego gabinet odbyli więcej spotkań z przedstawicielami sektora niż z organizacjami ekologicznymi i innymi organizacjami takimi jak instytucje badawcze; zwraca się do Komisji, aby przyjęła aktywną rolę w zapewnianiu zgodności z obowiązkami w </w:t>
      </w:r>
      <w:proofErr w:type="gramStart"/>
      <w:r w:rsidRPr="00BB17CA">
        <w:t>zakresie</w:t>
      </w:r>
      <w:proofErr w:type="gramEnd"/>
      <w:r w:rsidRPr="00BB17CA">
        <w:t xml:space="preserve"> przejrzystości nałożonymi na państwa członkowskie, w tym z obowiązkiem ujawniania informacji na temat większych jednostek, do których należą beneficjenci funduszy, oraz z obowiązkiem publikowania całkowitej kwoty płatności otrzymanych przez beneficjenta, w celu zagwarantowania, że obywatele mają dostęp do wszystkich niezbędnych informacji na temat beneficjentów finansowania w ramach WPR;</w:t>
      </w:r>
    </w:p>
    <w:p w:rsidR="00993DC6" w:rsidRPr="00BB17CA" w:rsidRDefault="00993DC6" w:rsidP="00993DC6">
      <w:pPr>
        <w:pStyle w:val="NormalHanging12a"/>
      </w:pPr>
      <w:r w:rsidRPr="00BB17CA">
        <w:t>19.</w:t>
      </w:r>
      <w:r w:rsidRPr="00BB17CA">
        <w:tab/>
      </w:r>
      <w:proofErr w:type="gramStart"/>
      <w:r w:rsidRPr="00BB17CA">
        <w:t>wyraża</w:t>
      </w:r>
      <w:proofErr w:type="gramEnd"/>
      <w:r w:rsidRPr="00BB17CA">
        <w:t xml:space="preserve"> ubolewanie, że Komisja w swoim podejściu do tworzenia grup dialogu obywatelskiego w kwestiach wchodzących w zakres WPR nie zastosowała się do zaleceń Rzecznika Praw Obywatelskich i nie uwzględniła kilku aspektów, a w </w:t>
      </w:r>
      <w:r w:rsidRPr="00BB17CA">
        <w:lastRenderedPageBreak/>
        <w:t>szczególności nie udało jej się w sposób przejrzysty i jasny zapewnić zrównoważonej reprezentacji interesów gospodarczych i pozagospodarczych w składzie tych grup;</w:t>
      </w:r>
    </w:p>
    <w:p w:rsidR="00993DC6" w:rsidRPr="00BB17CA" w:rsidRDefault="001E0DA1" w:rsidP="00993DC6">
      <w:pPr>
        <w:pStyle w:val="NormalHanging12a"/>
      </w:pPr>
      <w:r>
        <w:t>20.</w:t>
      </w:r>
      <w:r w:rsidR="00993DC6" w:rsidRPr="00BB17CA">
        <w:tab/>
      </w:r>
      <w:proofErr w:type="gramStart"/>
      <w:r w:rsidR="00993DC6" w:rsidRPr="00BB17CA">
        <w:t>podkreśla</w:t>
      </w:r>
      <w:proofErr w:type="gramEnd"/>
      <w:r w:rsidR="00993DC6" w:rsidRPr="00BB17CA">
        <w:t xml:space="preserve"> znaczenie, jakie dla wszystkich instytucji ma terminowe rozpatrywanie wniosków o dostęp do dokumentów, tak aby zachować istotność informacji; popiera sprawozdanie specjalne Rzecznika Praw Obywatelskich w ramach strategicznego dochodzenia dotyczącego czasu potrzebnego Komisji na rozpatrzenie wniosków o udzielenie publicznego dostępu do dokumentów</w:t>
      </w:r>
      <w:r w:rsidR="00993DC6" w:rsidRPr="00BB17CA">
        <w:rPr>
          <w:rStyle w:val="FootnoteReference"/>
        </w:rPr>
        <w:footnoteReference w:id="10"/>
      </w:r>
      <w:r w:rsidR="00993DC6" w:rsidRPr="00BB17CA">
        <w:t xml:space="preserve">; jest zaniepokojony systemowymi i znacznymi opóźnieniami w rozpatrywaniu takich wniosków przez Komisję; podkreśla, że publiczny dostęp do dokumentów jest prawem podstawowym na mocy rozporządzenia </w:t>
      </w:r>
      <w:r w:rsidR="00A938A3">
        <w:t>(W</w:t>
      </w:r>
      <w:bookmarkStart w:id="8" w:name="_GoBack"/>
      <w:bookmarkEnd w:id="8"/>
      <w:r w:rsidR="00A938A3">
        <w:t xml:space="preserve">E) </w:t>
      </w:r>
      <w:r w:rsidR="00993DC6" w:rsidRPr="00BB17CA">
        <w:t>nr 1049/2001</w:t>
      </w:r>
      <w:r w:rsidR="00993DC6" w:rsidRPr="00BB17CA">
        <w:rPr>
          <w:rStyle w:val="FootnoteReference"/>
        </w:rPr>
        <w:footnoteReference w:id="11"/>
      </w:r>
      <w:r w:rsidR="00993DC6" w:rsidRPr="00BB17CA">
        <w:t xml:space="preserve">; wzywa Komisję, aby usprawniła praktyki administracyjne w celu przestrzegania terminów określonych przez prawodawcę oraz by w jasny i proaktywny sposób wykazała, że przejrzystość jest regułą i priorytetem w rozpatrywaniu przez nią wniosków </w:t>
      </w:r>
      <w:proofErr w:type="gramStart"/>
      <w:r w:rsidR="00993DC6" w:rsidRPr="00BB17CA">
        <w:t>o</w:t>
      </w:r>
      <w:proofErr w:type="gramEnd"/>
      <w:r w:rsidR="00993DC6" w:rsidRPr="00BB17CA">
        <w:t xml:space="preserve"> publiczny dostęp do dokumentów; podkreśla, że instytucje UE muszą przeznaczać wystarczające zasoby kadrowe w celu poprawy skuteczności rozpatrywania wniosków o dostęp do dokumentów; przypomina, że Rzecznik Praw Obywatelskich zalecił gruntowną restrukturyzację podejścia Komisji do rozpatrywania wniosków o udzielenie dostępu do dokumentów;</w:t>
      </w:r>
    </w:p>
    <w:p w:rsidR="00993DC6" w:rsidRPr="00BB17CA" w:rsidRDefault="00993DC6" w:rsidP="00993DC6">
      <w:pPr>
        <w:pStyle w:val="NormalHanging12a"/>
      </w:pPr>
      <w:r w:rsidRPr="00BB17CA">
        <w:t>21.</w:t>
      </w:r>
      <w:r w:rsidRPr="00BB17CA">
        <w:tab/>
      </w:r>
      <w:proofErr w:type="gramStart"/>
      <w:r w:rsidRPr="00BB17CA">
        <w:t>odnotowuje</w:t>
      </w:r>
      <w:proofErr w:type="gramEnd"/>
      <w:r w:rsidRPr="00BB17CA">
        <w:t xml:space="preserve"> dochodzenie Rzecznika Praw Obywatelskich w sprawie nieustalenia przez Komisję istnienia – a przez to braku oceny – potencjalnego ujawnienia wiadomości tekstowych wymienianych przez przewodniczącą Komisji z dyrektorem generalnym firmy farmaceutycznej w sprawie zakupu szczepionki przeciwko COVID-19; jest zaniepokojony faktem, że podejście Komisji stanowiło niewłaściwe administrowanie; podkreśla, że wiadomości tekstowe i komunikaty natychmiastowe związane z pracą są „dokumentami” na mocy rozporządzenia </w:t>
      </w:r>
      <w:r w:rsidR="00A938A3">
        <w:t xml:space="preserve">(WE) </w:t>
      </w:r>
      <w:r w:rsidRPr="00BB17CA">
        <w:t xml:space="preserve">nr 1049/2001, i zaznacza, że poszanowanie tej zasady ma szczególne znaczenie; z zadowoleniem przyjmuje zalecenia Rzecznika Praw Obywatelskich dla administracji UE dotyczące rejestrowania wiadomości tekstowych i komunikatów natychmiastowych związanych z pracą; podkreśla, że ważne jest, aby instytucje UE w pełni przestrzegały </w:t>
      </w:r>
      <w:proofErr w:type="gramStart"/>
      <w:r w:rsidRPr="00BB17CA">
        <w:t>tych</w:t>
      </w:r>
      <w:proofErr w:type="gramEnd"/>
      <w:r w:rsidRPr="00BB17CA">
        <w:t xml:space="preserve"> zaleceń w celu dostosowania praktyk administracji UE do nowoczesnych metod komunikacji; odnotowuje odpowiedź Komisji, że wyda ona dalsze wytyczne dotyczące </w:t>
      </w:r>
      <w:proofErr w:type="gramStart"/>
      <w:r w:rsidRPr="00BB17CA">
        <w:t>nowoczesnych</w:t>
      </w:r>
      <w:proofErr w:type="gramEnd"/>
      <w:r w:rsidRPr="00BB17CA">
        <w:t xml:space="preserve"> narzędzi komunikacji takich jak wiadomości tekstowe;</w:t>
      </w:r>
    </w:p>
    <w:p w:rsidR="00993DC6" w:rsidRPr="00BB17CA" w:rsidRDefault="00993DC6" w:rsidP="00993DC6">
      <w:pPr>
        <w:pStyle w:val="NormalHanging12a"/>
      </w:pPr>
      <w:r w:rsidRPr="00BB17CA">
        <w:t>22.</w:t>
      </w:r>
      <w:r w:rsidRPr="00BB17CA">
        <w:tab/>
      </w:r>
      <w:proofErr w:type="gramStart"/>
      <w:r w:rsidRPr="00BB17CA">
        <w:t>wzywa</w:t>
      </w:r>
      <w:proofErr w:type="gramEnd"/>
      <w:r w:rsidRPr="00BB17CA">
        <w:t xml:space="preserve"> Radę, aby wyciągnęła wnioski z dochodzenia Rzecznika Praw Obywatelskich w sprawie odmowy udzielenia pełnego publicznego dostępu do dokumentów związanych z negocjacjami w sprawie projektu aktu o rynkach cyfrowych, w związku z czym w 2022 r. Rzecznik stwierdził niewłaściwe administrowanie; wzywa Radę, aby stosowała najwyższe standardy przejrzystości w tych przypadkach, zwłaszcza gdy Rzecznik Praw Obywatelskich stwierdził już problemy w poprzednich dochodzeniach strategicznych dotyczących przejrzystości procesu legislacyjnego i procesu decyzyjnego Rady w czasie kryzysu związanego z COVID-19; przypomina, że przejrzystość jest jedną z kluczowych zasad określonych w traktatach UE i że brak przejrzystości stwarza ryzyko </w:t>
      </w:r>
      <w:r w:rsidRPr="00BB17CA">
        <w:lastRenderedPageBreak/>
        <w:t>spadku zaufania obywateli do instytucji europejskich i UE jako całości;</w:t>
      </w:r>
    </w:p>
    <w:p w:rsidR="00993DC6" w:rsidRPr="00BB17CA" w:rsidRDefault="00993DC6" w:rsidP="00993DC6">
      <w:pPr>
        <w:pStyle w:val="NormalHanging12a"/>
      </w:pPr>
      <w:r w:rsidRPr="00BB17CA">
        <w:t>23.</w:t>
      </w:r>
      <w:r w:rsidRPr="00BB17CA">
        <w:tab/>
      </w:r>
      <w:proofErr w:type="gramStart"/>
      <w:r w:rsidRPr="00BB17CA">
        <w:t>podkreśla</w:t>
      </w:r>
      <w:proofErr w:type="gramEnd"/>
      <w:r w:rsidRPr="00BB17CA">
        <w:t xml:space="preserve"> znaczenie dochodzeń Rzecznika Praw Obywatelskich w sprawie przestrzegania praw człowieka przez administrację UE; popiera apel Rzecznika Praw Obywatelskich do Komisji o utworzenie nowego i osobnego portalu rozpatrywania skarg dotyczących domniemanych naruszeń praw człowieka oraz o udostępnienie go na potrzeby składania skarg związanych z naruszeniami praw człowieka przez organizacje społeczeństwa obywatelskiego i inne zainteresowane strony w krajach, z którymi UE zawarła umowy handlowe;</w:t>
      </w:r>
    </w:p>
    <w:p w:rsidR="00993DC6" w:rsidRPr="00BB17CA" w:rsidRDefault="00993DC6" w:rsidP="00993DC6">
      <w:pPr>
        <w:pStyle w:val="NormalHanging12a"/>
      </w:pPr>
      <w:r w:rsidRPr="00BB17CA">
        <w:t>24.</w:t>
      </w:r>
      <w:r w:rsidRPr="00BB17CA">
        <w:tab/>
      </w:r>
      <w:proofErr w:type="gramStart"/>
      <w:r w:rsidRPr="00BB17CA">
        <w:t>zwraca</w:t>
      </w:r>
      <w:proofErr w:type="gramEnd"/>
      <w:r w:rsidRPr="00BB17CA">
        <w:t xml:space="preserve"> uwagę, że Rzecznik Praw Obywatelskich przeprowadził strategiczne dochodzenie w sprawie sposobu, w jaki Frontex wypełnia swoje obowiązki w zakresie praw podstawowych i przejrzystości w ramach rozszerzonego mandatu na mocy rozporządzenia 2019/1896</w:t>
      </w:r>
      <w:r w:rsidRPr="00BB17CA">
        <w:rPr>
          <w:rStyle w:val="FootnoteReference"/>
          <w:lang w:eastAsia="x-none"/>
        </w:rPr>
        <w:footnoteReference w:id="12"/>
      </w:r>
      <w:r w:rsidRPr="00BB17CA">
        <w:t>, oraz podkreśla, że należy stosować wysokie standardy przejrzystości, co umożliwia kontrolę publiczną, i zapewniać pełne poszanowanie praw podstawowych we wszystkich operacjach Fronteksu, co poprawi jego rozliczalność; wzywa agencję Frontex, aby zapewniła odpowiednie działania następcze w związku z zaleceniami wydanymi przez Rzecznika Praw Obywatelskich;</w:t>
      </w:r>
    </w:p>
    <w:p w:rsidR="00993DC6" w:rsidRPr="00BB17CA" w:rsidRDefault="00993DC6" w:rsidP="00993DC6">
      <w:pPr>
        <w:pStyle w:val="NormalHanging12a"/>
      </w:pPr>
      <w:r w:rsidRPr="00BB17CA">
        <w:t>25.</w:t>
      </w:r>
      <w:r w:rsidRPr="00BB17CA">
        <w:tab/>
      </w:r>
      <w:proofErr w:type="gramStart"/>
      <w:r w:rsidRPr="00BB17CA">
        <w:t>odnotowuje</w:t>
      </w:r>
      <w:proofErr w:type="gramEnd"/>
      <w:r w:rsidRPr="00BB17CA">
        <w:t xml:space="preserve"> dochodzenie Rzecznika Praw Obywatelskich w sprawie systemu monitorowania przez Komisję poszanowania praw podstawowych przez władze chorwackie w kontekście operacji zarządzania granicami wspieranych z funduszy UE, w którego wnioskach Rzecznik skrytykował opóźnienie Komisji w ustanowieniu mechanizmu monitorowania zarządzania granicami przez władze chorwackie; wzywa Komisję, aby zawsze szybko reagowała na sugestie Rzecznika Praw Obywatelskich dotyczące ulepszeń, w szczególności w przypadkach takich jak ten, gdy zidentyfikowano istotne niedociągnięcia;</w:t>
      </w:r>
    </w:p>
    <w:p w:rsidR="00993DC6" w:rsidRPr="00BB17CA" w:rsidRDefault="00993DC6" w:rsidP="00993DC6">
      <w:pPr>
        <w:pStyle w:val="NormalHanging12a"/>
      </w:pPr>
      <w:r w:rsidRPr="00BB17CA">
        <w:t>26.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fakt, że na podstawie praktycznych zaleceń Rzecznika Praw Obywatelskich dotyczących używania języków urzędowych w komunikacji ze społeczeństwem sieć agencji UE uzgodniła wytyczne dotyczące polityki wielojęzyczności;</w:t>
      </w:r>
    </w:p>
    <w:p w:rsidR="00993DC6" w:rsidRPr="00BB17CA" w:rsidRDefault="00993DC6" w:rsidP="00993DC6">
      <w:pPr>
        <w:pStyle w:val="NormalHanging12a"/>
      </w:pPr>
      <w:r w:rsidRPr="00BB17CA">
        <w:t>27.</w:t>
      </w:r>
      <w:r w:rsidRPr="00BB17CA">
        <w:tab/>
        <w:t>zwraca uwagę, że w 2022 r. zaktualizowano Statut Europejskiego Rzecznika Praw Obywatelskich, przez dodanie do niego przepisów wykonawczych, w których szczegółowo opisano procedury pracy biura Rzecznika Praw Obywatelskich</w:t>
      </w:r>
      <w:proofErr w:type="gramStart"/>
      <w:r w:rsidRPr="00BB17CA">
        <w:t>; uważa</w:t>
      </w:r>
      <w:proofErr w:type="gramEnd"/>
      <w:r w:rsidRPr="00BB17CA">
        <w:t>, że nowe przepisy przyczynią się do usprawnienia pracy Rzecznika;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28.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zaangażowanie Rzecznika Praw Obywatelskich w monitorowanie wdrażania Konwencji ONZ o prawach osób niepełnosprawnych przez administrację UE; docenia pracę Rzecznika Praw Obywatelskich jako członka unijnych ram dotyczących Konwencji ONZ o prawach osób niepełnosprawnych;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29.</w:t>
      </w:r>
      <w:r w:rsidRPr="00BB17CA">
        <w:tab/>
      </w:r>
      <w:proofErr w:type="gramStart"/>
      <w:r w:rsidRPr="00BB17CA">
        <w:t>podkreśla</w:t>
      </w:r>
      <w:proofErr w:type="gramEnd"/>
      <w:r w:rsidRPr="00BB17CA">
        <w:t xml:space="preserve"> wyniki dochodzenia Rzecznika Praw Obywatelskich z własnej inicjatywy dotyczącego sposobu monitorowania przez Komisję europejskich funduszy strukturalnych i inwestycyjnych, które to wyniki zagwarantują, że fundusze te są wykorzystywane do wzmocnienia praw osób z niepełnosprawnościami do </w:t>
      </w:r>
      <w:r w:rsidRPr="00BB17CA">
        <w:lastRenderedPageBreak/>
        <w:t xml:space="preserve">samodzielnego życia i włączenia społecznego; z zadowoleniem przyjmuje propozycję przyjęcia </w:t>
      </w:r>
      <w:r w:rsidRPr="00BB17CA">
        <w:rPr>
          <w:shd w:val="clear" w:color="auto" w:fill="FFFFFF"/>
        </w:rPr>
        <w:t xml:space="preserve">jaśniejszych wytycznych dotyczących potrzeby propagowania deinstytucjonalizacji w kontekście wykorzystania </w:t>
      </w:r>
      <w:r w:rsidRPr="00BB17CA">
        <w:t>funduszy strukturalnych i inwestycyjnych EU</w:t>
      </w:r>
      <w:r w:rsidRPr="00BB17CA">
        <w:rPr>
          <w:shd w:val="clear" w:color="auto" w:fill="FFFFFF"/>
        </w:rPr>
        <w:t>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30.</w:t>
      </w:r>
      <w:r w:rsidRPr="00BB17CA">
        <w:tab/>
      </w:r>
      <w:proofErr w:type="gramStart"/>
      <w:r w:rsidRPr="00BB17CA">
        <w:t>zachęca</w:t>
      </w:r>
      <w:proofErr w:type="gramEnd"/>
      <w:r w:rsidRPr="00BB17CA">
        <w:t xml:space="preserve"> Rzecznika Praw Obywatelskich, aby kontynuował wymianę doświadczeń i najlepszych praktyk z krajowymi rzecznikami praw obywatelskich za pośrednictwem europejskiej sieci rzeczników praw obywatelskich; docenia fakt, że zorganizowana w 2022 r. doroczna konferencja europejskiej sieci rzeczników praw obywatelskich była skoncentrowana na najlepszych praktykach w zakresie pomocy uchodźcom i dotyczyła wpływu cyfryzacji usług publicznych na prawa obywateli; pochwala dodanie ukraińskiego i mołdawskiego biura rzecznika praw obywatelskich do europejskiej sieci rzeczników praw obywatelskich;</w:t>
      </w:r>
    </w:p>
    <w:p w:rsidR="00993DC6" w:rsidRPr="00BB17CA" w:rsidRDefault="00993DC6" w:rsidP="00993DC6">
      <w:pPr>
        <w:pStyle w:val="NormalHanging12a"/>
      </w:pPr>
      <w:r w:rsidRPr="00BB17CA">
        <w:t>31.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nieustanne starania Rzecznika Praw Obywatelskich na rzecz dalszej poprawy widoczności jego działalności, w tym za pośrednictwem narzędzi internetowych i wielojęzycznej strony internetowej zapewniającej pomoc we wszystkich 24 językach urzędowych UE;</w:t>
      </w:r>
    </w:p>
    <w:p w:rsidR="00993DC6" w:rsidRPr="00BB17CA" w:rsidRDefault="00993DC6" w:rsidP="00993DC6">
      <w:pPr>
        <w:pStyle w:val="NormalHanging12a"/>
      </w:pPr>
      <w:r w:rsidRPr="00BB17CA">
        <w:t>32.</w:t>
      </w:r>
      <w:r w:rsidRPr="00BB17CA">
        <w:tab/>
      </w:r>
      <w:proofErr w:type="gramStart"/>
      <w:r w:rsidRPr="00BB17CA">
        <w:t>z</w:t>
      </w:r>
      <w:proofErr w:type="gramEnd"/>
      <w:r w:rsidRPr="00BB17CA">
        <w:t xml:space="preserve"> zadowoleniem przyjmuje i owocny długotrwały dialog między Rzecznikiem Praw Obywatelskich a Komisją Petycji Parlamentu Europejskiego; podkreśla, że intensywna współpraca między tymi organami pomaga zwiększyć demokratyczną rozliczalność instytucji Unii i zbliżyć je do obywateli;</w:t>
      </w:r>
    </w:p>
    <w:p w:rsidR="00993DC6" w:rsidRPr="00BB17CA" w:rsidRDefault="00993DC6" w:rsidP="00993DC6">
      <w:pPr>
        <w:pStyle w:val="NormalHanging12a"/>
        <w:rPr>
          <w:szCs w:val="24"/>
        </w:rPr>
      </w:pPr>
      <w:r w:rsidRPr="00BB17CA">
        <w:t>33.</w:t>
      </w:r>
      <w:r w:rsidRPr="00BB17CA">
        <w:tab/>
      </w:r>
      <w:proofErr w:type="gramStart"/>
      <w:r w:rsidRPr="00BB17CA">
        <w:t>zobowiązuje</w:t>
      </w:r>
      <w:proofErr w:type="gramEnd"/>
      <w:r w:rsidRPr="00BB17CA">
        <w:t xml:space="preserve"> swoją przewodniczącą do przekazania niniejszej rezolucji i sprawozdania sporządzonego przez Komisję Petycji Radzie, Komisji, Europejskiemu Rzecznikowi Praw Obywatelskich, a także rządom i parlamentom państw członkowskich oraz rzecznikom praw obywatelskich lub odpowiadającym im organom w państwach członkowskich.</w:t>
      </w:r>
    </w:p>
    <w:p w:rsidR="00E365E1" w:rsidRPr="00BB17CA" w:rsidRDefault="00E365E1" w:rsidP="00D83C0B"/>
    <w:sectPr w:rsidR="00E365E1" w:rsidRPr="00BB17CA" w:rsidSect="00BB17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C0B" w:rsidRPr="00BB17CA" w:rsidRDefault="00D83C0B">
      <w:r w:rsidRPr="00BB17CA">
        <w:separator/>
      </w:r>
    </w:p>
  </w:endnote>
  <w:endnote w:type="continuationSeparator" w:id="0">
    <w:p w:rsidR="00D83C0B" w:rsidRPr="00BB17CA" w:rsidRDefault="00D83C0B">
      <w:r w:rsidRPr="00BB17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7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7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7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C0B" w:rsidRPr="00BB17CA" w:rsidRDefault="00D83C0B">
      <w:r w:rsidRPr="00BB17CA">
        <w:separator/>
      </w:r>
    </w:p>
  </w:footnote>
  <w:footnote w:type="continuationSeparator" w:id="0">
    <w:p w:rsidR="00D83C0B" w:rsidRPr="00BB17CA" w:rsidRDefault="00D83C0B">
      <w:r w:rsidRPr="00BB17CA">
        <w:continuationSeparator/>
      </w:r>
    </w:p>
  </w:footnote>
  <w:footnote w:id="1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 xml:space="preserve">Dz.U. L 253 z 16.7.2021, </w:t>
      </w:r>
      <w:proofErr w:type="gramStart"/>
      <w:r w:rsidRPr="00BB17CA">
        <w:rPr>
          <w:sz w:val="24"/>
          <w:lang w:val="pl-PL"/>
        </w:rPr>
        <w:t>s</w:t>
      </w:r>
      <w:proofErr w:type="gramEnd"/>
      <w:r w:rsidRPr="00BB17CA">
        <w:rPr>
          <w:sz w:val="24"/>
          <w:lang w:val="pl-PL"/>
        </w:rPr>
        <w:t>. 1.</w:t>
      </w:r>
    </w:p>
  </w:footnote>
  <w:footnote w:id="2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1" w:history="1">
        <w:r w:rsidRPr="00BB17CA">
          <w:rPr>
            <w:rStyle w:val="Hyperlink"/>
            <w:sz w:val="24"/>
            <w:lang w:val="pl-PL"/>
          </w:rPr>
          <w:t>Council should give faster public access to legislative documents</w:t>
        </w:r>
      </w:hyperlink>
      <w:r w:rsidRPr="00BB17CA">
        <w:rPr>
          <w:sz w:val="24"/>
          <w:lang w:val="pl-PL"/>
        </w:rPr>
        <w:t>” [Rada powinna zapewnić szybszy publiczny dostęp do dokumentów ustawodawczych], 29 czerwca 2022 r.</w:t>
      </w:r>
    </w:p>
  </w:footnote>
  <w:footnote w:id="3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2" w:history="1">
        <w:r w:rsidRPr="00BB17CA">
          <w:rPr>
            <w:rStyle w:val="Hyperlink"/>
            <w:sz w:val="24"/>
            <w:lang w:val="pl-PL"/>
          </w:rPr>
          <w:t>Decyzja w sprawie odmowy przez Komisję Europejską publicznego dostępu do wiadomości tekstowych wymienianych między przewodniczącą Komisji a dyrektorem generalnym koncernu farmaceutycznego na temat zakupu szczepionek przeciwko COVID-19</w:t>
        </w:r>
      </w:hyperlink>
      <w:r w:rsidRPr="00BB17CA">
        <w:rPr>
          <w:sz w:val="24"/>
          <w:lang w:val="pl-PL"/>
        </w:rPr>
        <w:t>” (sprawa 1316/2021/MIG), 12 lipca 2022 r.</w:t>
      </w:r>
    </w:p>
  </w:footnote>
  <w:footnote w:id="4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3" w:history="1">
        <w:r w:rsidRPr="00BB17CA">
          <w:rPr>
            <w:rStyle w:val="Hyperlink"/>
            <w:sz w:val="24"/>
            <w:lang w:val="pl-PL"/>
          </w:rPr>
          <w:t>Ombudsman criticises how Commission handled request for access to President’s text messages</w:t>
        </w:r>
      </w:hyperlink>
      <w:r w:rsidRPr="00BB17CA">
        <w:rPr>
          <w:sz w:val="24"/>
          <w:lang w:val="pl-PL"/>
        </w:rPr>
        <w:t>” [Rzecznik Praw Obywatelskich krytykuje sposób, w jaki Komisja rozpatrzyła wniosek o dostęp do wiadomości tekstowych przewodniczącej], 28 stycznia 2022 r.</w:t>
      </w:r>
    </w:p>
  </w:footnote>
  <w:footnote w:id="5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4" w:history="1">
        <w:r w:rsidRPr="00BB17CA">
          <w:rPr>
            <w:rStyle w:val="Hyperlink"/>
            <w:sz w:val="24"/>
            <w:lang w:val="pl-PL"/>
          </w:rPr>
          <w:t>Ombudsman opens inquiry into how ECB handles “revolving doors”</w:t>
        </w:r>
      </w:hyperlink>
      <w:r w:rsidRPr="00BB17CA">
        <w:rPr>
          <w:sz w:val="24"/>
          <w:lang w:val="pl-PL"/>
        </w:rPr>
        <w:t>”[Rzecznik Praw Obywatelskich wszczyna dochodzenie w sprawie sposobu, w jaki EBC radzi sobie z efektem drzwi obrotowych], 3 marca 2022 r.</w:t>
      </w:r>
    </w:p>
  </w:footnote>
  <w:footnote w:id="6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5" w:history="1">
        <w:r w:rsidRPr="00BB17CA">
          <w:rPr>
            <w:rStyle w:val="Hyperlink"/>
            <w:sz w:val="24"/>
            <w:lang w:val="pl-PL"/>
          </w:rPr>
          <w:t>Decision on the time the European Commission takes to deal with requests for public access to documents (strategic inquiry OI/2/2022/OAM</w:t>
        </w:r>
        <w:proofErr w:type="gramStart"/>
        <w:r w:rsidRPr="00BB17CA">
          <w:rPr>
            <w:rStyle w:val="Hyperlink"/>
            <w:sz w:val="24"/>
            <w:lang w:val="pl-PL"/>
          </w:rPr>
          <w:t>)</w:t>
        </w:r>
      </w:hyperlink>
      <w:r w:rsidRPr="00BB17CA">
        <w:rPr>
          <w:sz w:val="24"/>
          <w:lang w:val="pl-PL"/>
        </w:rPr>
        <w:t>” [Decyzja</w:t>
      </w:r>
      <w:proofErr w:type="gramEnd"/>
      <w:r w:rsidRPr="00BB17CA">
        <w:rPr>
          <w:sz w:val="24"/>
          <w:lang w:val="pl-PL"/>
        </w:rPr>
        <w:t xml:space="preserve"> w sprawie czasu, jakiego Komisji Europejskiej potrzeba do rozpatrzenia wniosków o publiczny dostęp do dokumentów (dochodzenie strategiczne OI/2/2022/OAM)], 18 września 2023 r.  </w:t>
      </w:r>
    </w:p>
  </w:footnote>
  <w:footnote w:id="7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6" w:history="1">
        <w:r w:rsidRPr="00BB17CA">
          <w:rPr>
            <w:rStyle w:val="Hyperlink"/>
            <w:sz w:val="24"/>
            <w:lang w:val="pl-PL"/>
          </w:rPr>
          <w:t>Ombudsman calls for improved transparency around EU recovery funds</w:t>
        </w:r>
      </w:hyperlink>
      <w:r w:rsidRPr="00BB17CA">
        <w:rPr>
          <w:sz w:val="24"/>
          <w:lang w:val="pl-PL"/>
        </w:rPr>
        <w:t>” [Rzecznik Praw Obywatelskich wzywa do poprawy przejrzystości wokół unijnych funduszy odbudowy], 1 grudnia 2022 r.</w:t>
      </w:r>
    </w:p>
  </w:footnote>
  <w:footnote w:id="8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7" w:history="1">
        <w:r w:rsidRPr="00BB17CA">
          <w:rPr>
            <w:rStyle w:val="Hyperlink"/>
            <w:sz w:val="24"/>
            <w:lang w:val="pl-PL"/>
          </w:rPr>
          <w:t>Odmowa udzielenia przez Komisję Europejską publicznego dostępu do dokumentów związanych z jej wnioskiem dotyczącym rozporządzenia w sprawie europejskiej przestrzeni danych dotyczących zdrowia (COM(2022) 197 final</w:t>
        </w:r>
        <w:proofErr w:type="gramStart"/>
        <w:r w:rsidRPr="00BB17CA">
          <w:rPr>
            <w:rStyle w:val="Hyperlink"/>
            <w:sz w:val="24"/>
            <w:lang w:val="pl-PL"/>
          </w:rPr>
          <w:t>)</w:t>
        </w:r>
      </w:hyperlink>
      <w:r w:rsidRPr="00BB17CA">
        <w:rPr>
          <w:sz w:val="24"/>
          <w:lang w:val="pl-PL"/>
        </w:rPr>
        <w:t>”, docho</w:t>
      </w:r>
      <w:r w:rsidR="00A938A3">
        <w:rPr>
          <w:sz w:val="24"/>
          <w:lang w:val="pl-PL"/>
        </w:rPr>
        <w:t>dzenie</w:t>
      </w:r>
      <w:proofErr w:type="gramEnd"/>
      <w:r w:rsidR="00A938A3">
        <w:rPr>
          <w:sz w:val="24"/>
          <w:lang w:val="pl-PL"/>
        </w:rPr>
        <w:t xml:space="preserve"> wszczęte 28 listopada 202</w:t>
      </w:r>
      <w:r w:rsidRPr="00BB17CA">
        <w:rPr>
          <w:sz w:val="24"/>
          <w:lang w:val="pl-PL"/>
        </w:rPr>
        <w:t>2 r.</w:t>
      </w:r>
    </w:p>
  </w:footnote>
  <w:footnote w:id="9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8" w:history="1">
        <w:r w:rsidRPr="00BB17CA">
          <w:rPr>
            <w:rStyle w:val="Hyperlink"/>
            <w:sz w:val="24"/>
            <w:lang w:val="pl-PL"/>
          </w:rPr>
          <w:t>Sposób, w jaki Komisja Europejska rozpatrzyła wniosek o publiczny dostęp do deklaracji interesów członków Rady ds. Kontroli Regulacyjnej</w:t>
        </w:r>
      </w:hyperlink>
      <w:r w:rsidRPr="00BB17CA">
        <w:rPr>
          <w:sz w:val="24"/>
          <w:lang w:val="pl-PL"/>
        </w:rPr>
        <w:t>”, decyzja wydana 20 grudnia 2022 r.;</w:t>
      </w:r>
    </w:p>
  </w:footnote>
  <w:footnote w:id="10">
    <w:p w:rsidR="00993DC6" w:rsidRPr="00BB17CA" w:rsidRDefault="00993DC6" w:rsidP="00BB17CA">
      <w:pPr>
        <w:pStyle w:val="FootnoteText"/>
        <w:ind w:left="567" w:hanging="567"/>
        <w:rPr>
          <w:sz w:val="24"/>
          <w:szCs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>Europejski Rzecznik Praw Obywatelskich, „</w:t>
      </w:r>
      <w:hyperlink r:id="rId9" w:history="1">
        <w:r w:rsidRPr="00BB17CA">
          <w:rPr>
            <w:rStyle w:val="Hyperlink"/>
            <w:sz w:val="24"/>
            <w:lang w:val="pl-PL"/>
          </w:rPr>
          <w:t>Ombudsman opens inquiry into time taken by Commission to deal with access to documents requests</w:t>
        </w:r>
      </w:hyperlink>
      <w:r w:rsidRPr="00BB17CA">
        <w:rPr>
          <w:sz w:val="24"/>
          <w:lang w:val="pl-PL"/>
        </w:rPr>
        <w:t>” [Rzecznik wszczyna dochodzenie w sprawie czasu potrzebnego Komisji na rozpatrzenie wniosków o udzielenie dostępu do dokumentów], 6 kwietnia 2022 r.</w:t>
      </w:r>
    </w:p>
  </w:footnote>
  <w:footnote w:id="11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 xml:space="preserve">Rozporządzenie (WE) nr 1049/2001 Parlamentu Europejskiego i Rady z dnia 30 maja 2001 r. w sprawie publicznego dostępu do dokumentów Parlamentu Europejskiego, Rady i Komisji (Dz.U. L 145 z 31.5.2001, </w:t>
      </w:r>
      <w:proofErr w:type="gramStart"/>
      <w:r w:rsidRPr="00BB17CA">
        <w:rPr>
          <w:sz w:val="24"/>
          <w:lang w:val="pl-PL"/>
        </w:rPr>
        <w:t>s</w:t>
      </w:r>
      <w:proofErr w:type="gramEnd"/>
      <w:r w:rsidRPr="00BB17CA">
        <w:rPr>
          <w:sz w:val="24"/>
          <w:lang w:val="pl-PL"/>
        </w:rPr>
        <w:t>. 43).</w:t>
      </w:r>
    </w:p>
  </w:footnote>
  <w:footnote w:id="12">
    <w:p w:rsidR="00993DC6" w:rsidRPr="00BB17CA" w:rsidRDefault="00993DC6" w:rsidP="00BB17CA">
      <w:pPr>
        <w:pStyle w:val="FootnoteText"/>
        <w:ind w:left="567" w:hanging="567"/>
        <w:rPr>
          <w:sz w:val="24"/>
          <w:lang w:val="pl-PL"/>
        </w:rPr>
      </w:pPr>
      <w:r w:rsidRPr="00BB17CA">
        <w:rPr>
          <w:rStyle w:val="FootnoteReference"/>
          <w:sz w:val="24"/>
          <w:lang w:val="pl-PL"/>
        </w:rPr>
        <w:footnoteRef/>
      </w:r>
      <w:r w:rsidR="00BB17CA" w:rsidRPr="00BB17CA">
        <w:rPr>
          <w:sz w:val="24"/>
          <w:lang w:val="pl-PL"/>
        </w:rPr>
        <w:t xml:space="preserve"> </w:t>
      </w:r>
      <w:r w:rsidR="00BB17CA" w:rsidRPr="00BB17CA">
        <w:rPr>
          <w:sz w:val="24"/>
          <w:lang w:val="pl-PL"/>
        </w:rPr>
        <w:tab/>
      </w:r>
      <w:r w:rsidRPr="00BB17CA">
        <w:rPr>
          <w:sz w:val="24"/>
          <w:lang w:val="pl-PL"/>
        </w:rPr>
        <w:t xml:space="preserve">Rozporządzenie Parlamentu Europejskiego i Rady (UE) 2019/1896 z dnia 13 listopada 2019 r. w sprawie Europejskiej Straży Granicznej i Przybrzeżnej oraz uchylenia rozporządzeń (UE) nr 1052/2013 i (UE) 2016/1624, (Dz.U. L 295 z 14.11.2019, </w:t>
      </w:r>
      <w:proofErr w:type="gramStart"/>
      <w:r w:rsidRPr="00BB17CA">
        <w:rPr>
          <w:sz w:val="24"/>
          <w:lang w:val="pl-PL"/>
        </w:rPr>
        <w:t>s</w:t>
      </w:r>
      <w:proofErr w:type="gramEnd"/>
      <w:r w:rsidRPr="00BB17CA">
        <w:rPr>
          <w:sz w:val="24"/>
          <w:lang w:val="pl-PL"/>
        </w:rPr>
        <w:t>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7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7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17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4/2023"/>
    <w:docVar w:name="dvlangue" w:val="PL"/>
    <w:docVar w:name="dvnumam" w:val="0"/>
    <w:docVar w:name="dvpe" w:val="751.674"/>
    <w:docVar w:name="dvrapporteur" w:val="Sprawozdawca: "/>
    <w:docVar w:name="dvtitre" w:val="Rezolucja Parlamentu Europejskiego z dnia  2024 r. w sprawie sprawozdania rocznego z działalności Europejskiego Rzecznika Praw Obywatelskich w 2022 r.(2023/2120(INI))"/>
  </w:docVars>
  <w:rsids>
    <w:rsidRoot w:val="00D83C0B"/>
    <w:rsid w:val="00002272"/>
    <w:rsid w:val="00064002"/>
    <w:rsid w:val="000677B9"/>
    <w:rsid w:val="000831BA"/>
    <w:rsid w:val="000A0647"/>
    <w:rsid w:val="000A42CC"/>
    <w:rsid w:val="000E7DD9"/>
    <w:rsid w:val="0010095E"/>
    <w:rsid w:val="00125B37"/>
    <w:rsid w:val="00187494"/>
    <w:rsid w:val="001E0DA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DC6"/>
    <w:rsid w:val="00A1687D"/>
    <w:rsid w:val="00A43E52"/>
    <w:rsid w:val="00A4678D"/>
    <w:rsid w:val="00A778C7"/>
    <w:rsid w:val="00A938A3"/>
    <w:rsid w:val="00AB441E"/>
    <w:rsid w:val="00AB6293"/>
    <w:rsid w:val="00AE0928"/>
    <w:rsid w:val="00AF3B82"/>
    <w:rsid w:val="00B12E95"/>
    <w:rsid w:val="00B22876"/>
    <w:rsid w:val="00B558F0"/>
    <w:rsid w:val="00BB17C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C0B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F2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FF655"/>
  <w15:chartTrackingRefBased/>
  <w15:docId w15:val="{CA2DB215-277A-440E-AFB3-53CFC034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93DC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93DC6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993DC6"/>
    <w:rPr>
      <w:sz w:val="24"/>
      <w:lang w:val="pl-PL"/>
    </w:rPr>
  </w:style>
  <w:style w:type="character" w:customStyle="1" w:styleId="graphbold">
    <w:name w:val="graph bold"/>
    <w:basedOn w:val="DefaultParagraphFont"/>
    <w:uiPriority w:val="1"/>
    <w:qFormat/>
    <w:rsid w:val="00993DC6"/>
    <w:rPr>
      <w:rFonts w:ascii="Arial" w:hAnsi="Arial" w:cs="Arial" w:hint="default"/>
      <w:b/>
      <w:bCs w:val="0"/>
      <w:sz w:val="16"/>
    </w:rPr>
  </w:style>
  <w:style w:type="character" w:styleId="Hyperlink">
    <w:name w:val="Hyperlink"/>
    <w:basedOn w:val="DefaultParagraphFont"/>
    <w:uiPriority w:val="99"/>
    <w:unhideWhenUsed/>
    <w:rsid w:val="00993DC6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budsman.europa.eu/pl/opening-summary/pl/163838" TargetMode="External"/><Relationship Id="rId3" Type="http://schemas.openxmlformats.org/officeDocument/2006/relationships/hyperlink" Target="https://www.ombudsman.europa.eu/pl/news-document/pl/151742" TargetMode="External"/><Relationship Id="rId7" Type="http://schemas.openxmlformats.org/officeDocument/2006/relationships/hyperlink" Target="https://www.ombudsman.europa.eu/pl/case/pl/62762" TargetMode="External"/><Relationship Id="rId2" Type="http://schemas.openxmlformats.org/officeDocument/2006/relationships/hyperlink" Target="https://www.ombudsman.europa.eu/pl/decision/pl/158295" TargetMode="External"/><Relationship Id="rId1" Type="http://schemas.openxmlformats.org/officeDocument/2006/relationships/hyperlink" Target="https://www.ombudsman.europa.eu/pl/news-document/pl/157774" TargetMode="External"/><Relationship Id="rId6" Type="http://schemas.openxmlformats.org/officeDocument/2006/relationships/hyperlink" Target="https://www.ombudsman.europa.eu/pl/news-document/pl/163567" TargetMode="External"/><Relationship Id="rId5" Type="http://schemas.openxmlformats.org/officeDocument/2006/relationships/hyperlink" Target="https://www.ombudsman.europa.eu/pl/decision/pl/175321" TargetMode="External"/><Relationship Id="rId4" Type="http://schemas.openxmlformats.org/officeDocument/2006/relationships/hyperlink" Target="https://www.ombudsman.europa.eu/pl/news-document/pl/153137" TargetMode="External"/><Relationship Id="rId9" Type="http://schemas.openxmlformats.org/officeDocument/2006/relationships/hyperlink" Target="https://www.ombudsman.europa.eu/pl/news-document/pl/154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52155-9D4F-418A-8174-484CFA4BC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3905</Words>
  <Characters>26699</Characters>
  <Application>Microsoft Office Word</Application>
  <DocSecurity>0</DocSecurity>
  <Lines>503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2024-02-15T15:22:00Z</dcterms:created>
  <dcterms:modified xsi:type="dcterms:W3CDTF">2024-02-15T15:22:00Z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A9-0414/2023</vt:lpwstr>
  </property>
  <property fmtid="{D5CDD505-2E9C-101B-9397-08002B2CF9AE}" pid="4" name="&lt;Type&gt;">
    <vt:lpwstr>RR</vt:lpwstr>
  </property>
</Properties>
</file>