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A6EA1" w:rsidTr="0010095E">
        <w:trPr>
          <w:trHeight w:hRule="exact" w:val="1418"/>
        </w:trPr>
        <w:tc>
          <w:tcPr>
            <w:tcW w:w="6804" w:type="dxa"/>
            <w:shd w:val="clear" w:color="auto" w:fill="auto"/>
            <w:vAlign w:val="center"/>
          </w:tcPr>
          <w:p w:rsidR="00751A4A" w:rsidRPr="000A6EA1" w:rsidRDefault="003549A9" w:rsidP="0010095E">
            <w:pPr>
              <w:pStyle w:val="EPName"/>
            </w:pPr>
            <w:r w:rsidRPr="000A6EA1">
              <w:t>Europaparlamentet</w:t>
            </w:r>
          </w:p>
          <w:p w:rsidR="00751A4A" w:rsidRPr="000A6EA1" w:rsidRDefault="00817416" w:rsidP="00756632">
            <w:pPr>
              <w:pStyle w:val="EPTerm"/>
              <w:rPr>
                <w:rStyle w:val="HideTWBExt"/>
                <w:noProof w:val="0"/>
                <w:vanish w:val="0"/>
                <w:color w:val="auto"/>
              </w:rPr>
            </w:pPr>
            <w:r w:rsidRPr="000A6EA1">
              <w:t>2019-2024</w:t>
            </w:r>
          </w:p>
        </w:tc>
        <w:tc>
          <w:tcPr>
            <w:tcW w:w="2268" w:type="dxa"/>
            <w:shd w:val="clear" w:color="auto" w:fill="auto"/>
          </w:tcPr>
          <w:p w:rsidR="00751A4A" w:rsidRPr="000A6EA1" w:rsidRDefault="00187494" w:rsidP="0010095E">
            <w:pPr>
              <w:pStyle w:val="EPLogo"/>
            </w:pPr>
            <w:r w:rsidRPr="000A6EA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A6EA1" w:rsidRDefault="00D058B8" w:rsidP="004C5D52">
      <w:pPr>
        <w:pStyle w:val="LineTop"/>
      </w:pPr>
    </w:p>
    <w:p w:rsidR="00680577" w:rsidRPr="000A6EA1" w:rsidRDefault="003549A9" w:rsidP="00680577">
      <w:pPr>
        <w:pStyle w:val="EPBodyTA1"/>
      </w:pPr>
      <w:r w:rsidRPr="000A6EA1">
        <w:t>ANTAGNA TEXTER</w:t>
      </w:r>
    </w:p>
    <w:p w:rsidR="00D058B8" w:rsidRPr="000A6EA1" w:rsidRDefault="00D058B8" w:rsidP="00D058B8">
      <w:pPr>
        <w:pStyle w:val="LineBottom"/>
      </w:pPr>
    </w:p>
    <w:p w:rsidR="003549A9" w:rsidRPr="000A6EA1" w:rsidRDefault="003549A9" w:rsidP="003549A9">
      <w:pPr>
        <w:pStyle w:val="ATHeading1"/>
      </w:pPr>
      <w:bookmarkStart w:id="0" w:name="TANumber"/>
      <w:r w:rsidRPr="000A6EA1">
        <w:t>P9_TA(2024)00</w:t>
      </w:r>
      <w:r w:rsidR="000A6EA1" w:rsidRPr="000A6EA1">
        <w:t>35</w:t>
      </w:r>
      <w:bookmarkEnd w:id="0"/>
    </w:p>
    <w:p w:rsidR="003549A9" w:rsidRPr="000A6EA1" w:rsidRDefault="003549A9" w:rsidP="003549A9">
      <w:pPr>
        <w:pStyle w:val="ATHeading2"/>
      </w:pPr>
      <w:bookmarkStart w:id="1" w:name="title"/>
      <w:r w:rsidRPr="000A6EA1">
        <w:t>Europeiska ombudsmannens verksamhet – årsrapport 2022</w:t>
      </w:r>
      <w:bookmarkEnd w:id="1"/>
    </w:p>
    <w:p w:rsidR="003549A9" w:rsidRPr="000A6EA1" w:rsidRDefault="003549A9" w:rsidP="003549A9">
      <w:pPr>
        <w:rPr>
          <w:i/>
          <w:vanish/>
        </w:rPr>
      </w:pPr>
      <w:r w:rsidRPr="000A6EA1">
        <w:rPr>
          <w:i/>
        </w:rPr>
        <w:fldChar w:fldCharType="begin"/>
      </w:r>
      <w:r w:rsidRPr="000A6EA1">
        <w:rPr>
          <w:i/>
        </w:rPr>
        <w:instrText xml:space="preserve"> TC"(</w:instrText>
      </w:r>
      <w:bookmarkStart w:id="2" w:name="DocNumber"/>
      <w:r w:rsidRPr="000A6EA1">
        <w:rPr>
          <w:i/>
        </w:rPr>
        <w:instrText>A9-0414/2023</w:instrText>
      </w:r>
      <w:bookmarkEnd w:id="2"/>
      <w:r w:rsidRPr="000A6EA1">
        <w:rPr>
          <w:i/>
        </w:rPr>
        <w:instrText xml:space="preserve"> - Föredragande: Peter Jahr)"\l3 \n&gt; \* MERGEFORMAT </w:instrText>
      </w:r>
      <w:r w:rsidRPr="000A6EA1">
        <w:rPr>
          <w:i/>
        </w:rPr>
        <w:fldChar w:fldCharType="end"/>
      </w:r>
    </w:p>
    <w:p w:rsidR="003549A9" w:rsidRPr="000A6EA1" w:rsidRDefault="003549A9" w:rsidP="003549A9">
      <w:pPr>
        <w:rPr>
          <w:vanish/>
        </w:rPr>
      </w:pPr>
      <w:bookmarkStart w:id="3" w:name="Commission"/>
      <w:r w:rsidRPr="000A6EA1">
        <w:rPr>
          <w:vanish/>
        </w:rPr>
        <w:t>Utskottet för framställningar</w:t>
      </w:r>
      <w:bookmarkEnd w:id="3"/>
    </w:p>
    <w:p w:rsidR="003549A9" w:rsidRPr="000A6EA1" w:rsidRDefault="003549A9" w:rsidP="003549A9">
      <w:pPr>
        <w:rPr>
          <w:vanish/>
        </w:rPr>
      </w:pPr>
      <w:bookmarkStart w:id="4" w:name="PE"/>
      <w:r w:rsidRPr="000A6EA1">
        <w:rPr>
          <w:vanish/>
        </w:rPr>
        <w:t>PE751.674</w:t>
      </w:r>
      <w:bookmarkEnd w:id="4"/>
    </w:p>
    <w:p w:rsidR="003549A9" w:rsidRPr="000A6EA1" w:rsidRDefault="003549A9" w:rsidP="003549A9">
      <w:pPr>
        <w:pStyle w:val="ATHeading3"/>
      </w:pPr>
      <w:bookmarkStart w:id="5" w:name="Sujet"/>
      <w:r w:rsidRPr="000A6EA1">
        <w:t xml:space="preserve">Europaparlamentets resolution av den </w:t>
      </w:r>
      <w:r w:rsidR="00C671BA" w:rsidRPr="000A6EA1">
        <w:t>17</w:t>
      </w:r>
      <w:r w:rsidRPr="000A6EA1">
        <w:t xml:space="preserve"> </w:t>
      </w:r>
      <w:r w:rsidR="00C671BA" w:rsidRPr="000A6EA1">
        <w:t>januari</w:t>
      </w:r>
      <w:r w:rsidRPr="000A6EA1">
        <w:t xml:space="preserve"> 2024 om årsrapporten om Europeiska ombudsmannens verksamhet 2022</w:t>
      </w:r>
      <w:bookmarkEnd w:id="5"/>
      <w:r w:rsidRPr="000A6EA1">
        <w:t xml:space="preserve"> </w:t>
      </w:r>
      <w:bookmarkStart w:id="6" w:name="References"/>
      <w:r w:rsidRPr="000A6EA1">
        <w:t>(2023/2120(INI))</w:t>
      </w:r>
      <w:bookmarkEnd w:id="6"/>
    </w:p>
    <w:p w:rsidR="00950291" w:rsidRPr="000A6EA1" w:rsidRDefault="00950291" w:rsidP="00950291">
      <w:pPr>
        <w:pStyle w:val="EPComma"/>
      </w:pPr>
      <w:bookmarkStart w:id="7" w:name="TextBodyBegin"/>
      <w:bookmarkEnd w:id="7"/>
      <w:r w:rsidRPr="000A6EA1">
        <w:rPr>
          <w:i/>
        </w:rPr>
        <w:t>Europaparlamentet utfärdar denna resolution</w:t>
      </w:r>
    </w:p>
    <w:p w:rsidR="00950291" w:rsidRPr="000A6EA1" w:rsidRDefault="00950291" w:rsidP="00950291">
      <w:pPr>
        <w:pStyle w:val="NormalHanging12a"/>
      </w:pPr>
      <w:r w:rsidRPr="000A6EA1">
        <w:t>–</w:t>
      </w:r>
      <w:r w:rsidRPr="000A6EA1">
        <w:tab/>
        <w:t>med beaktande av årsrapporten om Europeiska ombudsmannens verksamhet 2022,</w:t>
      </w:r>
    </w:p>
    <w:p w:rsidR="00950291" w:rsidRPr="000A6EA1" w:rsidRDefault="00950291" w:rsidP="00950291">
      <w:pPr>
        <w:pStyle w:val="NormalHanging12a"/>
      </w:pPr>
      <w:r w:rsidRPr="000A6EA1">
        <w:t>–</w:t>
      </w:r>
      <w:r w:rsidRPr="000A6EA1">
        <w:tab/>
        <w:t>med beaktande av artikel 10.3 i fördraget om Europeiska unionen,</w:t>
      </w:r>
    </w:p>
    <w:p w:rsidR="00950291" w:rsidRPr="000A6EA1" w:rsidRDefault="00950291" w:rsidP="00950291">
      <w:pPr>
        <w:pStyle w:val="NormalHanging12a"/>
      </w:pPr>
      <w:r w:rsidRPr="000A6EA1">
        <w:t>–</w:t>
      </w:r>
      <w:r w:rsidRPr="000A6EA1">
        <w:tab/>
        <w:t>med beaktande av artiklarna 15, 24.3, 228 och 298.1 i fördraget om Europeiska unionens funktionssätt (EUF-fördraget),</w:t>
      </w:r>
    </w:p>
    <w:p w:rsidR="00950291" w:rsidRPr="000A6EA1" w:rsidRDefault="00950291" w:rsidP="00950291">
      <w:pPr>
        <w:pStyle w:val="NormalHanging12a"/>
      </w:pPr>
      <w:r w:rsidRPr="000A6EA1">
        <w:t>–</w:t>
      </w:r>
      <w:r w:rsidRPr="000A6EA1">
        <w:tab/>
        <w:t>med beaktande av artiklarna 11, 41, 42 och 43 i Europeiska unionens stadga om de grundläggande rättigheterna (</w:t>
      </w:r>
      <w:r w:rsidRPr="000A6EA1">
        <w:rPr>
          <w:i/>
          <w:iCs/>
        </w:rPr>
        <w:t>stadgan</w:t>
      </w:r>
      <w:r w:rsidRPr="000A6EA1">
        <w:t>),</w:t>
      </w:r>
    </w:p>
    <w:p w:rsidR="00950291" w:rsidRPr="000A6EA1" w:rsidRDefault="00950291" w:rsidP="00950291">
      <w:pPr>
        <w:pStyle w:val="NormalHanging12a"/>
      </w:pPr>
      <w:r w:rsidRPr="000A6EA1">
        <w:t>–</w:t>
      </w:r>
      <w:r w:rsidRPr="000A6EA1">
        <w:tab/>
        <w:t>med beaktande av FN:s konvention om rättigheter för personer med funktionsnedsättning,</w:t>
      </w:r>
    </w:p>
    <w:p w:rsidR="00950291" w:rsidRPr="000A6EA1" w:rsidRDefault="00950291" w:rsidP="00950291">
      <w:pPr>
        <w:pStyle w:val="NormalHanging12a"/>
      </w:pPr>
      <w:r w:rsidRPr="000A6EA1">
        <w:t>–</w:t>
      </w:r>
      <w:r w:rsidRPr="000A6EA1">
        <w:tab/>
        <w:t>med beaktande av Europaparlamentets förordning (EU, Euratom) 2021/1163 av den 24 juni 2021 om föreskrifter och allmänna villkor för ombudsmannens ämbetsutövning (Europeiska ombudsmannens stadga) och om upphävande av beslut 94/262/EKSG, EG, Euratom</w:t>
      </w:r>
      <w:r w:rsidRPr="000A6EA1">
        <w:rPr>
          <w:rStyle w:val="FootnoteReference"/>
        </w:rPr>
        <w:footnoteReference w:id="1"/>
      </w:r>
      <w:r w:rsidRPr="000A6EA1">
        <w:t>,</w:t>
      </w:r>
    </w:p>
    <w:p w:rsidR="00950291" w:rsidRPr="000A6EA1" w:rsidRDefault="00950291" w:rsidP="00950291">
      <w:pPr>
        <w:pStyle w:val="NormalHanging12a"/>
      </w:pPr>
      <w:r w:rsidRPr="000A6EA1">
        <w:t>–</w:t>
      </w:r>
      <w:r w:rsidRPr="000A6EA1">
        <w:tab/>
        <w:t>med beaktande av den europeiska kodexen för god förvaltningssed, som antogs av Europaparlamentet den 6 september 2001,</w:t>
      </w:r>
    </w:p>
    <w:p w:rsidR="00950291" w:rsidRPr="000A6EA1" w:rsidRDefault="00950291" w:rsidP="00950291">
      <w:pPr>
        <w:pStyle w:val="NormalHanging12a"/>
      </w:pPr>
      <w:r w:rsidRPr="000A6EA1">
        <w:t>–</w:t>
      </w:r>
      <w:r w:rsidRPr="000A6EA1">
        <w:tab/>
        <w:t>med beaktande av det ramavtal om samarbete som ingicks av Europaparlamentet och Europeiska ombudsmannen den 15 mars 2006 och som trädde i kraft den 1 april 2006,</w:t>
      </w:r>
    </w:p>
    <w:p w:rsidR="00950291" w:rsidRPr="000A6EA1" w:rsidRDefault="00950291" w:rsidP="00950291">
      <w:pPr>
        <w:pStyle w:val="NormalHanging12a"/>
      </w:pPr>
      <w:r w:rsidRPr="000A6EA1">
        <w:t>–</w:t>
      </w:r>
      <w:r w:rsidRPr="000A6EA1">
        <w:tab/>
        <w:t>med beaktande av sina tidigare resolutioner om Europeiska ombudsmannens verksamhet,</w:t>
      </w:r>
    </w:p>
    <w:p w:rsidR="00950291" w:rsidRPr="000A6EA1" w:rsidRDefault="00950291" w:rsidP="00950291">
      <w:pPr>
        <w:pStyle w:val="NormalHanging12a"/>
      </w:pPr>
      <w:r w:rsidRPr="000A6EA1">
        <w:t>–</w:t>
      </w:r>
      <w:r w:rsidRPr="000A6EA1">
        <w:tab/>
        <w:t>med beaktande av artiklarna 54 och 142.2 i arbetsordningen,</w:t>
      </w:r>
    </w:p>
    <w:p w:rsidR="00950291" w:rsidRPr="000A6EA1" w:rsidRDefault="00950291" w:rsidP="00950291">
      <w:pPr>
        <w:pStyle w:val="NormalHanging12a"/>
      </w:pPr>
      <w:r w:rsidRPr="000A6EA1">
        <w:t>–</w:t>
      </w:r>
      <w:r w:rsidRPr="000A6EA1">
        <w:tab/>
        <w:t>med beaktande av betänkandet från utskottet för framställningar (A9-0414/2023), och av följande skäl:</w:t>
      </w:r>
    </w:p>
    <w:p w:rsidR="00950291" w:rsidRPr="000A6EA1" w:rsidRDefault="00950291" w:rsidP="00950291">
      <w:pPr>
        <w:pStyle w:val="NormalHanging12a"/>
      </w:pPr>
      <w:r w:rsidRPr="000A6EA1">
        <w:lastRenderedPageBreak/>
        <w:t>A.</w:t>
      </w:r>
      <w:r w:rsidRPr="000A6EA1">
        <w:tab/>
        <w:t>Årsrapporten om Europeiska ombudsmannens verksamhet 2022 överlämnades formellt till Europaparlamentets talman den 28 april 2023. Ombudsmannen, Emily O’Reilly, lade fram rapporten för utskottet för framställningar den 27 juni 2023 i Bryssel.</w:t>
      </w:r>
    </w:p>
    <w:p w:rsidR="00950291" w:rsidRPr="000A6EA1" w:rsidRDefault="00950291" w:rsidP="00950291">
      <w:pPr>
        <w:pStyle w:val="NormalHanging12a"/>
        <w:keepNext/>
        <w:widowControl/>
      </w:pPr>
      <w:r w:rsidRPr="000A6EA1">
        <w:t>B.</w:t>
      </w:r>
      <w:r w:rsidRPr="000A6EA1">
        <w:tab/>
        <w:t>Artiklarna 20, 24 och 228 i EUF-fördraget ger Europeiska ombudsmannen befogenhet att ta emot klagomål om missförhållanden i unionens institutioners, organs eller byråers verksamhet, med undantag för Europeiska unionens domstol då den utövar sina domstolsfunktioner.</w:t>
      </w:r>
    </w:p>
    <w:p w:rsidR="00950291" w:rsidRPr="000A6EA1" w:rsidRDefault="00950291" w:rsidP="00950291">
      <w:pPr>
        <w:pStyle w:val="NormalHanging12a"/>
      </w:pPr>
      <w:r w:rsidRPr="000A6EA1">
        <w:t>C.</w:t>
      </w:r>
      <w:r w:rsidRPr="000A6EA1">
        <w:tab/>
        <w:t>I artikel 15 i EUF-fördraget anges att unionens institutioner, organ och byråer ska ”utföra sitt arbete så öppet som möjligt” för att främja en god förvaltning och se till att det civila samhället kan delta, och att ”varje unionsmedborgare och varje fysisk eller juridisk person som är bosatt eller har sitt stadgeenliga säte i en medlemsstat ska ha rätt till tillgång till unionens institutioners, organs och byråers handlingar”. För att EU-medborgarnas rättigheter och grundläggande friheter ska kunna skyddas är det avgörande att se till att de tillhandahålls tjänster av hög kvalitet och att EU-förvaltningen är lyhörd för deras behov och angelägenheter.</w:t>
      </w:r>
    </w:p>
    <w:p w:rsidR="00950291" w:rsidRPr="000A6EA1" w:rsidRDefault="00950291" w:rsidP="00950291">
      <w:pPr>
        <w:pStyle w:val="NormalHanging12a"/>
      </w:pPr>
      <w:r w:rsidRPr="000A6EA1">
        <w:t>D.</w:t>
      </w:r>
      <w:r w:rsidRPr="000A6EA1">
        <w:tab/>
        <w:t>I artikel 41 i stadgan, som rör rätten till god förvaltning, anges att ”var och en har rätt att få sina angelägenheter behandlade opartiskt, rättvist och inom skälig tid av unionens institutioner, organ och byråer”.</w:t>
      </w:r>
    </w:p>
    <w:p w:rsidR="00950291" w:rsidRPr="000A6EA1" w:rsidRDefault="00950291" w:rsidP="00950291">
      <w:pPr>
        <w:pStyle w:val="NormalHanging12a"/>
      </w:pPr>
      <w:r w:rsidRPr="000A6EA1">
        <w:t>E.</w:t>
      </w:r>
      <w:r w:rsidRPr="000A6EA1">
        <w:tab/>
        <w:t>I artikel 43 i stadgan anges att ”varje unionsmedborgare och varje fysisk eller juridisk person som är bosatt eller har sitt säte i en medlemsstat har rätt att vända sig till Europeiska ombudsmannen vid missförhållanden i unionens institutioners, organs eller byråers verksamhet, med undantag för Europeiska unionens domstol då den utövar sina domstolsfunktioner”.</w:t>
      </w:r>
    </w:p>
    <w:p w:rsidR="00950291" w:rsidRPr="000A6EA1" w:rsidRDefault="00950291" w:rsidP="00950291">
      <w:pPr>
        <w:pStyle w:val="NormalHanging12a"/>
      </w:pPr>
      <w:r w:rsidRPr="000A6EA1">
        <w:t>F.</w:t>
      </w:r>
      <w:r w:rsidRPr="000A6EA1">
        <w:tab/>
        <w:t>Enligt artikel 298.1 i EUF-fördraget ska unionens institutioner, organ och byråer när de fullgör sina uppgifter stödja sig på en öppen, effektiv och oberoende europeisk administration.</w:t>
      </w:r>
    </w:p>
    <w:p w:rsidR="00950291" w:rsidRPr="000A6EA1" w:rsidRDefault="00950291" w:rsidP="00950291">
      <w:pPr>
        <w:pStyle w:val="NormalHanging12a"/>
      </w:pPr>
      <w:r w:rsidRPr="000A6EA1">
        <w:t>G.</w:t>
      </w:r>
      <w:r w:rsidRPr="000A6EA1">
        <w:tab/>
        <w:t xml:space="preserve">År 2022 inledde ombudsmannen </w:t>
      </w:r>
      <w:r w:rsidRPr="000A6EA1">
        <w:rPr>
          <w:rStyle w:val="graphbold"/>
        </w:rPr>
        <w:t>348</w:t>
      </w:r>
      <w:r w:rsidRPr="000A6EA1">
        <w:t xml:space="preserve"> undersökningar, varav 344 på grundval av klagomål och fyra på eget initiativ, och avslutade 330 undersökningar (325 på grundval av klagomål och fem på eget initiativ).</w:t>
      </w:r>
    </w:p>
    <w:p w:rsidR="00950291" w:rsidRPr="000A6EA1" w:rsidRDefault="00950291" w:rsidP="00950291">
      <w:pPr>
        <w:pStyle w:val="NormalHanging12a"/>
      </w:pPr>
      <w:r w:rsidRPr="000A6EA1">
        <w:t>H.</w:t>
      </w:r>
      <w:r w:rsidRPr="000A6EA1">
        <w:tab/>
        <w:t>Under 2022 rörde den stora merparten av undersökningarna kommissionen (197 undersökningar eller 57,1 %), efterföljt av Europeiska rekryteringsbyrån (22 undersökningar eller 6,3 %), Europaparlamentet (19 undersökningar eller 5,5 %) och Europeiska utrikestjänsten (16 undersökningar eller 4,6 %). De återstående undersökningarna var fördelade på följande sätt: Europeiska gräns- och kustbevakningsbyrån (Frontex) (14 undersökningar eller 4,3 %), Europeiska unionens byrå för luftfartssäkerhet (7 undersökningar eller 2 %), övriga EU-institutioner och EU-organ (46 undersökningar eller 13,5 %) samt övriga EU-byråer (23 undersökningar eller 6,7 %).</w:t>
      </w:r>
    </w:p>
    <w:p w:rsidR="00950291" w:rsidRPr="000A6EA1" w:rsidRDefault="00950291" w:rsidP="00950291">
      <w:pPr>
        <w:pStyle w:val="NormalHanging12a"/>
      </w:pPr>
      <w:r w:rsidRPr="000A6EA1">
        <w:t>I.</w:t>
      </w:r>
      <w:r w:rsidRPr="000A6EA1">
        <w:tab/>
        <w:t>Under 2022 rörde den största andelen av ombudsmannens undersökningar kommissionen, som ju är EU:s verkställande organ och vars administrativa verksamhet därför får stor uppmärksamhet av allmänheten.</w:t>
      </w:r>
    </w:p>
    <w:p w:rsidR="00950291" w:rsidRPr="000A6EA1" w:rsidRDefault="00950291" w:rsidP="00950291">
      <w:pPr>
        <w:pStyle w:val="NormalHanging12a"/>
      </w:pPr>
      <w:r w:rsidRPr="000A6EA1">
        <w:t>J.</w:t>
      </w:r>
      <w:r w:rsidRPr="000A6EA1">
        <w:tab/>
        <w:t>Vad gäller de undersökningar som avslutades av ombudsmannen 2022 konstaterades det i 37 % av fallen att det inte förelåg några administrativa missförhållanden. I 46,1 % av fallen nådde institutionen en lösning, och i 12,7 % av fallen var fortsatta undersökningar inte motiverade. I 4,5 % av fallen konstaterades det att administrativa missförhållanden förelåg.</w:t>
      </w:r>
    </w:p>
    <w:p w:rsidR="00950291" w:rsidRPr="000A6EA1" w:rsidRDefault="00950291" w:rsidP="00950291">
      <w:pPr>
        <w:pStyle w:val="NormalHanging12a"/>
      </w:pPr>
      <w:r w:rsidRPr="000A6EA1">
        <w:t>K.</w:t>
      </w:r>
      <w:r w:rsidRPr="000A6EA1">
        <w:tab/>
        <w:t>De tre främsta frågorna i de undersökningar som ombudsmannen avslutade 2022 var öppenhet och ansvarsskyldighet (t.ex. tillgång till information och handlingar) (32 %), serviceanda (20 %) och respekt för grundläggande rättigheter (15 %). Andra frågor rörde korrekt användning av skönsmässig bedömning (inbegripet vid överträdelseförfaranden), rekrytering, god förvaltning i personalfrågor, respekt för processuella rättigheter, korrekt hantering av överträdelseförfaranden, sund ekonomisk förvaltning, etiska frågor och allmänhetens deltagande i EU:s beslutsfattande.</w:t>
      </w:r>
    </w:p>
    <w:p w:rsidR="00950291" w:rsidRPr="000A6EA1" w:rsidRDefault="00950291" w:rsidP="00950291">
      <w:pPr>
        <w:pStyle w:val="NormalHanging12a"/>
      </w:pPr>
      <w:r w:rsidRPr="000A6EA1">
        <w:t>L.</w:t>
      </w:r>
      <w:r w:rsidRPr="000A6EA1">
        <w:tab/>
        <w:t>År 2022 uppmanade ombudsmannen rådet att ge snabbare tillgång till lagstiftningsdokument, så att allmänheten effektivt kan delta i diskussioner om utkast till EU-lagstiftning</w:t>
      </w:r>
      <w:r w:rsidRPr="000A6EA1">
        <w:rPr>
          <w:vertAlign w:val="superscript"/>
        </w:rPr>
        <w:footnoteReference w:id="2"/>
      </w:r>
      <w:r w:rsidRPr="000A6EA1">
        <w:t>.</w:t>
      </w:r>
    </w:p>
    <w:p w:rsidR="00950291" w:rsidRPr="000A6EA1" w:rsidRDefault="00950291" w:rsidP="00950291">
      <w:pPr>
        <w:pStyle w:val="NormalHanging12a"/>
      </w:pPr>
      <w:r w:rsidRPr="000A6EA1">
        <w:t>M.</w:t>
      </w:r>
      <w:r w:rsidRPr="000A6EA1">
        <w:tab/>
        <w:t>Ombudsmannen konstaterade att administrativa missförhållanden</w:t>
      </w:r>
      <w:r w:rsidRPr="000A6EA1">
        <w:rPr>
          <w:rStyle w:val="FootnoteReference"/>
        </w:rPr>
        <w:footnoteReference w:id="3"/>
      </w:r>
      <w:r w:rsidRPr="000A6EA1">
        <w:rPr>
          <w:rStyle w:val="FootnoteReference"/>
        </w:rPr>
        <w:footnoteReference w:id="4"/>
      </w:r>
      <w:r w:rsidRPr="000A6EA1">
        <w:t xml:space="preserve"> förelåg i samband med kommissionens hantering av en begäran om att ge allmänheten tillgång till textmeddelanden som utväxlats mellan kommissionens ordförande och vd:n för ett läkemedelsföretag (Pfizer).</w:t>
      </w:r>
    </w:p>
    <w:p w:rsidR="00950291" w:rsidRPr="000A6EA1" w:rsidRDefault="00950291" w:rsidP="00950291">
      <w:pPr>
        <w:pStyle w:val="NormalHanging12a"/>
      </w:pPr>
      <w:r w:rsidRPr="000A6EA1">
        <w:t>N.</w:t>
      </w:r>
      <w:r w:rsidRPr="000A6EA1">
        <w:tab/>
        <w:t>Under 2022 inledde ombudsmannen en undersökning av Europeiska centralbankens (ECB) hantering av så kallad svängdörrsproblematik</w:t>
      </w:r>
      <w:r w:rsidRPr="000A6EA1">
        <w:rPr>
          <w:vertAlign w:val="superscript"/>
        </w:rPr>
        <w:footnoteReference w:id="5"/>
      </w:r>
      <w:r w:rsidRPr="000A6EA1">
        <w:t>.</w:t>
      </w:r>
    </w:p>
    <w:p w:rsidR="00950291" w:rsidRPr="000A6EA1" w:rsidRDefault="00950291" w:rsidP="00950291">
      <w:pPr>
        <w:pStyle w:val="NormalHanging12a"/>
      </w:pPr>
      <w:r w:rsidRPr="000A6EA1">
        <w:t>O.</w:t>
      </w:r>
      <w:r w:rsidRPr="000A6EA1">
        <w:tab/>
        <w:t>Ombudsmannen inledde en strategisk undersökning av kommissionens systemrelaterade och betydande förseningar i behandlingen av begäranden om att ge allmänheten tillgång till handlingar. Ombudsmannen konstaterade att administrativa missförhållanden förelåg i samband med kommissionens behandling av sådana begäranden, särskilt i behandlingen av begäranden om omprövning av ursprungliga beslut (”bekräftande ansökningar”)</w:t>
      </w:r>
      <w:r w:rsidRPr="000A6EA1">
        <w:rPr>
          <w:rStyle w:val="FootnoteReference"/>
        </w:rPr>
        <w:footnoteReference w:id="6"/>
      </w:r>
      <w:r w:rsidRPr="000A6EA1">
        <w:t>.</w:t>
      </w:r>
    </w:p>
    <w:p w:rsidR="00950291" w:rsidRPr="000A6EA1" w:rsidRDefault="00950291" w:rsidP="00950291">
      <w:pPr>
        <w:pStyle w:val="NormalHanging12a"/>
      </w:pPr>
      <w:r w:rsidRPr="000A6EA1">
        <w:t>P.</w:t>
      </w:r>
      <w:r w:rsidRPr="000A6EA1">
        <w:tab/>
        <w:t>Under 2022 genomförde ombudsmannen också mer omfattande strategiska undersökningar och initiativ i frågor på systemnivå inom EU:s institutioner. Dessa rörde etiska frågor, svängdörrsproblematik, ansvarsskyldighet i beslutsprocessen, tillgång till handlingar och grundläggande rättigheter.</w:t>
      </w:r>
    </w:p>
    <w:p w:rsidR="00950291" w:rsidRPr="000A6EA1" w:rsidRDefault="00950291" w:rsidP="00950291">
      <w:pPr>
        <w:pStyle w:val="NormalHanging12a"/>
      </w:pPr>
      <w:r w:rsidRPr="000A6EA1">
        <w:t>Q.</w:t>
      </w:r>
      <w:r w:rsidRPr="000A6EA1">
        <w:tab/>
        <w:t>År 2022 utfärdade ombudsmannen en rekommendation till rådet om att bevilja allmänheten fullständig tillgång till de begärda lagstiftningshandlingarna efter att ha undersökt rådets vägran att göra detta i samband med förhandlingarna om utkastet till förordning om digitala marknader, varefter ombudsmannen dragit slutsatsen att det förelåg administrativa missförhållanden.</w:t>
      </w:r>
    </w:p>
    <w:p w:rsidR="00950291" w:rsidRPr="000A6EA1" w:rsidRDefault="00950291" w:rsidP="00950291">
      <w:pPr>
        <w:pStyle w:val="NormalHanging12a"/>
        <w:keepNext/>
        <w:widowControl/>
        <w:rPr>
          <w:szCs w:val="24"/>
        </w:rPr>
      </w:pPr>
      <w:r w:rsidRPr="000A6EA1">
        <w:t>R.</w:t>
      </w:r>
      <w:r w:rsidRPr="000A6EA1">
        <w:tab/>
        <w:t>Under 2022 ökade ombudsmannens kontor allmänhetens medvetenhet om ombudsmannens roll i arbetet med att upprätthålla höga standarder för ansvarsskyldighet och öppenhet inom EU-förvaltningen.</w:t>
      </w:r>
    </w:p>
    <w:p w:rsidR="00950291" w:rsidRPr="000A6EA1" w:rsidRDefault="00950291" w:rsidP="00950291">
      <w:pPr>
        <w:pStyle w:val="NormalHanging12a"/>
      </w:pPr>
      <w:r w:rsidRPr="000A6EA1">
        <w:t>S.</w:t>
      </w:r>
      <w:r w:rsidRPr="000A6EA1">
        <w:tab/>
        <w:t>Mot bakgrund av klimatnödläget, miljöförstöringen och förstörelsen av ekosystem beslutade ombudsmannen att inleda ett offentligt samråd om insyn och deltagande i EU:s beslutsfattande på miljöområdet med syftet att bedöma den strategi som EU, i egenskap av part i Århuskonventionen, har för att se till att allmänheten i hög grad har tillgång till miljöinformation och deltar i beslutsprocesser som rör miljön.</w:t>
      </w:r>
    </w:p>
    <w:p w:rsidR="00950291" w:rsidRPr="000A6EA1" w:rsidRDefault="00950291" w:rsidP="00950291">
      <w:pPr>
        <w:pStyle w:val="NormalHanging12a"/>
      </w:pPr>
      <w:r w:rsidRPr="000A6EA1">
        <w:t>T.</w:t>
      </w:r>
      <w:r w:rsidRPr="000A6EA1">
        <w:tab/>
        <w:t>År 2022 uppmanade ombudsmannen kommissionen att behandla begäranden om tillgång till handlingar som rör EU:s återhämtningsmedel på ett mer konsekvent sätt och att bättre förklara sitt resonemang vid beslut om att inte lämna ut den information som efterfrågas</w:t>
      </w:r>
      <w:r w:rsidRPr="000A6EA1">
        <w:rPr>
          <w:vertAlign w:val="superscript"/>
        </w:rPr>
        <w:footnoteReference w:id="7"/>
      </w:r>
      <w:r w:rsidRPr="000A6EA1">
        <w:t>.</w:t>
      </w:r>
    </w:p>
    <w:p w:rsidR="00950291" w:rsidRPr="000A6EA1" w:rsidRDefault="00950291" w:rsidP="00950291">
      <w:pPr>
        <w:pStyle w:val="NormalHanging12a"/>
      </w:pPr>
      <w:r w:rsidRPr="000A6EA1">
        <w:t>U.</w:t>
      </w:r>
      <w:r w:rsidRPr="000A6EA1">
        <w:tab/>
        <w:t>År 2022 inledde ombudsmannen en undersökning av kommissionens vägran att ge allmänheten tillgång till handlingar kopplade till kommissionens förslag till förordning om ett europeiskt hälsodataområde</w:t>
      </w:r>
      <w:r w:rsidRPr="000A6EA1">
        <w:rPr>
          <w:vertAlign w:val="superscript"/>
        </w:rPr>
        <w:footnoteReference w:id="8"/>
      </w:r>
      <w:r w:rsidRPr="000A6EA1">
        <w:t>.</w:t>
      </w:r>
    </w:p>
    <w:p w:rsidR="00950291" w:rsidRPr="000A6EA1" w:rsidRDefault="00950291" w:rsidP="00950291">
      <w:pPr>
        <w:pStyle w:val="NormalHanging12a"/>
      </w:pPr>
      <w:r w:rsidRPr="000A6EA1">
        <w:t>V.</w:t>
      </w:r>
      <w:r w:rsidRPr="000A6EA1">
        <w:tab/>
        <w:t>År 2022 inledde ombudsmannen en undersökning av hur kommissionen hanterat en begäran om att ge allmänheten tillgång till intresseförklaringar som lämnats in av ledamöterna i nämnden för lagstiftningskontroll</w:t>
      </w:r>
      <w:r w:rsidRPr="000A6EA1">
        <w:rPr>
          <w:vertAlign w:val="superscript"/>
        </w:rPr>
        <w:footnoteReference w:id="9"/>
      </w:r>
      <w:r w:rsidRPr="000A6EA1">
        <w:t>.</w:t>
      </w:r>
    </w:p>
    <w:p w:rsidR="00950291" w:rsidRPr="000A6EA1" w:rsidRDefault="00950291" w:rsidP="00950291">
      <w:pPr>
        <w:pStyle w:val="NormalHanging12a"/>
      </w:pPr>
      <w:r w:rsidRPr="000A6EA1">
        <w:t>W.</w:t>
      </w:r>
      <w:r w:rsidRPr="000A6EA1">
        <w:tab/>
        <w:t>Ombudsmannen har framhållit att EU:s regler om offentlig upphandling inte är tillräckligt robusta och tydliga för att förhindra intressekonflikter och har kritiserat kommissionen för att den inte genomförde en tillräckligt kritisk granskning innan den tilldelade ett kontrakt för genomförandet av en studie om integrering av miljömässiga, sociala och styrningsrelaterade mål i EU:s bankregler till BlackRock Investment Management, ett företag som förvaltar investeringar i fossilbränsle- och banksektorerna, som är områden som omfattas av de nya miljömässiga, sociala och styrningsrelaterade reglerna.</w:t>
      </w:r>
    </w:p>
    <w:p w:rsidR="00950291" w:rsidRPr="000A6EA1" w:rsidRDefault="00950291" w:rsidP="00950291">
      <w:pPr>
        <w:pStyle w:val="NormalHanging12a"/>
        <w:rPr>
          <w:szCs w:val="24"/>
        </w:rPr>
      </w:pPr>
      <w:r w:rsidRPr="000A6EA1">
        <w:t>1.</w:t>
      </w:r>
      <w:r w:rsidRPr="000A6EA1">
        <w:tab/>
        <w:t>Europaparlamentet godkänner Europeiska ombudsmannens årsrapport för 2022.</w:t>
      </w:r>
    </w:p>
    <w:p w:rsidR="00950291" w:rsidRPr="000A6EA1" w:rsidRDefault="00950291" w:rsidP="00950291">
      <w:pPr>
        <w:pStyle w:val="NormalHanging12a"/>
        <w:rPr>
          <w:szCs w:val="24"/>
        </w:rPr>
      </w:pPr>
      <w:r w:rsidRPr="000A6EA1">
        <w:t>2.</w:t>
      </w:r>
      <w:r w:rsidRPr="000A6EA1">
        <w:tab/>
        <w:t>Europaparlamentet berömmer Emily O’Reilly för hennes goda arbete och löpande insatser för att förbättra den administrativa praxisen och verka för ansvarsskyldighet inom och full insyn i EU:s institutioner, organ och byråer samt för att säkerställa att EU-medborgarna har tillgång till EU-handlingar.</w:t>
      </w:r>
    </w:p>
    <w:p w:rsidR="00950291" w:rsidRPr="000A6EA1" w:rsidRDefault="00950291" w:rsidP="00950291">
      <w:pPr>
        <w:pStyle w:val="NormalHanging12a"/>
        <w:keepNext/>
        <w:widowControl/>
        <w:rPr>
          <w:szCs w:val="24"/>
        </w:rPr>
      </w:pPr>
      <w:r w:rsidRPr="000A6EA1">
        <w:t>3.</w:t>
      </w:r>
      <w:r w:rsidRPr="000A6EA1">
        <w:tab/>
        <w:t>Europaparlamentet uppskattar Europeiska ombudsmannens fortsatta konstruktiva samarbete med Europaparlamentet, och i synnerhet med utskottet för framställningar, och med andra EU-institutioner. Parlamentet bekräftar sitt åtagande att stödja ombudsmannen i utförandet av hennes uppgifter.</w:t>
      </w:r>
    </w:p>
    <w:p w:rsidR="00950291" w:rsidRPr="000A6EA1" w:rsidRDefault="00950291" w:rsidP="00950291">
      <w:pPr>
        <w:pStyle w:val="NormalHanging12a"/>
      </w:pPr>
      <w:r w:rsidRPr="000A6EA1">
        <w:t>4.</w:t>
      </w:r>
      <w:r w:rsidRPr="000A6EA1">
        <w:tab/>
        <w:t>Europaparlamentet ser mycket positivt på de betydande effektiviseringar som ombudsmannens kontor har uppnått i fråga om handläggningstiden för avslutade ärenden, som minskade från i genomsnitt 13 månader 2013 till mindre än 6 månader i genomsnitt 2022. Parlamentet understryker att de resultat som har uppnåtts omfattar flera områden inom EU-förvaltningen med begränsade resurser.</w:t>
      </w:r>
    </w:p>
    <w:p w:rsidR="00950291" w:rsidRPr="000A6EA1" w:rsidRDefault="00950291" w:rsidP="00950291">
      <w:pPr>
        <w:pStyle w:val="NormalHanging12a"/>
      </w:pPr>
      <w:r w:rsidRPr="000A6EA1">
        <w:t>5.</w:t>
      </w:r>
      <w:r w:rsidRPr="000A6EA1">
        <w:tab/>
        <w:t>Europaparlamentet uppmanar rådet att fullt ut följa öppenhetsstandarderna för en parlamentarisk demokrati och deltagandedemokrati i enlighet med kraven i fördragen och ombudsmannens uppmaning. Parlamentet påminner om att Europeiska unionens domstol har slagit fast att principerna om offentlighet och öppenhet är en naturlig del av EU:s lagstiftningsprocess och att bristande öppenhet och information försvagar medborgarnas förtroende för legitimiteten i EU:s lagstiftningsprocess som helhet.</w:t>
      </w:r>
    </w:p>
    <w:p w:rsidR="00950291" w:rsidRPr="000A6EA1" w:rsidRDefault="00950291" w:rsidP="00950291">
      <w:pPr>
        <w:pStyle w:val="NormalHanging12a"/>
      </w:pPr>
      <w:r w:rsidRPr="000A6EA1">
        <w:t>6.</w:t>
      </w:r>
      <w:r w:rsidRPr="000A6EA1">
        <w:tab/>
        <w:t>Europaparlamentet uppmanar rådet att i god tid ge medborgarna tillgång till rådets lagstiftningshandlingar under pågående lagstiftningsförfaranden för att fullt ut upprätthålla medborgarnas fördragsbaserade rätt att delta i unionens demokratiska liv, vilket i sin tur skulle öka medborgarnas förtroende för EU:s övergripande beslutsprocess.</w:t>
      </w:r>
    </w:p>
    <w:p w:rsidR="00950291" w:rsidRPr="000A6EA1" w:rsidRDefault="00950291" w:rsidP="00950291">
      <w:pPr>
        <w:pStyle w:val="NormalHanging12a"/>
      </w:pPr>
      <w:r w:rsidRPr="000A6EA1">
        <w:t>7.</w:t>
      </w:r>
      <w:r w:rsidRPr="000A6EA1">
        <w:tab/>
        <w:t>Europaparlamentet ser positivt på att en undersökning på eget initiativ har inletts om hur kommissionen säkerställer insyn i kontakterna med företrädare för tobaksindustrin. Parlamentet understryker att underlåtenheten hos kommissionen som helhet att proaktivt offentliggöra uppgifter om möten med lobbyister för tobaksindustrin utgjorde ett administrativt missförhållande, vilket ombudsmannen påpekade i sina preliminära slutsatser. Parlamentet påminner om att EU har undertecknat och formellt bekräftat Världshälsoorganisationens ramkonvention om tobakskontroll och att EU är skyldigt att följa ramkonventionens bestämmelser, i vilka det fastslås att interaktioner med tobaksindustrin endast bör äga rum när det är absolut nödvändigt ur lagstiftningssynpunkt. Parlamentet påminner även om att EU är skyldigt att säkerställa insyn i dessa interaktioner för att därmed förhindra att tobaksindustrin påverkar folkhälsopolitiken i negativ riktning.</w:t>
      </w:r>
    </w:p>
    <w:p w:rsidR="00950291" w:rsidRPr="000A6EA1" w:rsidRDefault="00950291" w:rsidP="00950291">
      <w:pPr>
        <w:pStyle w:val="NormalHanging12a"/>
      </w:pPr>
      <w:r w:rsidRPr="000A6EA1">
        <w:t>8.</w:t>
      </w:r>
      <w:r w:rsidRPr="000A6EA1">
        <w:tab/>
        <w:t>Europaparlamentet anser att det är av yttersta vikt att ombudsmannen inleder en undersökning för att bedöma graden av oberoende hos EU:s energiplattforms rådgivande industrigrupp, som inrättats av kommissionen.</w:t>
      </w:r>
    </w:p>
    <w:p w:rsidR="00950291" w:rsidRPr="000A6EA1" w:rsidRDefault="00950291" w:rsidP="00950291">
      <w:pPr>
        <w:pStyle w:val="NormalHanging12a"/>
      </w:pPr>
      <w:r w:rsidRPr="000A6EA1">
        <w:t>9.</w:t>
      </w:r>
      <w:r w:rsidRPr="000A6EA1">
        <w:tab/>
        <w:t>Europaparlamentet stöder resultatet av ombudsmannens undersökning av hur kommissionen säkerställer att de externa sakkunniga som deltar i utvärderingen av projektförslag inom ramen för Europeiska försvarsfonden inte har intressekonflikter. Parlamentet understryker att det är av yttersta vikt att det görs en grundlig bedömning av intressekonflikter innan sakkunniga utses och att det säkerställs att skyldigheter i fråga om öppenhet och etiska skyldigheter fullgörs på ett strikt sätt.</w:t>
      </w:r>
    </w:p>
    <w:p w:rsidR="00950291" w:rsidRPr="000A6EA1" w:rsidRDefault="00950291" w:rsidP="00950291">
      <w:pPr>
        <w:pStyle w:val="NormalHanging12a"/>
      </w:pPr>
      <w:r w:rsidRPr="000A6EA1">
        <w:t>10.</w:t>
      </w:r>
      <w:r w:rsidRPr="000A6EA1">
        <w:tab/>
        <w:t>Europaparlamentet välkomnar kommissionens förslag som svar på ombudsmannens slutsatser efter undersökningen av fallet BlackRock om att ändra budgetförordningen och inkludera möjligheten att avvisa anbudsgivare som har intressekonflikter. Parlamentet uppmanar kommissionen att fullt ut följa ombudsmannens förslag genom att anta skärpta och tydligare regler som syftar till att förhindra intressekonflikter i alla förfaranden som rör offentlig upphandling, inbegripet dess interna riktlinjer.</w:t>
      </w:r>
    </w:p>
    <w:p w:rsidR="00950291" w:rsidRPr="000A6EA1" w:rsidRDefault="00950291" w:rsidP="00950291">
      <w:pPr>
        <w:pStyle w:val="NormalHanging12a"/>
        <w:rPr>
          <w:szCs w:val="24"/>
        </w:rPr>
      </w:pPr>
      <w:r w:rsidRPr="000A6EA1">
        <w:rPr>
          <w:shd w:val="clear" w:color="auto" w:fill="FFFFFF"/>
        </w:rPr>
        <w:t>11.</w:t>
      </w:r>
      <w:r w:rsidRPr="000A6EA1">
        <w:rPr>
          <w:shd w:val="clear" w:color="auto" w:fill="FFFFFF"/>
        </w:rPr>
        <w:tab/>
      </w:r>
      <w:r w:rsidRPr="000A6EA1">
        <w:t xml:space="preserve">Europaparlamentet understryker att kommissionen, till följd av ombudsmannens undersökning av så kallad svängdörrsproblematik, </w:t>
      </w:r>
      <w:r w:rsidRPr="000A6EA1">
        <w:rPr>
          <w:shd w:val="clear" w:color="auto" w:fill="FFFFFF"/>
        </w:rPr>
        <w:t>håller på att förbättra sin hantering av</w:t>
      </w:r>
      <w:r w:rsidRPr="000A6EA1">
        <w:t xml:space="preserve"> problemet och begär in information från före detta personal om hur de följer relevanta restriktioner. Parlamentet noterar att kommissionen snabbare har offentliggjort den årliga översikten över högre tjänstemän som begär tillstånd att gå vidare till ny anställning, samt dess bedömning av dessa förfrågningar. Parlamentet understryker att kommissionen inte bör bevilja något tillstånd om anställningen i fråga inte kan omfattas av restriktioner som på lämpligt sätt minskar risken för intressekonflikter eller om dessa restriktioner inte kan övervakas och verkställas på ett trovärdigt sätt, inbegripet arbetsgivarens skyldighet att offentliggöra restriktionerna. Parlamentet anser att kommissionen i god tid bör offentliggöra information om all yrkesverksamhet som före detta högre tjänstemän utövar efter avslutad tjänstgöring och som är föremål för en bedömning från kommissionens sida, för att därmed förbättra den offentliga granskningen av dessa beslut, vilket är avgörande för övervakningen. Parlamentet ser positivt på förbudet för tjänstledig personal att ta anställning inom områden där det finns risk för intressekonflikter. Parlamentet uppmuntrar ombudsmannen att övervaka kommissionens hantering av dessa frågor.</w:t>
      </w:r>
    </w:p>
    <w:p w:rsidR="00950291" w:rsidRPr="000A6EA1" w:rsidRDefault="00950291" w:rsidP="00950291">
      <w:pPr>
        <w:pStyle w:val="NormalHanging12a"/>
        <w:rPr>
          <w:szCs w:val="24"/>
        </w:rPr>
      </w:pPr>
      <w:r w:rsidRPr="000A6EA1">
        <w:t>12.</w:t>
      </w:r>
      <w:r w:rsidRPr="000A6EA1">
        <w:tab/>
        <w:t>Europaparlamentet välkomnar ombudsmannens undersökning på eget initiativ för att bedöma hur ECB hanterar så kallad svängdörrsproblematik, och stöder ombudsmannens uppmaning till ECB att tillämpa striktare regler för personalförflyttningar till den privata sektorn. Parlamentet står bakom rekommendationen att ECB:s personal bör omfattas av strikta krav på karenstid och att den period under vilken före detta ECB-anställda förbjuds från att utöva lobbyverksamhet hos före detta kollegor bör förlängas.</w:t>
      </w:r>
    </w:p>
    <w:p w:rsidR="00950291" w:rsidRPr="000A6EA1" w:rsidRDefault="00950291" w:rsidP="00950291">
      <w:pPr>
        <w:pStyle w:val="NormalHanging12a"/>
      </w:pPr>
      <w:r w:rsidRPr="000A6EA1">
        <w:t>13.</w:t>
      </w:r>
      <w:r w:rsidRPr="000A6EA1">
        <w:tab/>
        <w:t>Europaparlamentet framhåller att Qatargate gav nya insikter om lobbyverksamhet och beslutsfattande i EU. Parlamentet sätter värde på ombudsmannens kritiska bedömning av skandalen och välkomnar framtagandet av nya åtgärder som ska förbättra integritetsstandarderna inom Europaparlamentet och därmed skydda demokratin i EU. Parlamentet anser att dessa åtgärder är ett viktigt första steg för att förbättra EU:s regelverk, eftersom de syftar till att få till stånd högre etiska standarder och standarder för korruptionsbekämpning och därigenom göra EU-institutionerna till ett föredöme i fråga om integritet och ansvarsskyldighet.</w:t>
      </w:r>
    </w:p>
    <w:p w:rsidR="00950291" w:rsidRPr="000A6EA1" w:rsidRDefault="00950291" w:rsidP="00950291">
      <w:pPr>
        <w:pStyle w:val="NormalHanging12a"/>
      </w:pPr>
      <w:r w:rsidRPr="000A6EA1">
        <w:t>14.</w:t>
      </w:r>
      <w:r w:rsidRPr="000A6EA1">
        <w:tab/>
        <w:t>Europaparlamentet välkomnar ombudsmannens kontinuerliga insatser för att förbättra insynen i och de etiska principerna inom lobbyverksamhet, särskilt genom att uppmana kommissionen att stärka uppförandekoden för kommissionsledamöter, upprätta ett offentligt register över möten som hålls mellan kommissionsledamöter och lobbyister och aktivt offentliggöra kommissionsledamöternas resekostnader.</w:t>
      </w:r>
    </w:p>
    <w:p w:rsidR="00950291" w:rsidRPr="000A6EA1" w:rsidRDefault="00950291" w:rsidP="00950291">
      <w:pPr>
        <w:pStyle w:val="NormalHanging12a"/>
        <w:rPr>
          <w:shd w:val="clear" w:color="auto" w:fill="FFFFFF"/>
        </w:rPr>
      </w:pPr>
      <w:r w:rsidRPr="000A6EA1">
        <w:t>15.</w:t>
      </w:r>
      <w:r w:rsidRPr="000A6EA1">
        <w:tab/>
        <w:t xml:space="preserve">Europaparlamentet understryker att medborgarnas deltagande i EU:s beslutsprocess är en viktig faktor för beslutsprocessens legitimitet. Parlamentet uppskattar ombudsmannens åtagande att främja ansvarsskyldighet i EU:s beslutsprocess, särskilt i fråga om miljöbeslut. Parlamentet välkomnar och står bakom ombudsmannens uppmaning till Europeiska investeringsbanken (EIB) att vidta olika öppenhetsåtgärder som gör att allmänheten lättare kan få inblick i de potentiella miljökonsekvenserna av projekt som EIB finansierar. Parlamentet välkomnar och stöder också </w:t>
      </w:r>
      <w:r w:rsidRPr="000A6EA1">
        <w:rPr>
          <w:shd w:val="clear" w:color="auto" w:fill="FFFFFF"/>
        </w:rPr>
        <w:t>ombudsmannens avsikt att förstärka granskningen av</w:t>
      </w:r>
      <w:r w:rsidRPr="000A6EA1">
        <w:t xml:space="preserve"> EIB:s </w:t>
      </w:r>
      <w:r w:rsidRPr="000A6EA1">
        <w:rPr>
          <w:shd w:val="clear" w:color="auto" w:fill="FFFFFF"/>
        </w:rPr>
        <w:t>verksamhet</w:t>
      </w:r>
      <w:r w:rsidRPr="000A6EA1">
        <w:t xml:space="preserve"> mot bakgrund av EIB:s hittills bristfälliga uppföljning, </w:t>
      </w:r>
      <w:r w:rsidRPr="000A6EA1">
        <w:rPr>
          <w:shd w:val="clear" w:color="auto" w:fill="FFFFFF"/>
        </w:rPr>
        <w:t>särskilt när det gäller att offentliggöra information om miljörelaterade projekt och EIB:s budget i tid så att allmänheten hinner komma med synpunkter.</w:t>
      </w:r>
    </w:p>
    <w:p w:rsidR="00950291" w:rsidRPr="000A6EA1" w:rsidRDefault="00950291" w:rsidP="00950291">
      <w:pPr>
        <w:pStyle w:val="NormalHanging12a"/>
      </w:pPr>
      <w:r w:rsidRPr="000A6EA1">
        <w:t>16.</w:t>
      </w:r>
      <w:r w:rsidRPr="000A6EA1">
        <w:tab/>
        <w:t>Europaparlamentet välkomnar ombudsmannens prioriterade arbete med att bedöma insynen i EU:s beslutsfattande på miljöområdet, vilket bland annat följde på ombudsmannens konstaterande av att administrativa missförhållanden förelåg i samband med kommissionens underlåtenhet att vederbörligen beakta miljökonsekvenserna av handelsavtalet mellan EU och Mercosur innan förhandlingarna slutfördes, kommissionens allvarliga brister i behandlingen av begäranden om att ge allmänheten tillgång till miljöinformation och bristen på tydliga regler som säkerställer att de sakkunniga som kommissionen samråder med inom ramen för miljöpolitiken inte är föremål för intressekonflikter.</w:t>
      </w:r>
    </w:p>
    <w:p w:rsidR="00950291" w:rsidRPr="000A6EA1" w:rsidRDefault="00950291" w:rsidP="00950291">
      <w:pPr>
        <w:pStyle w:val="NormalHanging12a"/>
        <w:rPr>
          <w:szCs w:val="24"/>
          <w:shd w:val="clear" w:color="auto" w:fill="FFFFFF"/>
        </w:rPr>
      </w:pPr>
      <w:r w:rsidRPr="000A6EA1">
        <w:rPr>
          <w:shd w:val="clear" w:color="auto" w:fill="FFFFFF"/>
        </w:rPr>
        <w:t>17.</w:t>
      </w:r>
      <w:r w:rsidRPr="000A6EA1">
        <w:rPr>
          <w:shd w:val="clear" w:color="auto" w:fill="FFFFFF"/>
        </w:rPr>
        <w:tab/>
      </w:r>
      <w:r w:rsidRPr="000A6EA1">
        <w:t xml:space="preserve">Europaparlamentet framhåller att ombudsmannen fann det beklagligt att proaktiv öppenhet oftast tillämpades först efter det att de nationella planerna inom ramen för faciliteten för återhämtning och resiliens redan hade godkänts, vilket innebar att allmänheten inte kunde följa förhandlingarna på ett korrekt sätt. Parlamentet är bekymrat över de långa förseningarna i kommissionens behandling av begäranden om att ge allmänheten tillgång till handlingar som rör faciliteten för återhämtning och resiliens. I vissa fall har behandlingen tagit ett år eller mer. Parlamentet uppmanar med kraft kommissionen att uppmuntra medlemsstaterna att på en offentlig portal förteckna alla som mottar finansiering inom ramen för faciliteten för återhämtning och resiliens, att fortsätta att offentliggöra sina preliminära bedömningar av medlemsstaternas betalningsansökningar och att ge allmänheten konkret information om sitt tillsyns- och revisionsarbete för att därigenom säkerställa meningsfull ansvarsskyldighet för alla medel som används. </w:t>
      </w:r>
      <w:r w:rsidRPr="000A6EA1">
        <w:rPr>
          <w:shd w:val="clear" w:color="auto" w:fill="FFFFFF"/>
        </w:rPr>
        <w:t>Parlamentet välkomnar</w:t>
      </w:r>
      <w:r w:rsidRPr="000A6EA1">
        <w:t xml:space="preserve"> i detta avseende att OECD, i samarbete med Europeiska ombudsmannens kontor, har offentliggjort</w:t>
      </w:r>
      <w:r w:rsidRPr="000A6EA1">
        <w:rPr>
          <w:shd w:val="clear" w:color="auto" w:fill="FFFFFF"/>
        </w:rPr>
        <w:t xml:space="preserve"> </w:t>
      </w:r>
      <w:r w:rsidRPr="000A6EA1">
        <w:t xml:space="preserve">policydokumentet </w:t>
      </w:r>
      <w:r w:rsidRPr="000A6EA1">
        <w:rPr>
          <w:i/>
          <w:iCs/>
        </w:rPr>
        <w:t>Towards good practice principles for government transparency in the use of recovery funds</w:t>
      </w:r>
      <w:r w:rsidRPr="000A6EA1">
        <w:t xml:space="preserve">, </w:t>
      </w:r>
      <w:r w:rsidRPr="000A6EA1">
        <w:rPr>
          <w:shd w:val="clear" w:color="auto" w:fill="FFFFFF"/>
        </w:rPr>
        <w:t>som ger vägledning till regeringar om hur öppenhet och ansvarsskyldighet kan säkerställas i samband med användningen av medel för covid-19-återhämtning</w:t>
      </w:r>
      <w:r w:rsidRPr="000A6EA1">
        <w:t>, och välkomnar i detta avseende ombudsmannens insatser för att förbättra standarderna för öppenhet inom ramen för faciliteten för återhämtning och resiliens.</w:t>
      </w:r>
    </w:p>
    <w:p w:rsidR="00950291" w:rsidRPr="000A6EA1" w:rsidRDefault="00950291" w:rsidP="00950291">
      <w:pPr>
        <w:pStyle w:val="NormalHanging12a"/>
      </w:pPr>
      <w:r w:rsidRPr="000A6EA1">
        <w:t>18.</w:t>
      </w:r>
      <w:r w:rsidRPr="000A6EA1">
        <w:tab/>
        <w:t>Europaparlamentet framhåller att ombudsmannen i sitt strategiska initiativ om hur kommissionen säkerställer öppenhet och en balanserad representation av intressen inom ramen för den gemensamma jordbrukspolitiken (GJP) fann att centrala delar av de nationella strategiska planerna inom den gemensamma jordbrukspolitiken saknas, inbegripet särskilda åtgärder för budgetposter och de delmål som ska uppfyllas, vilket gör det svårt för allmänheten och berörda parter att förstå på vilka villkor medlemsstaterna kan nyttja stödet via den nya gemensamma jordbrukspolitiken. Parlamentet står bakom ombudsmannens uppmaning till kommissionen att proaktivt redovisa mer information om godkännandet av medlemsstaternas strategiska planer inom ramen för den gemensamma jordbrukspolitiken. Parlamentet uppmanar kommissionären med ansvar för jordbruk och hans kansli samt kommissionens generaldirektorat för jordbruk och landsbygdsutveckling att följa ombudsmannens rekommendationer och eftersträva en rättvis och balanserad representation av både jordbrukarnas och civilsamhällets intressen i sina möten och utbyten med företrädare för intressegrupper, med tanke på att kommissionären med ansvar för jordbruk och hans kansli, såsom ombudsmannen påpekade i sin skrivelse från februari 2022, höll fler möten med företrädare för industrin än med miljöorganisationer och andra organisationer, såsom forskningsinstitutioner. Parlamentet uppmanar kommissionen att ta på sig en aktiv roll för att se till att medlemsstaterna uppfyller de skyldigheter som åligger dem i fråga om öppenhet, däribland skyldigheten att offentliggöra de bredare enheter som stödmottagarna tillhör samt skyldigheten att offentliggöra det totala belopp som stödmottagarna tar emot, så att allmänheten har tillgång till all nödvändig information om mottagarna av GJP-stöd.</w:t>
      </w:r>
    </w:p>
    <w:p w:rsidR="00950291" w:rsidRPr="000A6EA1" w:rsidRDefault="00950291" w:rsidP="00950291">
      <w:pPr>
        <w:pStyle w:val="NormalHanging12a"/>
      </w:pPr>
      <w:r w:rsidRPr="000A6EA1">
        <w:t>19.</w:t>
      </w:r>
      <w:r w:rsidRPr="000A6EA1">
        <w:tab/>
        <w:t>Europaparlamentet beklagar att kommissionens upplägg vid inrättandet av grupper för civil dialog i frågor som omfattas av den gemensamma jordbrukspolitiken inte följde ombudsmannens rekommendationer och att det hade flera brister. I synnerhet lyckades man inte på ett öppet och tydligt sätt få till stånd en balanserad representation mellan ekonomiska och icke-ekonomiska intressen i gruppernas sammansättning.</w:t>
      </w:r>
    </w:p>
    <w:p w:rsidR="00950291" w:rsidRPr="000A6EA1" w:rsidRDefault="00950291" w:rsidP="00950291">
      <w:pPr>
        <w:pStyle w:val="NormalHanging12a"/>
      </w:pPr>
      <w:r w:rsidRPr="000A6EA1">
        <w:t>20.</w:t>
      </w:r>
      <w:r w:rsidRPr="000A6EA1">
        <w:tab/>
        <w:t>Europaparlamentet framhåller vikten av att alla institutioner behandlar begäranden om tillgång till handlingar inom skälig tid, så att informationens relevans inte går förlorad. Parlamentet står bakom ombudsmannens särskilda rapport i den strategiska undersökningen av hur lång tid det tar för kommissionen att behandla begäranden om att ge allmänheten tillgång till handlingar</w:t>
      </w:r>
      <w:r w:rsidRPr="000A6EA1">
        <w:rPr>
          <w:rStyle w:val="FootnoteReference"/>
        </w:rPr>
        <w:footnoteReference w:id="10"/>
      </w:r>
      <w:r w:rsidRPr="000A6EA1">
        <w:t>. Parlamentet är bekymrat över kommissionens systemrelaterade och betydande förseningar i behandlingen av sådana begäranden. Parlamentet understryker att allmänhetens tillgång till handlingar är en grundläggande rättighet enligt förordning 1049/2001</w:t>
      </w:r>
      <w:r w:rsidRPr="000A6EA1">
        <w:rPr>
          <w:rStyle w:val="FootnoteReference"/>
        </w:rPr>
        <w:footnoteReference w:id="11"/>
      </w:r>
      <w:r w:rsidRPr="000A6EA1">
        <w:t>. Parlamentet uppmanar med kraft kommissionen att förbättra sin administrativa praxis för att respektera de tidsfrister som fastställts av lagstiftaren och att på ett tydligt och proaktivt sätt visa att öppenhet är en principiell regel och prioritering i behandlingen av begäranden om att ge allmänheten tillgång till handlingar. Parlamentet betonar att EU-institutionerna måste avsätta tillräckliga personalresurser för att effektivisera behandlingen av begäranden om tillgång till handlingar. Parlamentet påminner om att ombudsmannen rekommenderade en genomgripande omstrukturering av kommissionens tillvägagångssätt när det gäller att behandla begäranden om tillgång till handlingar.</w:t>
      </w:r>
    </w:p>
    <w:p w:rsidR="00950291" w:rsidRPr="000A6EA1" w:rsidRDefault="00950291" w:rsidP="00950291">
      <w:pPr>
        <w:pStyle w:val="NormalHanging12a"/>
      </w:pPr>
      <w:r w:rsidRPr="000A6EA1">
        <w:t>21.</w:t>
      </w:r>
      <w:r w:rsidRPr="000A6EA1">
        <w:tab/>
        <w:t>Europaparlamentet noterar ombudsmannens undersökning av kommissionens underlåtenhet att klarlägga och därmed bedöma ett potentiellt utlämnande av de textmeddelanden som utväxlats mellan kommissionens ordförande och vd:n för ett läkemedelsföretag om inköp av ett covid-19-vaccin. Parlamentet är oroat över att kommissionens hållning utgjorde ett administrativt missförhållande. Parlamentet understryker att arbetsrelaterade text- och snabbmeddelanden är ”h</w:t>
      </w:r>
      <w:r w:rsidR="00F279D9">
        <w:t>andlingar” enligt förordning</w:t>
      </w:r>
      <w:r w:rsidRPr="000A6EA1">
        <w:t xml:space="preserve"> 1049/2001 och betonar att det är särskilt viktigt att denna princip respekteras. Parlamentet välkomnar ombudsmannens rekommendationer till EU-förvaltningen om registerföring av arbetsrelaterade text- och snabbmeddelanden. Parlamentet understryker vikten av att EU-institutionerna fullt ut följer dessa rekommendationer för att EU-förvaltningens praxis ska kunna anpassas till moderna kommunikationsmetoder. Parlamentet noterar kommissionens svar att ytterligare vägledning kommer att tas fram om moderna kommunikationsverktyg, såsom textmeddelanden.</w:t>
      </w:r>
    </w:p>
    <w:p w:rsidR="00950291" w:rsidRPr="000A6EA1" w:rsidRDefault="00950291" w:rsidP="00950291">
      <w:pPr>
        <w:pStyle w:val="NormalHanging12a"/>
      </w:pPr>
      <w:r w:rsidRPr="000A6EA1">
        <w:t>22.</w:t>
      </w:r>
      <w:r w:rsidRPr="000A6EA1">
        <w:tab/>
        <w:t>Europaparlamentet uppmanar rådet att dra lärdom av ombudsmannens undersökning av rådets vägran att ge allmänheten fullständig tillgång till handlingar kopplade till förhandlingarna om utkastet till förordning om digitala marknader, vilket 2022 ledde till att ombudsmannen drog slutsatsen att det förelåg administrativa missförhållanden. Parlamentet uppmanar rådet att tillämpa högsta möjliga standarder för öppenhet i dessa fall, särskilt när ombudsmannen redan har identifierat problem i tidigare strategiska undersökningar av insynen i rådets lagstiftningsprocess och beslutsfattande under covid-19-krisen. Parlamentet påminner om att öppenhet är en av de viktigaste principerna i EU-fördragen och att bristande öppenhet riskerar att minska medborgarnas förtroende för EU-institutionerna och EU som helhet.</w:t>
      </w:r>
    </w:p>
    <w:p w:rsidR="00950291" w:rsidRPr="000A6EA1" w:rsidRDefault="00950291" w:rsidP="00950291">
      <w:pPr>
        <w:pStyle w:val="NormalHanging12a"/>
      </w:pPr>
      <w:r w:rsidRPr="000A6EA1">
        <w:t>23.</w:t>
      </w:r>
      <w:r w:rsidRPr="000A6EA1">
        <w:tab/>
        <w:t>Europaparlamentet framhåller betydelsen av ombudsmannens undersökningar av efterlevnaden av de mänskliga rättigheterna inom EU-förvaltningen. Parlamentet står bakom ombudsmannens uppmaning till kommissionen att inrätta en ny och separat portal för klagomålshantering vid påstådda kränkningar av de mänskliga rättigheterna och att göra denna tillgänglig för människorättsrelaterade klagomål från civilsamhällesorganisationer och andra berörda parter i länder som EU har handelsavtal med.</w:t>
      </w:r>
    </w:p>
    <w:p w:rsidR="00950291" w:rsidRPr="000A6EA1" w:rsidRDefault="00950291" w:rsidP="00950291">
      <w:pPr>
        <w:pStyle w:val="NormalHanging12a"/>
      </w:pPr>
      <w:r w:rsidRPr="000A6EA1">
        <w:t>24.</w:t>
      </w:r>
      <w:r w:rsidRPr="000A6EA1">
        <w:tab/>
        <w:t>Europaparlamentet påpekar att ombudsmannen genomförde en strategisk undersökning av hur Frontex fullgör de skyldigheter som åligger byrån i fråga om grundläggande rättigheter och insyn i och med det utvidg</w:t>
      </w:r>
      <w:r w:rsidR="00F279D9">
        <w:t>ade mandatet enligt förordning</w:t>
      </w:r>
      <w:bookmarkStart w:id="8" w:name="_GoBack"/>
      <w:bookmarkEnd w:id="8"/>
      <w:r w:rsidRPr="000A6EA1">
        <w:t xml:space="preserve"> 2019/1896</w:t>
      </w:r>
      <w:r w:rsidRPr="000A6EA1">
        <w:rPr>
          <w:rStyle w:val="FootnoteReference"/>
          <w:lang w:eastAsia="x-none"/>
        </w:rPr>
        <w:footnoteReference w:id="12"/>
      </w:r>
      <w:r w:rsidRPr="000A6EA1">
        <w:t>, och betonar vikten av att en hög nivå av insyn tillämpas för att en offentlig granskning ska kunna ske och av att det säkerställs att de grundläggande rättigheterna respekteras fullt ut i alla Frontex insatser för att byråns ansvarsskyldighet ska kunna förbättras. Parlamentet uppmanar Frontex att se till att ombudsmannens rekommendationer följs upp på lämpligt sätt.</w:t>
      </w:r>
    </w:p>
    <w:p w:rsidR="00950291" w:rsidRPr="000A6EA1" w:rsidRDefault="00950291" w:rsidP="00950291">
      <w:pPr>
        <w:pStyle w:val="NormalHanging12a"/>
      </w:pPr>
      <w:r w:rsidRPr="000A6EA1">
        <w:t>25.</w:t>
      </w:r>
      <w:r w:rsidRPr="000A6EA1">
        <w:tab/>
        <w:t>Europaparlamentet noterar ombudsmannens undersökning av kommissionens system för övervakning av de kroatiska myndigheternas respekt för de grundläggande rättigheterna i samband med gränsförvaltningsverksamhet som stöds av EU-medel, i vilken ombudsmannen som slutsats kritiserade kommissionen för dröjsmålet med att inrätta en lämplig övervakningsmekanism för de kroatiska myndigheternas gränsförvaltning. Parlamentet uppmanar med kraft kommissionen att alltid reagera skyndsamt på ombudsmannens förslag till förbättringar, särskilt när det i fall som detta upptäcks betydande brister.</w:t>
      </w:r>
    </w:p>
    <w:p w:rsidR="00950291" w:rsidRPr="000A6EA1" w:rsidRDefault="00950291" w:rsidP="00950291">
      <w:pPr>
        <w:pStyle w:val="NormalHanging12a"/>
      </w:pPr>
      <w:r w:rsidRPr="000A6EA1">
        <w:t>26.</w:t>
      </w:r>
      <w:r w:rsidRPr="000A6EA1">
        <w:tab/>
        <w:t>Europaparlamentet välkomnar att EU-byråernas nätverk, på grundval av ombudsmannens praktiska rekommendationer för användning av officiella språk vid kommunikation med allmänheten, har enats om riktlinjer för flerspråkighet.</w:t>
      </w:r>
    </w:p>
    <w:p w:rsidR="00950291" w:rsidRPr="000A6EA1" w:rsidRDefault="00950291" w:rsidP="00950291">
      <w:pPr>
        <w:pStyle w:val="NormalHanging12a"/>
      </w:pPr>
      <w:r w:rsidRPr="000A6EA1">
        <w:t>27.</w:t>
      </w:r>
      <w:r w:rsidRPr="000A6EA1">
        <w:tab/>
        <w:t>Europaparlamentet noterar att Europeiska ombudsmannens stadga uppdaterades 2022 med genomförandebestämmelser för arbetsförfarandena vid ombudsmannens kontor. Parlamentet är övertygat om att de nya bestämmelserna kommer att bidra till att förbättra ombudsmannens arbete.</w:t>
      </w:r>
    </w:p>
    <w:p w:rsidR="00950291" w:rsidRPr="000A6EA1" w:rsidRDefault="00950291" w:rsidP="00950291">
      <w:pPr>
        <w:pStyle w:val="NormalHanging12a"/>
        <w:rPr>
          <w:szCs w:val="24"/>
        </w:rPr>
      </w:pPr>
      <w:r w:rsidRPr="000A6EA1">
        <w:t>28.</w:t>
      </w:r>
      <w:r w:rsidRPr="000A6EA1">
        <w:tab/>
        <w:t>Europaparlamentet välkomnar ombudsmannens åtagande att övervaka EU-förvaltningens genomförande av FN:s konvention om rättigheter för personer med funktionsnedsättning. Parlamentet uppskattar ombudsmannens arbete som medlem av EU-ramen för FN:s konvention om rättigheter för personer med funktionsnedsättning.</w:t>
      </w:r>
    </w:p>
    <w:p w:rsidR="00950291" w:rsidRPr="000A6EA1" w:rsidRDefault="00950291" w:rsidP="00950291">
      <w:pPr>
        <w:pStyle w:val="NormalHanging12a"/>
        <w:rPr>
          <w:szCs w:val="24"/>
        </w:rPr>
      </w:pPr>
      <w:r w:rsidRPr="000A6EA1">
        <w:t>29.</w:t>
      </w:r>
      <w:r w:rsidRPr="000A6EA1">
        <w:tab/>
        <w:t xml:space="preserve">Europaparlamentet framhåller resultaten av ombudsmannens undersökning på eget initiativ om hur kommissionen övervakar EU:s struktur- och investeringsfonder för att säkerställa att medlen används till att stärka de rättigheter som personer med funktionsnedsättning har till självständigt boende och inkludering. Parlamentet välkomnar förslaget om </w:t>
      </w:r>
      <w:r w:rsidRPr="000A6EA1">
        <w:rPr>
          <w:shd w:val="clear" w:color="auto" w:fill="FFFFFF"/>
        </w:rPr>
        <w:t>tydligare vägledning när det gäller behovet av att främja avinstitutionalisering i samband med användningen av</w:t>
      </w:r>
      <w:r w:rsidRPr="000A6EA1">
        <w:t xml:space="preserve"> EU:s struktur- och investeringsfonder</w:t>
      </w:r>
      <w:r w:rsidRPr="000A6EA1">
        <w:rPr>
          <w:shd w:val="clear" w:color="auto" w:fill="FFFFFF"/>
        </w:rPr>
        <w:t>.</w:t>
      </w:r>
    </w:p>
    <w:p w:rsidR="00950291" w:rsidRPr="000A6EA1" w:rsidRDefault="00950291" w:rsidP="00950291">
      <w:pPr>
        <w:pStyle w:val="NormalHanging12a"/>
        <w:rPr>
          <w:szCs w:val="24"/>
        </w:rPr>
      </w:pPr>
      <w:r w:rsidRPr="000A6EA1">
        <w:t>30.</w:t>
      </w:r>
      <w:r w:rsidRPr="000A6EA1">
        <w:tab/>
        <w:t>Europaparlamentet uppmuntrar ombudsmannen att fortsätta utbytet av erfarenheter och bästa praxis med nationella ombudsmän via Europeiska ombudsmannanätverket. Parlamentet gläder sig över att Europeiska ombudsmannanätverkets årliga konferens 2022 inriktades på bästa praxis för att hjälpa flyktingar samt över att frågan om digitaliseringens inverkan på medborgarnas rättigheter togs upp. Parlamentet välkomnar tillskottet av de ukrainska och moldaviska ombudsmannakontoren till Europeiska ombudsmannanätverket.</w:t>
      </w:r>
    </w:p>
    <w:p w:rsidR="00950291" w:rsidRPr="000A6EA1" w:rsidRDefault="00950291" w:rsidP="00950291">
      <w:pPr>
        <w:pStyle w:val="NormalHanging12a"/>
      </w:pPr>
      <w:r w:rsidRPr="000A6EA1">
        <w:t>31.</w:t>
      </w:r>
      <w:r w:rsidRPr="000A6EA1">
        <w:tab/>
        <w:t>Europaparlamentet välkomnar ombudsmannens kontinuerliga insatser för att ytterligare synliggöra sin verksamhet, bland annat via onlineverktyg och den flerspråkiga webbplats som erbjuder stöd på EU:s samtliga 24 officiella språk.</w:t>
      </w:r>
    </w:p>
    <w:p w:rsidR="00950291" w:rsidRPr="000A6EA1" w:rsidRDefault="00950291" w:rsidP="00950291">
      <w:pPr>
        <w:pStyle w:val="NormalHanging12a"/>
      </w:pPr>
      <w:r w:rsidRPr="000A6EA1">
        <w:t>32.</w:t>
      </w:r>
      <w:r w:rsidRPr="000A6EA1">
        <w:tab/>
        <w:t>Europaparlamentet ser positivt på den givande dialog som sedan lång tid har förts mellan ombudsmannen och Europaparlamentets utskott för framställningar. Parlamentet understryker att det intensiva samarbetet mellan dessa båda organ bidrar till att öka EU-institutionernas demokratiska ansvarsskyldighet och till att föra dem närmare medborgarna.</w:t>
      </w:r>
    </w:p>
    <w:p w:rsidR="00950291" w:rsidRPr="00A1500C" w:rsidRDefault="00950291" w:rsidP="00950291">
      <w:pPr>
        <w:pStyle w:val="NormalHanging12a"/>
        <w:rPr>
          <w:szCs w:val="24"/>
        </w:rPr>
      </w:pPr>
      <w:r w:rsidRPr="000A6EA1">
        <w:t>33.</w:t>
      </w:r>
      <w:r w:rsidRPr="000A6EA1">
        <w:tab/>
        <w:t>Europaparlamentet uppdrar åt talmannen att översända denna resolution och betänkandet från utskottet för framställningar till rådet, kommissionen, Europeiska ombudsmannen, medlemsstaternas regeringar och parlament samt till medlemsstaternas ombudsmän eller motsvarande behöriga organ.</w:t>
      </w:r>
    </w:p>
    <w:p w:rsidR="00E365E1" w:rsidRPr="00A1500C" w:rsidRDefault="00E365E1" w:rsidP="003549A9">
      <w:bookmarkStart w:id="9" w:name="TextBodyEnd"/>
      <w:bookmarkEnd w:id="9"/>
    </w:p>
    <w:sectPr w:rsidR="00E365E1" w:rsidRPr="00A1500C" w:rsidSect="00A1500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49A9" w:rsidRPr="00A1500C" w:rsidRDefault="003549A9">
      <w:r w:rsidRPr="00A1500C">
        <w:separator/>
      </w:r>
    </w:p>
  </w:endnote>
  <w:endnote w:type="continuationSeparator" w:id="0">
    <w:p w:rsidR="003549A9" w:rsidRPr="00A1500C" w:rsidRDefault="003549A9">
      <w:r w:rsidRPr="00A150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500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500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500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49A9" w:rsidRPr="00A1500C" w:rsidRDefault="003549A9">
      <w:r w:rsidRPr="00A1500C">
        <w:separator/>
      </w:r>
    </w:p>
  </w:footnote>
  <w:footnote w:type="continuationSeparator" w:id="0">
    <w:p w:rsidR="003549A9" w:rsidRPr="00A1500C" w:rsidRDefault="003549A9">
      <w:r w:rsidRPr="00A1500C">
        <w:continuationSeparator/>
      </w:r>
    </w:p>
  </w:footnote>
  <w:footnote w:id="1">
    <w:p w:rsidR="00950291" w:rsidRPr="00A1500C" w:rsidRDefault="00950291" w:rsidP="00A1500C">
      <w:pPr>
        <w:pStyle w:val="FootnoteText"/>
        <w:ind w:left="567" w:hanging="567"/>
        <w:rPr>
          <w:sz w:val="24"/>
          <w:lang w:val="sv-SE"/>
        </w:rPr>
      </w:pPr>
      <w:r w:rsidRPr="00A1500C">
        <w:rPr>
          <w:rStyle w:val="FootnoteReference"/>
          <w:sz w:val="24"/>
          <w:lang w:val="sv-SE"/>
        </w:rPr>
        <w:footnoteRef/>
      </w:r>
      <w:r w:rsidR="00A1500C" w:rsidRPr="00A1500C">
        <w:rPr>
          <w:sz w:val="24"/>
          <w:lang w:val="sv-SE"/>
        </w:rPr>
        <w:t xml:space="preserve"> </w:t>
      </w:r>
      <w:r w:rsidR="00A1500C" w:rsidRPr="00A1500C">
        <w:rPr>
          <w:sz w:val="24"/>
          <w:lang w:val="sv-SE"/>
        </w:rPr>
        <w:tab/>
      </w:r>
      <w:r w:rsidRPr="00A1500C">
        <w:rPr>
          <w:sz w:val="24"/>
          <w:lang w:val="sv-SE"/>
        </w:rPr>
        <w:t>EUT L 253, 16.7.2021, s. 1.</w:t>
      </w:r>
    </w:p>
  </w:footnote>
  <w:footnote w:id="2">
    <w:p w:rsidR="00950291" w:rsidRPr="000A6EA1" w:rsidRDefault="00950291" w:rsidP="00A1500C">
      <w:pPr>
        <w:pStyle w:val="FootnoteText"/>
        <w:ind w:left="567" w:hanging="567"/>
        <w:rPr>
          <w:sz w:val="24"/>
          <w:lang w:val="sv-SE"/>
        </w:rPr>
      </w:pPr>
      <w:r w:rsidRPr="00A1500C">
        <w:rPr>
          <w:rStyle w:val="FootnoteReference"/>
          <w:sz w:val="24"/>
          <w:lang w:val="sv-SE"/>
        </w:rPr>
        <w:footnoteRef/>
      </w:r>
      <w:r w:rsidR="00A1500C" w:rsidRPr="00A1500C">
        <w:rPr>
          <w:sz w:val="24"/>
          <w:lang w:val="sv-SE"/>
        </w:rPr>
        <w:t xml:space="preserve"> </w:t>
      </w:r>
      <w:r w:rsidR="00A1500C" w:rsidRPr="00A1500C">
        <w:rPr>
          <w:sz w:val="24"/>
          <w:lang w:val="sv-SE"/>
        </w:rPr>
        <w:tab/>
      </w:r>
      <w:r w:rsidRPr="000A6EA1">
        <w:rPr>
          <w:sz w:val="24"/>
          <w:lang w:val="sv-SE"/>
        </w:rPr>
        <w:t xml:space="preserve">Europeiska ombudsmannen, </w:t>
      </w:r>
      <w:hyperlink r:id="rId1" w:history="1">
        <w:r w:rsidRPr="000A6EA1">
          <w:rPr>
            <w:rStyle w:val="Hyperlink"/>
            <w:i/>
            <w:iCs/>
            <w:color w:val="auto"/>
            <w:sz w:val="24"/>
            <w:u w:val="none"/>
            <w:lang w:val="sv-SE"/>
          </w:rPr>
          <w:t>Council should give faster public access to legislative documents</w:t>
        </w:r>
      </w:hyperlink>
      <w:r w:rsidRPr="000A6EA1">
        <w:rPr>
          <w:sz w:val="24"/>
          <w:lang w:val="sv-SE"/>
        </w:rPr>
        <w:t xml:space="preserve"> (inte översatt till svenska), 29 juni 2022.</w:t>
      </w:r>
    </w:p>
  </w:footnote>
  <w:footnote w:id="3">
    <w:p w:rsidR="00950291" w:rsidRPr="000A6EA1" w:rsidRDefault="00950291" w:rsidP="00A1500C">
      <w:pPr>
        <w:pStyle w:val="FootnoteText"/>
        <w:ind w:left="567" w:hanging="567"/>
        <w:rPr>
          <w:sz w:val="24"/>
          <w:lang w:val="en-GB"/>
        </w:rPr>
      </w:pPr>
      <w:r w:rsidRPr="000A6EA1">
        <w:rPr>
          <w:rStyle w:val="FootnoteReference"/>
          <w:sz w:val="24"/>
          <w:lang w:val="sv-SE"/>
        </w:rPr>
        <w:footnoteRef/>
      </w:r>
      <w:r w:rsidR="00A1500C" w:rsidRPr="000A6EA1">
        <w:rPr>
          <w:sz w:val="24"/>
          <w:lang w:val="en-GB"/>
        </w:rPr>
        <w:t xml:space="preserve"> </w:t>
      </w:r>
      <w:r w:rsidR="00A1500C" w:rsidRPr="000A6EA1">
        <w:rPr>
          <w:sz w:val="24"/>
          <w:lang w:val="en-GB"/>
        </w:rPr>
        <w:tab/>
      </w:r>
      <w:r w:rsidRPr="000A6EA1">
        <w:rPr>
          <w:sz w:val="24"/>
          <w:lang w:val="en-GB"/>
        </w:rPr>
        <w:t xml:space="preserve">Europeiska ombudsmannen, </w:t>
      </w:r>
      <w:hyperlink r:id="rId2" w:history="1">
        <w:r w:rsidRPr="000A6EA1">
          <w:rPr>
            <w:rStyle w:val="Hyperlink"/>
            <w:i/>
            <w:iCs/>
            <w:color w:val="auto"/>
            <w:sz w:val="24"/>
            <w:u w:val="none"/>
            <w:lang w:val="en-GB"/>
          </w:rPr>
          <w:t>Decision on the European Commission's refusal of public access to text messages exchanged between the Commission President and the CEO of a pharmaceutical company on the purchase of a COVID 19 vaccine (case 1316/2021/MIG)</w:t>
        </w:r>
      </w:hyperlink>
      <w:r w:rsidRPr="000A6EA1">
        <w:rPr>
          <w:sz w:val="24"/>
          <w:lang w:val="en-GB"/>
        </w:rPr>
        <w:t xml:space="preserve"> (inte översatt till svenska), 12 juli 2022.</w:t>
      </w:r>
    </w:p>
  </w:footnote>
  <w:footnote w:id="4">
    <w:p w:rsidR="00950291" w:rsidRPr="000A6EA1" w:rsidRDefault="00950291" w:rsidP="00A1500C">
      <w:pPr>
        <w:pStyle w:val="FootnoteText"/>
        <w:ind w:left="567" w:hanging="567"/>
        <w:rPr>
          <w:sz w:val="24"/>
          <w:lang w:val="en-GB"/>
        </w:rPr>
      </w:pPr>
      <w:r w:rsidRPr="000A6EA1">
        <w:rPr>
          <w:rStyle w:val="FootnoteReference"/>
          <w:sz w:val="24"/>
          <w:lang w:val="sv-SE"/>
        </w:rPr>
        <w:footnoteRef/>
      </w:r>
      <w:r w:rsidR="00A1500C" w:rsidRPr="000A6EA1">
        <w:rPr>
          <w:sz w:val="24"/>
          <w:lang w:val="en-GB"/>
        </w:rPr>
        <w:t xml:space="preserve"> </w:t>
      </w:r>
      <w:r w:rsidR="00A1500C" w:rsidRPr="000A6EA1">
        <w:rPr>
          <w:sz w:val="24"/>
          <w:lang w:val="en-GB"/>
        </w:rPr>
        <w:tab/>
      </w:r>
      <w:r w:rsidRPr="000A6EA1">
        <w:rPr>
          <w:sz w:val="24"/>
          <w:lang w:val="en-GB"/>
        </w:rPr>
        <w:t xml:space="preserve">Europeiska ombudsmannen, </w:t>
      </w:r>
      <w:hyperlink r:id="rId3" w:history="1">
        <w:r w:rsidRPr="000A6EA1">
          <w:rPr>
            <w:rStyle w:val="Hyperlink"/>
            <w:i/>
            <w:iCs/>
            <w:color w:val="auto"/>
            <w:sz w:val="24"/>
            <w:u w:val="none"/>
            <w:lang w:val="en-GB"/>
          </w:rPr>
          <w:t>Ombudsman criticises how Commission handled request for access to President’s text messages</w:t>
        </w:r>
      </w:hyperlink>
      <w:r w:rsidRPr="000A6EA1">
        <w:rPr>
          <w:sz w:val="24"/>
          <w:lang w:val="en-GB"/>
        </w:rPr>
        <w:t xml:space="preserve"> (inte översatt till svenska), 28 januari 2022.</w:t>
      </w:r>
    </w:p>
  </w:footnote>
  <w:footnote w:id="5">
    <w:p w:rsidR="00950291" w:rsidRPr="000A6EA1" w:rsidRDefault="00950291" w:rsidP="00A1500C">
      <w:pPr>
        <w:pStyle w:val="FootnoteText"/>
        <w:ind w:left="567" w:hanging="567"/>
        <w:rPr>
          <w:sz w:val="24"/>
          <w:lang w:val="sv-SE"/>
        </w:rPr>
      </w:pPr>
      <w:r w:rsidRPr="000A6EA1">
        <w:rPr>
          <w:rStyle w:val="FootnoteReference"/>
          <w:sz w:val="24"/>
          <w:lang w:val="sv-SE"/>
        </w:rPr>
        <w:footnoteRef/>
      </w:r>
      <w:r w:rsidR="00A1500C" w:rsidRPr="000A6EA1">
        <w:rPr>
          <w:sz w:val="24"/>
          <w:lang w:val="sv-SE"/>
        </w:rPr>
        <w:t xml:space="preserve"> </w:t>
      </w:r>
      <w:r w:rsidR="00A1500C" w:rsidRPr="000A6EA1">
        <w:rPr>
          <w:sz w:val="24"/>
          <w:lang w:val="sv-SE"/>
        </w:rPr>
        <w:tab/>
      </w:r>
      <w:r w:rsidRPr="000A6EA1">
        <w:rPr>
          <w:sz w:val="24"/>
          <w:lang w:val="sv-SE"/>
        </w:rPr>
        <w:t xml:space="preserve">Europeiska ombudsmannen, </w:t>
      </w:r>
      <w:hyperlink r:id="rId4" w:history="1">
        <w:r w:rsidRPr="000A6EA1">
          <w:rPr>
            <w:rStyle w:val="Hyperlink"/>
            <w:i/>
            <w:iCs/>
            <w:color w:val="auto"/>
            <w:sz w:val="24"/>
            <w:u w:val="none"/>
            <w:lang w:val="sv-SE"/>
          </w:rPr>
          <w:t>Ombudsman opens inquiry into how ECB handles “revolving doors”</w:t>
        </w:r>
      </w:hyperlink>
      <w:r w:rsidRPr="000A6EA1">
        <w:rPr>
          <w:sz w:val="24"/>
          <w:lang w:val="sv-SE"/>
        </w:rPr>
        <w:t xml:space="preserve"> (inte översatt till svenska), 3 mars 2022.</w:t>
      </w:r>
    </w:p>
  </w:footnote>
  <w:footnote w:id="6">
    <w:p w:rsidR="00950291" w:rsidRPr="000A6EA1" w:rsidRDefault="00950291" w:rsidP="00A1500C">
      <w:pPr>
        <w:pStyle w:val="FootnoteText"/>
        <w:ind w:left="567" w:hanging="567"/>
        <w:rPr>
          <w:sz w:val="24"/>
          <w:lang w:val="sv-SE"/>
        </w:rPr>
      </w:pPr>
      <w:r w:rsidRPr="000A6EA1">
        <w:rPr>
          <w:rStyle w:val="FootnoteReference"/>
          <w:sz w:val="24"/>
          <w:lang w:val="sv-SE"/>
        </w:rPr>
        <w:footnoteRef/>
      </w:r>
      <w:r w:rsidR="00A1500C" w:rsidRPr="000A6EA1">
        <w:rPr>
          <w:sz w:val="24"/>
          <w:lang w:val="sv-SE"/>
        </w:rPr>
        <w:t xml:space="preserve"> </w:t>
      </w:r>
      <w:r w:rsidR="00A1500C" w:rsidRPr="000A6EA1">
        <w:rPr>
          <w:sz w:val="24"/>
          <w:lang w:val="sv-SE"/>
        </w:rPr>
        <w:tab/>
      </w:r>
      <w:r w:rsidRPr="000A6EA1">
        <w:rPr>
          <w:sz w:val="24"/>
          <w:lang w:val="sv-SE"/>
        </w:rPr>
        <w:t xml:space="preserve">Europeiska ombudsmannen, </w:t>
      </w:r>
      <w:hyperlink r:id="rId5" w:history="1">
        <w:r w:rsidRPr="000A6EA1">
          <w:rPr>
            <w:rStyle w:val="Hyperlink"/>
            <w:i/>
            <w:iCs/>
            <w:color w:val="auto"/>
            <w:sz w:val="24"/>
            <w:u w:val="none"/>
            <w:lang w:val="sv-SE"/>
          </w:rPr>
          <w:t>Decision on the time the European Commission takes to deal with requests for public access to documents (strategic inquiry OI/2/2022/OAM)</w:t>
        </w:r>
      </w:hyperlink>
      <w:r w:rsidRPr="000A6EA1">
        <w:rPr>
          <w:sz w:val="24"/>
          <w:lang w:val="sv-SE"/>
        </w:rPr>
        <w:t xml:space="preserve"> (inte översatt till svenska), 18 september 2023.  </w:t>
      </w:r>
    </w:p>
  </w:footnote>
  <w:footnote w:id="7">
    <w:p w:rsidR="00950291" w:rsidRPr="000A6EA1" w:rsidRDefault="00950291" w:rsidP="00A1500C">
      <w:pPr>
        <w:pStyle w:val="FootnoteText"/>
        <w:ind w:left="567" w:hanging="567"/>
        <w:rPr>
          <w:sz w:val="24"/>
          <w:lang w:val="sv-SE"/>
        </w:rPr>
      </w:pPr>
      <w:r w:rsidRPr="000A6EA1">
        <w:rPr>
          <w:rStyle w:val="FootnoteReference"/>
          <w:sz w:val="24"/>
          <w:lang w:val="sv-SE"/>
        </w:rPr>
        <w:footnoteRef/>
      </w:r>
      <w:r w:rsidR="00A1500C" w:rsidRPr="000A6EA1">
        <w:rPr>
          <w:sz w:val="24"/>
          <w:lang w:val="sv-SE"/>
        </w:rPr>
        <w:t xml:space="preserve"> </w:t>
      </w:r>
      <w:r w:rsidR="00A1500C" w:rsidRPr="000A6EA1">
        <w:rPr>
          <w:sz w:val="24"/>
          <w:lang w:val="sv-SE"/>
        </w:rPr>
        <w:tab/>
      </w:r>
      <w:r w:rsidRPr="000A6EA1">
        <w:rPr>
          <w:sz w:val="24"/>
          <w:lang w:val="sv-SE"/>
        </w:rPr>
        <w:t xml:space="preserve">Europeiska ombudsmannen, </w:t>
      </w:r>
      <w:hyperlink r:id="rId6" w:history="1">
        <w:r w:rsidRPr="000A6EA1">
          <w:rPr>
            <w:rStyle w:val="Hyperlink"/>
            <w:i/>
            <w:iCs/>
            <w:color w:val="auto"/>
            <w:sz w:val="24"/>
            <w:u w:val="none"/>
            <w:lang w:val="sv-SE"/>
          </w:rPr>
          <w:t>Ombudsman calls for improved transparency around EU recovery funds</w:t>
        </w:r>
      </w:hyperlink>
      <w:r w:rsidRPr="000A6EA1">
        <w:rPr>
          <w:sz w:val="24"/>
          <w:lang w:val="sv-SE"/>
        </w:rPr>
        <w:t xml:space="preserve"> (inte översatt till svenska), 1 december 2022.</w:t>
      </w:r>
    </w:p>
  </w:footnote>
  <w:footnote w:id="8">
    <w:p w:rsidR="00950291" w:rsidRPr="000A6EA1" w:rsidRDefault="00950291" w:rsidP="00A1500C">
      <w:pPr>
        <w:pStyle w:val="FootnoteText"/>
        <w:ind w:left="567" w:hanging="567"/>
        <w:rPr>
          <w:sz w:val="24"/>
          <w:lang w:val="sv-SE"/>
        </w:rPr>
      </w:pPr>
      <w:r w:rsidRPr="000A6EA1">
        <w:rPr>
          <w:rStyle w:val="FootnoteReference"/>
          <w:sz w:val="24"/>
          <w:lang w:val="sv-SE"/>
        </w:rPr>
        <w:footnoteRef/>
      </w:r>
      <w:r w:rsidR="00A1500C" w:rsidRPr="000A6EA1">
        <w:rPr>
          <w:sz w:val="24"/>
          <w:lang w:val="sv-SE"/>
        </w:rPr>
        <w:t xml:space="preserve"> </w:t>
      </w:r>
      <w:r w:rsidR="00A1500C" w:rsidRPr="000A6EA1">
        <w:rPr>
          <w:sz w:val="24"/>
          <w:lang w:val="sv-SE"/>
        </w:rPr>
        <w:tab/>
      </w:r>
      <w:r w:rsidRPr="000A6EA1">
        <w:rPr>
          <w:sz w:val="24"/>
          <w:lang w:val="sv-SE"/>
        </w:rPr>
        <w:t xml:space="preserve">Europeiska ombudsmannen, </w:t>
      </w:r>
      <w:hyperlink r:id="rId7" w:history="1">
        <w:r w:rsidRPr="000A6EA1">
          <w:rPr>
            <w:rStyle w:val="Hyperlink"/>
            <w:i/>
            <w:iCs/>
            <w:color w:val="auto"/>
            <w:sz w:val="24"/>
            <w:u w:val="none"/>
            <w:lang w:val="sv-SE"/>
          </w:rPr>
          <w:t>The European Commission’s refusal to give public access to documents related to its proposal for a Regulation on the European Health Data Space (COM(2022) 197 final)</w:t>
        </w:r>
      </w:hyperlink>
      <w:r w:rsidRPr="000A6EA1">
        <w:rPr>
          <w:sz w:val="24"/>
          <w:lang w:val="sv-SE"/>
        </w:rPr>
        <w:t xml:space="preserve"> (inte översatt till svenska), undersökning inledd den 28 november 2022.</w:t>
      </w:r>
    </w:p>
  </w:footnote>
  <w:footnote w:id="9">
    <w:p w:rsidR="00950291" w:rsidRPr="000A6EA1" w:rsidRDefault="00950291" w:rsidP="00A1500C">
      <w:pPr>
        <w:pStyle w:val="FootnoteText"/>
        <w:ind w:left="567" w:hanging="567"/>
        <w:rPr>
          <w:sz w:val="24"/>
          <w:lang w:val="en-GB"/>
        </w:rPr>
      </w:pPr>
      <w:r w:rsidRPr="000A6EA1">
        <w:rPr>
          <w:rStyle w:val="FootnoteReference"/>
          <w:sz w:val="24"/>
          <w:lang w:val="sv-SE"/>
        </w:rPr>
        <w:footnoteRef/>
      </w:r>
      <w:r w:rsidR="00A1500C" w:rsidRPr="000A6EA1">
        <w:rPr>
          <w:sz w:val="24"/>
          <w:lang w:val="en-GB"/>
        </w:rPr>
        <w:t xml:space="preserve"> </w:t>
      </w:r>
      <w:r w:rsidR="00A1500C" w:rsidRPr="000A6EA1">
        <w:rPr>
          <w:sz w:val="24"/>
          <w:lang w:val="en-GB"/>
        </w:rPr>
        <w:tab/>
      </w:r>
      <w:r w:rsidRPr="000A6EA1">
        <w:rPr>
          <w:sz w:val="24"/>
          <w:lang w:val="en-GB"/>
        </w:rPr>
        <w:t xml:space="preserve">Europeiska ombudsmannen, </w:t>
      </w:r>
      <w:hyperlink r:id="rId8" w:history="1">
        <w:r w:rsidRPr="000A6EA1">
          <w:rPr>
            <w:rStyle w:val="Hyperlink"/>
            <w:i/>
            <w:iCs/>
            <w:color w:val="auto"/>
            <w:sz w:val="24"/>
            <w:u w:val="none"/>
            <w:lang w:val="en-GB"/>
          </w:rPr>
          <w:t>How the European Commission dealt with a request for public access to declarations of interests of the members of its Regulatory Scrutiny Board</w:t>
        </w:r>
      </w:hyperlink>
      <w:r w:rsidRPr="000A6EA1">
        <w:rPr>
          <w:sz w:val="24"/>
          <w:lang w:val="en-GB"/>
        </w:rPr>
        <w:t xml:space="preserve"> (inte översatt till svenska), beslut av den 20 december 2022.</w:t>
      </w:r>
    </w:p>
  </w:footnote>
  <w:footnote w:id="10">
    <w:p w:rsidR="00950291" w:rsidRPr="000A6EA1" w:rsidRDefault="00950291" w:rsidP="00A1500C">
      <w:pPr>
        <w:pStyle w:val="FootnoteText"/>
        <w:ind w:left="567" w:hanging="567"/>
        <w:rPr>
          <w:sz w:val="24"/>
          <w:szCs w:val="24"/>
          <w:lang w:val="en-GB"/>
        </w:rPr>
      </w:pPr>
      <w:r w:rsidRPr="000A6EA1">
        <w:rPr>
          <w:rStyle w:val="FootnoteReference"/>
          <w:sz w:val="24"/>
          <w:lang w:val="sv-SE"/>
        </w:rPr>
        <w:footnoteRef/>
      </w:r>
      <w:r w:rsidR="00A1500C" w:rsidRPr="000A6EA1">
        <w:rPr>
          <w:sz w:val="24"/>
          <w:lang w:val="en-GB"/>
        </w:rPr>
        <w:t xml:space="preserve"> </w:t>
      </w:r>
      <w:r w:rsidR="00A1500C" w:rsidRPr="000A6EA1">
        <w:rPr>
          <w:sz w:val="24"/>
          <w:lang w:val="en-GB"/>
        </w:rPr>
        <w:tab/>
      </w:r>
      <w:r w:rsidRPr="000A6EA1">
        <w:rPr>
          <w:sz w:val="24"/>
          <w:lang w:val="en-GB"/>
        </w:rPr>
        <w:t xml:space="preserve">Europeiska ombudsmannen, </w:t>
      </w:r>
      <w:hyperlink r:id="rId9" w:history="1">
        <w:r w:rsidRPr="000A6EA1">
          <w:rPr>
            <w:rStyle w:val="Hyperlink"/>
            <w:i/>
            <w:iCs/>
            <w:color w:val="auto"/>
            <w:sz w:val="24"/>
            <w:u w:val="none"/>
            <w:lang w:val="en-GB"/>
          </w:rPr>
          <w:t>Ombudsman opens inquiry into time taken by Commission to deal with access to documents requests</w:t>
        </w:r>
      </w:hyperlink>
      <w:r w:rsidRPr="000A6EA1">
        <w:rPr>
          <w:sz w:val="24"/>
          <w:lang w:val="en-GB"/>
        </w:rPr>
        <w:t>, 6 april 2022.</w:t>
      </w:r>
    </w:p>
  </w:footnote>
  <w:footnote w:id="11">
    <w:p w:rsidR="00950291" w:rsidRPr="000A6EA1" w:rsidRDefault="00950291" w:rsidP="00A1500C">
      <w:pPr>
        <w:pStyle w:val="FootnoteText"/>
        <w:ind w:left="567" w:hanging="567"/>
        <w:rPr>
          <w:sz w:val="24"/>
          <w:lang w:val="sv-SE"/>
        </w:rPr>
      </w:pPr>
      <w:r w:rsidRPr="000A6EA1">
        <w:rPr>
          <w:rStyle w:val="FootnoteReference"/>
          <w:sz w:val="24"/>
          <w:lang w:val="sv-SE"/>
        </w:rPr>
        <w:footnoteRef/>
      </w:r>
      <w:r w:rsidR="00A1500C" w:rsidRPr="000A6EA1">
        <w:rPr>
          <w:sz w:val="24"/>
          <w:lang w:val="sv-SE"/>
        </w:rPr>
        <w:t xml:space="preserve"> </w:t>
      </w:r>
      <w:r w:rsidR="00A1500C" w:rsidRPr="000A6EA1">
        <w:rPr>
          <w:sz w:val="24"/>
          <w:lang w:val="sv-SE"/>
        </w:rPr>
        <w:tab/>
      </w:r>
      <w:r w:rsidRPr="000A6EA1">
        <w:rPr>
          <w:sz w:val="24"/>
          <w:lang w:val="sv-SE"/>
        </w:rPr>
        <w:t>Europaparlamentets och rådets förordning (EG) nr 1049/2001 av den 30 maj 2001 om allmänhetens tillgång till Europaparlamentets, rådets och kommissionens handlingar (EGT L 145, 31.5.2001, s. 43).</w:t>
      </w:r>
    </w:p>
  </w:footnote>
  <w:footnote w:id="12">
    <w:p w:rsidR="00950291" w:rsidRPr="000A6EA1" w:rsidRDefault="00950291" w:rsidP="00A1500C">
      <w:pPr>
        <w:pStyle w:val="FootnoteText"/>
        <w:ind w:left="567" w:hanging="567"/>
        <w:rPr>
          <w:sz w:val="24"/>
          <w:lang w:val="sv-SE"/>
        </w:rPr>
      </w:pPr>
      <w:r w:rsidRPr="000A6EA1">
        <w:rPr>
          <w:rStyle w:val="FootnoteReference"/>
          <w:sz w:val="24"/>
          <w:lang w:val="sv-SE"/>
        </w:rPr>
        <w:footnoteRef/>
      </w:r>
      <w:r w:rsidR="00A1500C" w:rsidRPr="000A6EA1">
        <w:rPr>
          <w:sz w:val="24"/>
          <w:lang w:val="sv-SE"/>
        </w:rPr>
        <w:t xml:space="preserve"> </w:t>
      </w:r>
      <w:r w:rsidR="00A1500C" w:rsidRPr="000A6EA1">
        <w:rPr>
          <w:sz w:val="24"/>
          <w:lang w:val="sv-SE"/>
        </w:rPr>
        <w:tab/>
      </w:r>
      <w:r w:rsidRPr="000A6EA1">
        <w:rPr>
          <w:sz w:val="24"/>
          <w:lang w:val="sv-SE"/>
        </w:rPr>
        <w:t>Europaparlamentets och rådets förordning (EU) 2019/1896 av den 13 november 2019 om den europeiska gräns- och kustbevakningen och om upphävande av förordningarna (EU) nr 1052/2013 och (EU) 2016/1624 (EUT L 295, 14.11.2019,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500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500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500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4/2023"/>
    <w:docVar w:name="dvlangue" w:val="SV"/>
    <w:docVar w:name="dvnumam" w:val="0"/>
    <w:docVar w:name="dvpe" w:val="751.674"/>
    <w:docVar w:name="dvrapporteur" w:val="Föredragande: "/>
    <w:docVar w:name="dvtitre" w:val="Europaparlamentets resolution av den xx xx 2024 om årsrapporten om Europeiska ombudsmannens verksamhet 2022(2023/2120(INI))"/>
  </w:docVars>
  <w:rsids>
    <w:rsidRoot w:val="003549A9"/>
    <w:rsid w:val="00002272"/>
    <w:rsid w:val="00064002"/>
    <w:rsid w:val="000677B9"/>
    <w:rsid w:val="000831BA"/>
    <w:rsid w:val="000A42CC"/>
    <w:rsid w:val="000A6EA1"/>
    <w:rsid w:val="000E7DD9"/>
    <w:rsid w:val="0010095E"/>
    <w:rsid w:val="00125B37"/>
    <w:rsid w:val="00187494"/>
    <w:rsid w:val="001F32AE"/>
    <w:rsid w:val="002767FF"/>
    <w:rsid w:val="002B18FE"/>
    <w:rsid w:val="002B5493"/>
    <w:rsid w:val="00343214"/>
    <w:rsid w:val="003549A9"/>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291"/>
    <w:rsid w:val="009509D8"/>
    <w:rsid w:val="00950B64"/>
    <w:rsid w:val="00981893"/>
    <w:rsid w:val="00A1500C"/>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71BA"/>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79D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8CA980"/>
  <w15:chartTrackingRefBased/>
  <w15:docId w15:val="{F44667DE-BB23-4A06-BF9A-CC1C733D3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50291"/>
    <w:pPr>
      <w:spacing w:before="480" w:after="240"/>
    </w:pPr>
  </w:style>
  <w:style w:type="paragraph" w:customStyle="1" w:styleId="PageHeading">
    <w:name w:val="PageHeading"/>
    <w:basedOn w:val="Normal"/>
    <w:rsid w:val="00950291"/>
    <w:pPr>
      <w:keepNext/>
      <w:spacing w:after="480"/>
      <w:jc w:val="center"/>
    </w:pPr>
    <w:rPr>
      <w:rFonts w:ascii="Arial" w:hAnsi="Arial" w:cs="Arial"/>
      <w:b/>
    </w:rPr>
  </w:style>
  <w:style w:type="paragraph" w:customStyle="1" w:styleId="NormalBold">
    <w:name w:val="NormalBold"/>
    <w:basedOn w:val="Normal"/>
    <w:rsid w:val="00950291"/>
    <w:rPr>
      <w:b/>
    </w:rPr>
  </w:style>
  <w:style w:type="paragraph" w:customStyle="1" w:styleId="NormalHanging12a">
    <w:name w:val="NormalHanging12a"/>
    <w:basedOn w:val="Normal"/>
    <w:link w:val="NormalHanging12aChar"/>
    <w:rsid w:val="00950291"/>
    <w:pPr>
      <w:spacing w:after="240"/>
      <w:ind w:left="567" w:hanging="567"/>
    </w:pPr>
  </w:style>
  <w:style w:type="character" w:customStyle="1" w:styleId="NormalHanging12aChar">
    <w:name w:val="NormalHanging12a Char"/>
    <w:basedOn w:val="DefaultParagraphFont"/>
    <w:link w:val="NormalHanging12a"/>
    <w:locked/>
    <w:rsid w:val="00950291"/>
    <w:rPr>
      <w:sz w:val="24"/>
      <w:lang w:val="sv-SE"/>
    </w:rPr>
  </w:style>
  <w:style w:type="character" w:customStyle="1" w:styleId="graphbold">
    <w:name w:val="graph bold"/>
    <w:basedOn w:val="DefaultParagraphFont"/>
    <w:uiPriority w:val="1"/>
    <w:qFormat/>
    <w:rsid w:val="00950291"/>
    <w:rPr>
      <w:rFonts w:ascii="Arial" w:hAnsi="Arial" w:cs="Arial" w:hint="default"/>
      <w:b/>
      <w:bCs w:val="0"/>
      <w:sz w:val="16"/>
    </w:rPr>
  </w:style>
  <w:style w:type="character" w:styleId="Hyperlink">
    <w:name w:val="Hyperlink"/>
    <w:basedOn w:val="DefaultParagraphFont"/>
    <w:uiPriority w:val="99"/>
    <w:unhideWhenUsed/>
    <w:rsid w:val="00950291"/>
    <w:rPr>
      <w:rFonts w:cs="Times New Roman"/>
      <w:color w:val="0563C1" w:themeColor="hyperlink"/>
      <w:u w:val="single"/>
    </w:rPr>
  </w:style>
  <w:style w:type="paragraph" w:styleId="BalloonText">
    <w:name w:val="Balloon Text"/>
    <w:basedOn w:val="Normal"/>
    <w:link w:val="BalloonTextChar"/>
    <w:rsid w:val="000A6EA1"/>
    <w:rPr>
      <w:rFonts w:ascii="Segoe UI" w:hAnsi="Segoe UI" w:cs="Segoe UI"/>
      <w:sz w:val="18"/>
      <w:szCs w:val="18"/>
    </w:rPr>
  </w:style>
  <w:style w:type="character" w:customStyle="1" w:styleId="BalloonTextChar">
    <w:name w:val="Balloon Text Char"/>
    <w:basedOn w:val="DefaultParagraphFont"/>
    <w:link w:val="BalloonText"/>
    <w:rsid w:val="000A6EA1"/>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ombudsman.europa.eu/en/opening-summary/en/163838" TargetMode="External"/><Relationship Id="rId3" Type="http://schemas.openxmlformats.org/officeDocument/2006/relationships/hyperlink" Target="https://www.ombudsman.europa.eu/en/news-document/en/151742" TargetMode="External"/><Relationship Id="rId7" Type="http://schemas.openxmlformats.org/officeDocument/2006/relationships/hyperlink" Target="https://www.ombudsman.europa.eu/en/case/en/62762" TargetMode="External"/><Relationship Id="rId2" Type="http://schemas.openxmlformats.org/officeDocument/2006/relationships/hyperlink" Target="https://www.ombudsman.europa.eu/en/decision/en/158295" TargetMode="External"/><Relationship Id="rId1" Type="http://schemas.openxmlformats.org/officeDocument/2006/relationships/hyperlink" Target="https://www.ombudsman.europa.eu/en/news-document/en/157774" TargetMode="External"/><Relationship Id="rId6" Type="http://schemas.openxmlformats.org/officeDocument/2006/relationships/hyperlink" Target="https://www.ombudsman.europa.eu/en/news-document/en/163567" TargetMode="External"/><Relationship Id="rId5" Type="http://schemas.openxmlformats.org/officeDocument/2006/relationships/hyperlink" Target="https://www.ombudsman.europa.eu/en/decision/en/175321" TargetMode="External"/><Relationship Id="rId4" Type="http://schemas.openxmlformats.org/officeDocument/2006/relationships/hyperlink" Target="https://www.ombudsman.europa.eu/en/news-document/en/153137" TargetMode="External"/><Relationship Id="rId9" Type="http://schemas.openxmlformats.org/officeDocument/2006/relationships/hyperlink" Target="https://www.ombudsman.europa.eu/en/news-document/en/1544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7F8DB2-C8B9-4E7B-9C1E-549E88257E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3471</Words>
  <Characters>25585</Characters>
  <Application>Microsoft Office Word</Application>
  <DocSecurity>0</DocSecurity>
  <Lines>752</Lines>
  <Paragraphs>558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NETTREUS Anna</cp:lastModifiedBy>
  <cp:revision>2</cp:revision>
  <cp:lastPrinted>2004-11-19T15:42:00Z</cp:lastPrinted>
  <dcterms:created xsi:type="dcterms:W3CDTF">2024-02-25T14:45:00Z</dcterms:created>
  <dcterms:modified xsi:type="dcterms:W3CDTF">2024-02-25T14:45:00Z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A9-0414/2023</vt:lpwstr>
  </property>
  <property fmtid="{D5CDD505-2E9C-101B-9397-08002B2CF9AE}" pid="4" name="&lt;Type&gt;">
    <vt:lpwstr>RR</vt:lpwstr>
  </property>
</Properties>
</file>