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18E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18EC" w:rsidRDefault="00384799" w:rsidP="0010095E">
            <w:pPr>
              <w:pStyle w:val="EPName"/>
            </w:pPr>
            <w:r w:rsidRPr="00AA18EC">
              <w:t>Europski parlament</w:t>
            </w:r>
          </w:p>
          <w:p w:rsidR="00751A4A" w:rsidRPr="00AA18E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18E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A18EC" w:rsidRDefault="00187494" w:rsidP="0010095E">
            <w:pPr>
              <w:pStyle w:val="EPLogo"/>
            </w:pPr>
            <w:r w:rsidRPr="00AA18E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18EC" w:rsidRDefault="00D058B8" w:rsidP="004C5D52">
      <w:pPr>
        <w:pStyle w:val="LineTop"/>
      </w:pPr>
    </w:p>
    <w:p w:rsidR="00680577" w:rsidRPr="00AA18EC" w:rsidRDefault="00384799" w:rsidP="00680577">
      <w:pPr>
        <w:pStyle w:val="EPBodyTA1"/>
      </w:pPr>
      <w:r w:rsidRPr="00AA18EC">
        <w:t>USVOJENI TEKSTOVI</w:t>
      </w:r>
    </w:p>
    <w:p w:rsidR="00D058B8" w:rsidRPr="00AA18EC" w:rsidRDefault="00D058B8" w:rsidP="00D058B8">
      <w:pPr>
        <w:pStyle w:val="LineBottom"/>
      </w:pPr>
    </w:p>
    <w:p w:rsidR="00384799" w:rsidRPr="00AA18EC" w:rsidRDefault="00384799" w:rsidP="00384799">
      <w:pPr>
        <w:pStyle w:val="ATHeading1"/>
      </w:pPr>
      <w:bookmarkStart w:id="0" w:name="TANumber"/>
      <w:r w:rsidRPr="00AA18EC">
        <w:t>P9_TA(2024)00</w:t>
      </w:r>
      <w:r w:rsidR="0022417A">
        <w:t>36</w:t>
      </w:r>
      <w:bookmarkEnd w:id="0"/>
    </w:p>
    <w:p w:rsidR="00384799" w:rsidRPr="00AA18EC" w:rsidRDefault="00384799" w:rsidP="00384799">
      <w:pPr>
        <w:pStyle w:val="ATHeading2"/>
      </w:pPr>
      <w:bookmarkStart w:id="1" w:name="title"/>
      <w:r w:rsidRPr="00AA18EC">
        <w:t>Transparentnost i odgovornost nevladinih organizacija koje se financiraju iz proračuna EU-a</w:t>
      </w:r>
      <w:bookmarkEnd w:id="1"/>
    </w:p>
    <w:p w:rsidR="00384799" w:rsidRPr="00AA18EC" w:rsidRDefault="00384799" w:rsidP="00384799">
      <w:pPr>
        <w:rPr>
          <w:i/>
          <w:vanish/>
        </w:rPr>
      </w:pPr>
      <w:r w:rsidRPr="00AA18EC">
        <w:rPr>
          <w:i/>
        </w:rPr>
        <w:fldChar w:fldCharType="begin"/>
      </w:r>
      <w:r w:rsidRPr="00AA18EC">
        <w:rPr>
          <w:i/>
        </w:rPr>
        <w:instrText xml:space="preserve"> TC"(</w:instrText>
      </w:r>
      <w:bookmarkStart w:id="2" w:name="DocNumber"/>
      <w:r w:rsidRPr="00AA18EC">
        <w:rPr>
          <w:i/>
        </w:rPr>
        <w:instrText>A9-0446/2023</w:instrText>
      </w:r>
      <w:bookmarkEnd w:id="2"/>
      <w:r w:rsidRPr="00AA18EC">
        <w:rPr>
          <w:i/>
        </w:rPr>
        <w:instrText xml:space="preserve"> - Izvjestitelj: </w:instrText>
      </w:r>
      <w:proofErr w:type="spellStart"/>
      <w:r w:rsidRPr="00AA18EC">
        <w:rPr>
          <w:i/>
        </w:rPr>
        <w:instrText>Markus</w:instrText>
      </w:r>
      <w:proofErr w:type="spellEnd"/>
      <w:r w:rsidRPr="00AA18EC">
        <w:rPr>
          <w:i/>
        </w:rPr>
        <w:instrText xml:space="preserve"> </w:instrText>
      </w:r>
      <w:proofErr w:type="spellStart"/>
      <w:r w:rsidRPr="00AA18EC">
        <w:rPr>
          <w:i/>
        </w:rPr>
        <w:instrText>Pieper</w:instrText>
      </w:r>
      <w:proofErr w:type="spellEnd"/>
      <w:r w:rsidRPr="00AA18EC">
        <w:rPr>
          <w:i/>
        </w:rPr>
        <w:instrText xml:space="preserve">)"\l3 \n&gt; \* MERGEFORMAT </w:instrText>
      </w:r>
      <w:r w:rsidRPr="00AA18EC">
        <w:rPr>
          <w:i/>
        </w:rPr>
        <w:fldChar w:fldCharType="end"/>
      </w:r>
    </w:p>
    <w:p w:rsidR="00384799" w:rsidRPr="00AA18EC" w:rsidRDefault="00384799" w:rsidP="00384799">
      <w:pPr>
        <w:rPr>
          <w:vanish/>
        </w:rPr>
      </w:pPr>
      <w:bookmarkStart w:id="3" w:name="Commission"/>
      <w:r w:rsidRPr="00AA18EC">
        <w:rPr>
          <w:vanish/>
        </w:rPr>
        <w:t>Odbor za proračunski nadzor</w:t>
      </w:r>
      <w:bookmarkEnd w:id="3"/>
    </w:p>
    <w:p w:rsidR="00384799" w:rsidRPr="00AA18EC" w:rsidRDefault="00384799" w:rsidP="00384799">
      <w:pPr>
        <w:rPr>
          <w:vanish/>
        </w:rPr>
      </w:pPr>
      <w:bookmarkStart w:id="4" w:name="PE"/>
      <w:r w:rsidRPr="00AA18EC">
        <w:rPr>
          <w:vanish/>
        </w:rPr>
        <w:t>PE751.681</w:t>
      </w:r>
      <w:bookmarkEnd w:id="4"/>
    </w:p>
    <w:p w:rsidR="00384799" w:rsidRPr="00AA18EC" w:rsidRDefault="00384799" w:rsidP="00384799">
      <w:pPr>
        <w:pStyle w:val="ATHeading3"/>
      </w:pPr>
      <w:bookmarkStart w:id="5" w:name="Sujet"/>
      <w:r w:rsidRPr="00AA18EC">
        <w:t>Rezolu</w:t>
      </w:r>
      <w:r w:rsidR="00AA18EC">
        <w:t>cija Europskog parlamenta od 17</w:t>
      </w:r>
      <w:r w:rsidRPr="00AA18EC">
        <w:t xml:space="preserve">. </w:t>
      </w:r>
      <w:r w:rsidR="00AA18EC">
        <w:t xml:space="preserve">siječnja </w:t>
      </w:r>
      <w:r w:rsidRPr="00AA18EC">
        <w:t>2024. o transparentnosti i odgovornosti nevladinih organizacija koje se financiraju iz proračuna EU-a</w:t>
      </w:r>
      <w:bookmarkEnd w:id="5"/>
      <w:r w:rsidRPr="00AA18EC">
        <w:t xml:space="preserve"> </w:t>
      </w:r>
      <w:bookmarkStart w:id="6" w:name="References"/>
      <w:r w:rsidRPr="00AA18EC">
        <w:t>(2023/2122(INI))</w:t>
      </w:r>
      <w:bookmarkEnd w:id="6"/>
    </w:p>
    <w:p w:rsidR="00F241CD" w:rsidRPr="00AA18EC" w:rsidRDefault="00F241CD" w:rsidP="00F241CD">
      <w:pPr>
        <w:pStyle w:val="EPComma"/>
      </w:pPr>
      <w:bookmarkStart w:id="7" w:name="TextBodyBegin"/>
      <w:bookmarkEnd w:id="7"/>
      <w:r w:rsidRPr="00AA18EC">
        <w:rPr>
          <w:i/>
        </w:rPr>
        <w:t>Europski parlament</w:t>
      </w:r>
      <w:r w:rsidRPr="00AA18EC">
        <w:t>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</w:t>
      </w:r>
      <w:r w:rsidR="00AA18EC">
        <w:t xml:space="preserve">bzir Ugovor o Europskoj uniji, </w:t>
      </w:r>
      <w:r w:rsidRPr="00AA18EC">
        <w:t>posebno njegove članke 2., 3., 5., članak 11. stavak 2. i Protokol br. (2),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Ugovor o funkcioniranju Europske unije, a posebno njegov članak 322. stavak 1.a i članak 325. stavak 4.,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 1304/2013, (EU) br. 1309/2013, (EU) br. 1316/2013, (EU) br. 223/2014, (EU) br. 283/2014 i Odluke br. 541/2014/EU te o stavljanju izvan snage Uredbe (EU, Euratom) br. 966/2012</w:t>
      </w:r>
      <w:r w:rsidRPr="00AA18EC">
        <w:rPr>
          <w:rStyle w:val="FootnoteReference"/>
        </w:rPr>
        <w:footnoteReference w:id="1"/>
      </w:r>
      <w:r w:rsidRPr="00AA18EC">
        <w:t xml:space="preserve"> (Financijska uredba),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Komisijin Prijedlog uredbe Europskog parlamenta i Vijeća od 16. svibnja 2022. o financijskim pravilima koja se primjenjuju na opći proračun Unije (COM(2022)0223),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izvješće Odbora za proračune i proračunski nadzor od 4. svibnja 2023. o Prijedlogu uredbe Europskog parlamenta i Vijeća o financijskim pravilima koja se primjenjuju na opći proračun Unije,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Uredbu (EU) 2021/2116 Europskog parlamenta i Vijeća od 2. prosinca 2021. o financiranju i nadzoru zajedničke poljoprivredne politike te upravljanju njome i o stavljanju izvan snage Uredbe (EU) br. 1306/2013</w:t>
      </w:r>
      <w:r w:rsidRPr="00AA18EC">
        <w:rPr>
          <w:rStyle w:val="FootnoteReference"/>
        </w:rPr>
        <w:footnoteReference w:id="2"/>
      </w:r>
      <w:r w:rsidRPr="00AA18EC">
        <w:t>,</w:t>
      </w:r>
    </w:p>
    <w:p w:rsidR="00F241CD" w:rsidRPr="00AA18EC" w:rsidRDefault="00F241CD" w:rsidP="00F241CD">
      <w:pPr>
        <w:pStyle w:val="NormalHanging12a"/>
      </w:pPr>
      <w:r w:rsidRPr="00AA18EC">
        <w:lastRenderedPageBreak/>
        <w:t>–</w:t>
      </w:r>
      <w:r w:rsidRPr="00AA18EC">
        <w:tab/>
        <w:t xml:space="preserve">uzimajući u obzir Uredbu (EU) 2021/1060 Europskog parlamenta i Vijeća od 24. lipnja 2021. o utvrđivanju zajedničkih odredaba o Europskom fondu za regionalni razvoj, Europskom socijalnom fondu plus, Kohezijskom fondu, Fondu za pravednu tranziciju i Europskom fondu za pomorstvo, ribarstvo i akvakulturu i financijskih pravila za njih i za Fond za azil, migracije i integraciju, Fond za unutarnju sigurnost i Instrument za financijsku potporu u području upravljanja granicama i </w:t>
      </w:r>
      <w:proofErr w:type="spellStart"/>
      <w:r w:rsidRPr="00AA18EC">
        <w:t>vizne</w:t>
      </w:r>
      <w:proofErr w:type="spellEnd"/>
      <w:r w:rsidRPr="00AA18EC">
        <w:t xml:space="preserve"> politike</w:t>
      </w:r>
      <w:r w:rsidRPr="00AA18EC">
        <w:rPr>
          <w:rStyle w:val="FootnoteReference"/>
        </w:rPr>
        <w:footnoteReference w:id="3"/>
      </w:r>
      <w:r w:rsidRPr="00AA18EC">
        <w:t>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Komunikaciju Komisije od 3. prosinca 2020. o akcijskom planu za europsku demokraciju (COM(2020)0790),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</w:t>
      </w:r>
      <w:r w:rsidR="00A739A0">
        <w:t xml:space="preserve">i u obzir tematsko izvješće </w:t>
      </w:r>
      <w:r w:rsidRPr="00AA18EC">
        <w:t>35/2018 Europskog revizorskog suda od 18. prosinca 2018. naslovljeno „Transparentnost financijskih sredstava EU-a kojima se koriste nevladine organizacije: potrebno je uložiti više napora”,</w:t>
      </w:r>
      <w:bookmarkStart w:id="8" w:name="_GoBack"/>
      <w:bookmarkEnd w:id="8"/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studiju naslovljenu „Financiranje nevladinih organizacija iz proračuna EU-a”, koju je 25. studenog 2010. objavila Glavna uprava za unutarnju politiku Unije</w:t>
      </w:r>
      <w:r w:rsidRPr="00AA18EC">
        <w:rPr>
          <w:rStyle w:val="FootnoteReference"/>
        </w:rPr>
        <w:footnoteReference w:id="4"/>
      </w:r>
      <w:r w:rsidRPr="00AA18EC">
        <w:t>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studiju naslovljenu „Demokratska odgovornost i proračunski nadzor nevladinih organizacija koje se financiraju iz proračuna EU-a”, koju je objavila Glavna uprava za unutarnju politiku Unije 24. siječnja 2017.</w:t>
      </w:r>
      <w:r w:rsidRPr="00AA18EC">
        <w:rPr>
          <w:rStyle w:val="FootnoteReference"/>
        </w:rPr>
        <w:footnoteReference w:id="5"/>
      </w:r>
      <w:r w:rsidRPr="00AA18EC">
        <w:t>, i njezino naknadno ažuriranje od 21. siječnja 2019.,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studiju naslovljenu „Transparentnost i odgovornost financiranja EU-a za nevladine organizacije aktivne u područjima politika EU-a na području EU-a”, koju je 28. rujna 2023. objavila Glavna uprava za unutarnju politiku Unije</w:t>
      </w:r>
      <w:r w:rsidRPr="00AA18EC">
        <w:rPr>
          <w:rStyle w:val="FootnoteReference"/>
        </w:rPr>
        <w:footnoteReference w:id="6"/>
      </w:r>
      <w:r w:rsidRPr="00AA18EC">
        <w:t xml:space="preserve"> („studija transparentnosti i odgovornosti”),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operativne smjernice Komisije za primatelje sredstava EU-a o upotrebi amblema EU-a u kontekstu programa EU-a za razdoblje 2021. – 2027., objavljene u ožujku 2021.,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svoju Rezoluciju od 17. veljače 2022. s preporukama Komisiji o statutu za europska prekogranična udruženja i neprofitne organizacije</w:t>
      </w:r>
      <w:r w:rsidRPr="00AA18EC">
        <w:rPr>
          <w:rStyle w:val="FootnoteReference"/>
        </w:rPr>
        <w:footnoteReference w:id="7"/>
      </w:r>
      <w:r w:rsidRPr="00AA18EC">
        <w:t>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svoju Rezoluciju od 10. svibnja 2023. sa zapažanjima koja čine sastavni dio Odluke o razrješnici za izvršenje općeg proračuna Europske unije za financijsku godinu 2021., dio III. – Komisija i izvršne agencije</w:t>
      </w:r>
      <w:r w:rsidRPr="00AA18EC">
        <w:rPr>
          <w:rStyle w:val="FootnoteReference"/>
        </w:rPr>
        <w:footnoteReference w:id="8"/>
      </w:r>
      <w:r w:rsidRPr="00AA18EC">
        <w:t>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 xml:space="preserve">uzimajući u obzir svoju Rezoluciju od 10. svibnja 2023. sa zapažanjima koja čine sastavni dio Odluke o razrješnici za izvršenje općeg proračuna Europske unije za </w:t>
      </w:r>
      <w:r w:rsidRPr="00AA18EC">
        <w:lastRenderedPageBreak/>
        <w:t>financijsku godinu 2021., dio I. – Europski parlament</w:t>
      </w:r>
      <w:r w:rsidRPr="00AA18EC">
        <w:rPr>
          <w:rStyle w:val="FootnoteReference"/>
        </w:rPr>
        <w:footnoteReference w:id="9"/>
      </w:r>
      <w:r w:rsidRPr="00AA18EC">
        <w:t>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svoju Rezoluciju od 13. srpnja 2023. o preporukama za reformu pravila Europskog parlamenta o transparentnosti, integritetu, odgovornosti i borbi protiv korupcije</w:t>
      </w:r>
      <w:r w:rsidRPr="00AA18EC">
        <w:rPr>
          <w:rStyle w:val="FootnoteReference"/>
        </w:rPr>
        <w:footnoteReference w:id="10"/>
      </w:r>
      <w:r w:rsidRPr="00AA18EC">
        <w:t>,</w:t>
      </w:r>
    </w:p>
    <w:p w:rsidR="00F241CD" w:rsidRPr="00AA18EC" w:rsidRDefault="00F241CD" w:rsidP="00F241CD">
      <w:pPr>
        <w:pStyle w:val="NormalHanging12a"/>
      </w:pPr>
      <w:r w:rsidRPr="00AA18EC">
        <w:rPr>
          <w:b/>
          <w:i/>
        </w:rPr>
        <w:t>–</w:t>
      </w:r>
      <w:r w:rsidRPr="00AA18EC">
        <w:rPr>
          <w:b/>
          <w:i/>
        </w:rPr>
        <w:tab/>
      </w:r>
      <w:r w:rsidRPr="00AA18EC">
        <w:t>uzimajući u obzir razrješnicu iz 2021. za opći proračun EU-a – Komisija i izvršne agencije</w:t>
      </w:r>
      <w:r w:rsidRPr="00AA18EC">
        <w:rPr>
          <w:vertAlign w:val="superscript"/>
        </w:rPr>
        <w:footnoteReference w:id="11"/>
      </w:r>
      <w:r w:rsidRPr="00AA18EC">
        <w:t>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mišljenja Odbora za vanjske poslove i Odbora za građanske slobode, pravosuđe i unutarnje poslove,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članak 54. Poslovnika,</w:t>
      </w:r>
    </w:p>
    <w:p w:rsidR="00F241CD" w:rsidRPr="00AA18EC" w:rsidRDefault="00F241CD" w:rsidP="00F241CD">
      <w:pPr>
        <w:pStyle w:val="NormalHanging12a"/>
      </w:pPr>
      <w:r w:rsidRPr="00AA18EC">
        <w:t>–</w:t>
      </w:r>
      <w:r w:rsidRPr="00AA18EC">
        <w:tab/>
        <w:t>uzimajući u obzir izvješće Odbora za proračunski nadzor (A9</w:t>
      </w:r>
      <w:r w:rsidRPr="00AA18EC">
        <w:noBreakHyphen/>
        <w:t>0446/2023),</w:t>
      </w:r>
    </w:p>
    <w:p w:rsidR="00F241CD" w:rsidRPr="00AA18EC" w:rsidRDefault="00F241CD" w:rsidP="00F241CD">
      <w:pPr>
        <w:pStyle w:val="NormalHanging12a"/>
      </w:pPr>
      <w:r w:rsidRPr="00AA18EC">
        <w:t>A.</w:t>
      </w:r>
      <w:r w:rsidRPr="00AA18EC">
        <w:tab/>
        <w:t>budući da je EU osmislio mehanizme transparentnosti i odgovornosti kako bi osigurao da se sredstva EU-a dodijeljena korisnicima, uključujući nevladine organizacije, upotrebljavaju djelotvorno, učinkovito i u skladu s vrijednostima, politikama i financijskim pravilima EU-a sadržanima, među ostalim, u Financijskoj uredbi, u kojoj se transparentnost utvrđuje kao jedno od vodećih proračunskih načela, pri čemu se od Komisije zahtijeva da na odgovarajući i pravodoban način stavi na raspolaganje informacije o sredstvima EU-a;</w:t>
      </w:r>
    </w:p>
    <w:p w:rsidR="00F241CD" w:rsidRPr="00AA18EC" w:rsidRDefault="00F241CD" w:rsidP="00F241CD">
      <w:pPr>
        <w:pStyle w:val="NormalHanging12a"/>
      </w:pPr>
      <w:r w:rsidRPr="00AA18EC">
        <w:t>B.</w:t>
      </w:r>
      <w:r w:rsidRPr="00AA18EC">
        <w:tab/>
        <w:t>budući da je EU jedan od najvećih financijera organizacija civilnog društva</w:t>
      </w:r>
      <w:r w:rsidRPr="00AA18EC">
        <w:rPr>
          <w:vertAlign w:val="superscript"/>
        </w:rPr>
        <w:footnoteReference w:id="12"/>
      </w:r>
      <w:r w:rsidRPr="00AA18EC">
        <w:t>;</w:t>
      </w:r>
    </w:p>
    <w:p w:rsidR="00F241CD" w:rsidRPr="00AA18EC" w:rsidRDefault="00F241CD" w:rsidP="00F241CD">
      <w:pPr>
        <w:pStyle w:val="NormalHanging12a"/>
      </w:pPr>
      <w:r w:rsidRPr="00AA18EC">
        <w:t>C.</w:t>
      </w:r>
      <w:r w:rsidRPr="00AA18EC">
        <w:tab/>
        <w:t>budući da civilno društvo obuhvaća raspon od jednostavnih aktivnosti u zajednici do nevladinih organizacija; budući da spektar nevladinih organizacija koje primaju sredstva EU-a obuhvaća širok raspon struktura, načina funkcioniranja, izvora financiranja i područja interesa, što se očituje u različitim projektima koji se financiraju sredstvima EU-a; budući da se u Ugovorima od institucija EU-a i država članica zahtijeva da održavaju otvoren, transparentan i redovit dijalog s predstavničkim udruženjima i civilnim društvom; budući da bi EU i njegove države članice trebali osigurati odgovarajuća financijska sredstva za programe čiji su cilj zaštita i promicanje prava i vrijednosti utvrđenih u Ugovorima EU-a; budući da nevladine organizacije i organizacije civilnog društva imaju važnu ulogu u provedbi tih programa; budući da u nekim slučajevima javna tijela povjeravaju zadaće nevladinim organizacijama i organizacijama civilnog društva; budući da Komisija upravlja sredstvima EU-a izravno, neizravno ili na zajednički način; budući da u skladu s načelom supsidijarnosti Komisija prati sredstva koja su izravno dodijeljena korisnicima, uključujući nevladine organizacije, te izvještava o njima;</w:t>
      </w:r>
    </w:p>
    <w:p w:rsidR="00F241CD" w:rsidRPr="00AA18EC" w:rsidRDefault="00AC5407" w:rsidP="00F241CD">
      <w:pPr>
        <w:pStyle w:val="NormalHanging12a"/>
      </w:pPr>
      <w:r>
        <w:t>D</w:t>
      </w:r>
      <w:r w:rsidR="00F241CD" w:rsidRPr="00AA18EC">
        <w:t>.</w:t>
      </w:r>
      <w:r w:rsidR="00F241CD" w:rsidRPr="00AA18EC">
        <w:tab/>
        <w:t xml:space="preserve">budući da je Komisijin sustav financijske transparentnosti (FTS) glavni izvor javno dostupnih podataka za opsežnu analizu bespovratnih sredstava i ugovora kojima izravno upravlja Komisija; budući da je potrebno napraviti jasnu razliku između javne </w:t>
      </w:r>
      <w:r w:rsidR="00F241CD" w:rsidRPr="00AA18EC">
        <w:lastRenderedPageBreak/>
        <w:t>transparentnosti i transparentnosti u svrhu legitimnog proračunskog nadzora s obzirom na osjetljive kontekste i teme na kojima nevladine organizacije rade;</w:t>
      </w:r>
    </w:p>
    <w:p w:rsidR="00F241CD" w:rsidRPr="00AA18EC" w:rsidRDefault="00AC5407" w:rsidP="00F241CD">
      <w:pPr>
        <w:pStyle w:val="NormalHanging12a"/>
      </w:pPr>
      <w:r>
        <w:t>E</w:t>
      </w:r>
      <w:r w:rsidR="00F241CD" w:rsidRPr="00AA18EC">
        <w:t>.</w:t>
      </w:r>
      <w:r w:rsidR="00F241CD" w:rsidRPr="00AA18EC">
        <w:tab/>
        <w:t>budući da analiza podataka iz sustava financijske transparentnosti pokazuje da su financijske obveze EU-a 2022. prema nevladinim organizacijama, ne uključujući programe EU-a u području obrazovanja i istraživanja, iznosile najmanje 2,6 milijardi EUR, pod izravnim upravljanjem, iz svih programa i fondova EU-a;</w:t>
      </w:r>
    </w:p>
    <w:p w:rsidR="00F241CD" w:rsidRPr="00AA18EC" w:rsidRDefault="00AC5407" w:rsidP="00F241CD">
      <w:pPr>
        <w:pStyle w:val="NormalHanging12a"/>
      </w:pPr>
      <w:r>
        <w:t>F</w:t>
      </w:r>
      <w:r w:rsidR="00F241CD" w:rsidRPr="00AA18EC">
        <w:t>.</w:t>
      </w:r>
      <w:r w:rsidR="00F241CD" w:rsidRPr="00AA18EC">
        <w:tab/>
        <w:t>budući da bi se zahtjevi EU-a u pogledu transparentnosti i odgovornosti te kontrola trebali primjenjivati na sve predstavnike interesnih skupina koji su korisnici sredstava EU-a; budući da je 3377 subjekata</w:t>
      </w:r>
      <w:r w:rsidR="00F241CD" w:rsidRPr="00AA18EC">
        <w:rPr>
          <w:vertAlign w:val="superscript"/>
        </w:rPr>
        <w:footnoteReference w:id="13"/>
      </w:r>
      <w:r w:rsidR="00F241CD" w:rsidRPr="00AA18EC">
        <w:t xml:space="preserve"> upisano u registar transparentnosti EU-a pod kategorijom „Nevladine organizacije, platforme, mreže i slično”; budući da priroda zahtjeva i kontrola mora biti u skladu s kategorizacijom uspostavljenom u registru transparentnosti kako bi se uzeli u obzir svi pravni oblici subjekata, a ne samo nevladine organizacije; budući da zahtjevi i kontrole EU-a ne moraju biti povezani samo s registrom transparentnosti jer bi neki subjekti kojima su odobrena sredstva EU-a možda radije ostali izvan tog registra kako se ne bi ugrozilo njihovo postojanje;</w:t>
      </w:r>
    </w:p>
    <w:p w:rsidR="00F241CD" w:rsidRPr="00AA18EC" w:rsidRDefault="00AC5407" w:rsidP="00F241CD">
      <w:pPr>
        <w:pStyle w:val="NormalHanging12a"/>
      </w:pPr>
      <w:r>
        <w:t>G</w:t>
      </w:r>
      <w:r w:rsidR="00F241CD" w:rsidRPr="00AA18EC">
        <w:t>.</w:t>
      </w:r>
      <w:r w:rsidR="00F241CD" w:rsidRPr="00AA18EC">
        <w:tab/>
        <w:t>budući da bi se zahtjevi EU-a u pogledu transparentnosti i odgovornosti te kontrola trebali primjenjivati na sve korisnike sredstava EU-a, uključujući nevladine organizacije, koji moraju voditi točnu i transparentnu financijsku evidenciju o upotrebi sredstava EU-a i izvoru financijskih sredstava koje koriste za svoje funkcioniranje, s obzirom na to da su odgovorne svojim članovima, donatorima, partnerima i korisnicima u pogledu mjera koje poduzimaju, o izvorima svojeg financiranja, što uključuje i sredstva EU-a, te o odlukama koje donose u ime svojih dionika; budući da države članice utvrđuju pravnu osnovu za nevladine organizacije čiji se status registrira na nacionalnoj razini;</w:t>
      </w:r>
    </w:p>
    <w:p w:rsidR="00F241CD" w:rsidRPr="00AA18EC" w:rsidRDefault="00AC5407" w:rsidP="00F241CD">
      <w:pPr>
        <w:pStyle w:val="NormalHanging12a"/>
      </w:pPr>
      <w:r>
        <w:t>H</w:t>
      </w:r>
      <w:r w:rsidR="00F241CD" w:rsidRPr="00AA18EC">
        <w:t>.</w:t>
      </w:r>
      <w:r w:rsidR="00F241CD" w:rsidRPr="00AA18EC">
        <w:tab/>
        <w:t>budući da je u porastu iskorištavanje sredstava EU-a suprotno pravilima, načelima i vrijednostima EU-a; budući da pojedinci i organizacije paravani, najčešće pod stranim utjecajem, nastoje dobiti financijsku potporu EU-a i poštovanje koje iz nje proizlazi, bez obzira na iznos, no u stvarnosti koriste sredstva EU-a za aktivnosti kojima se ugrožavaju temeljna načela i vrijednosti EU-a te naša predanost demokraciji;</w:t>
      </w:r>
    </w:p>
    <w:p w:rsidR="00F241CD" w:rsidRPr="00AA18EC" w:rsidRDefault="00AC5407" w:rsidP="00F241CD">
      <w:pPr>
        <w:pStyle w:val="NormalHanging12a"/>
      </w:pPr>
      <w:r>
        <w:t>I</w:t>
      </w:r>
      <w:r w:rsidR="00F241CD" w:rsidRPr="00AA18EC">
        <w:t>.</w:t>
      </w:r>
      <w:r w:rsidR="00F241CD" w:rsidRPr="00AA18EC">
        <w:tab/>
        <w:t xml:space="preserve">budući da je Komisija odgovorna za osiguravanje izvršenja proračuna EU-a i poštovanje propisa i vrijednosti EU-a; budući da se u tom pogledu svim ex </w:t>
      </w:r>
      <w:proofErr w:type="spellStart"/>
      <w:r w:rsidR="00F241CD" w:rsidRPr="00AA18EC">
        <w:t>ante</w:t>
      </w:r>
      <w:proofErr w:type="spellEnd"/>
      <w:r w:rsidR="00F241CD" w:rsidRPr="00AA18EC">
        <w:t xml:space="preserve"> i ex post kontrolama mora osigurati da se sredstva EU-a dodjeljuju samo nevladinim organizacijama i subjektima koji djeluju u skladu s pravilima, načelima i vrijednostima EU-a;</w:t>
      </w:r>
    </w:p>
    <w:p w:rsidR="00F241CD" w:rsidRPr="00AA18EC" w:rsidRDefault="00AC5407" w:rsidP="00F241CD">
      <w:pPr>
        <w:pStyle w:val="NormalHanging12a"/>
      </w:pPr>
      <w:r>
        <w:t>J</w:t>
      </w:r>
      <w:r w:rsidR="00F241CD" w:rsidRPr="00AA18EC">
        <w:t>.</w:t>
      </w:r>
      <w:r w:rsidR="00F241CD" w:rsidRPr="00AA18EC">
        <w:tab/>
        <w:t xml:space="preserve">budući da se u razrješnici za opći proračun EU-a i Komisije za 2021. ističe duboka zabrinutost u pogledu financiranja projekata koje provode ili u kojima sudjeluju nevladine organizacije povezane s radikalnim vjerskim i političkim organizacijama; poziva Komisiju da zajamči da se sredstvima EU-a financiraju samo organizacije koje strogo poštuju sve vrijednosti Unije i potiče Komisiju da uspostavi ex </w:t>
      </w:r>
      <w:proofErr w:type="spellStart"/>
      <w:r w:rsidR="00F241CD" w:rsidRPr="00AA18EC">
        <w:t>ante</w:t>
      </w:r>
      <w:proofErr w:type="spellEnd"/>
      <w:r w:rsidR="00F241CD" w:rsidRPr="00AA18EC">
        <w:t xml:space="preserve"> mehanizme kojima će se jasno identificirati nevladine organizacije koje djeluju na teritoriju Unije i u inozemstvu i koje su priznale veze s vjerskim fundamentalističkim mrežama te koje </w:t>
      </w:r>
      <w:r w:rsidR="00F241CD" w:rsidRPr="00AA18EC">
        <w:lastRenderedPageBreak/>
        <w:t>promiču program kojim se potkopavaju vrijednosti Unije</w:t>
      </w:r>
      <w:r w:rsidR="00F241CD" w:rsidRPr="00AA18EC">
        <w:rPr>
          <w:vertAlign w:val="superscript"/>
        </w:rPr>
        <w:footnoteReference w:id="14"/>
      </w:r>
      <w:r w:rsidR="00F241CD" w:rsidRPr="00AA18EC">
        <w:t>;</w:t>
      </w:r>
    </w:p>
    <w:p w:rsidR="00F241CD" w:rsidRPr="00AA18EC" w:rsidRDefault="00AC5407" w:rsidP="00F241CD">
      <w:pPr>
        <w:pStyle w:val="NormalHanging12a"/>
      </w:pPr>
      <w:r>
        <w:t>K</w:t>
      </w:r>
      <w:r w:rsidR="00F241CD" w:rsidRPr="00AA18EC">
        <w:t>.</w:t>
      </w:r>
      <w:r w:rsidR="00F241CD" w:rsidRPr="00AA18EC">
        <w:tab/>
        <w:t>budući da bi se isti visoki standardi odgovornosti i ista pravila o transparentnosti trebali primjenjivati na sve nevladine organizacije koje primaju financijska sredstva EU-a bez obzira na to je li mjesto njihova djelovanja unutar ili izvan Europske unije;</w:t>
      </w:r>
    </w:p>
    <w:p w:rsidR="00F241CD" w:rsidRPr="00AA18EC" w:rsidRDefault="00AC5407" w:rsidP="00F241CD">
      <w:pPr>
        <w:pStyle w:val="NormalHanging12a"/>
      </w:pPr>
      <w:r>
        <w:t>L</w:t>
      </w:r>
      <w:r w:rsidR="00F241CD" w:rsidRPr="00AA18EC">
        <w:t>.</w:t>
      </w:r>
      <w:r w:rsidR="00F241CD" w:rsidRPr="00AA18EC">
        <w:tab/>
        <w:t>budući da se neka razmatranja iznesena u nastavku temelje na nekim nalazima iz studije o transparentnosti i odgovornosti kojima se tematiziraju daljnji nedostaci u pogledu transparentnosti u vezi s informacijama o upotrebi sredstava EU-a od strane Komisije, država članica i korisnika, uključujući nevladine organizacije;</w:t>
      </w:r>
    </w:p>
    <w:p w:rsidR="00F241CD" w:rsidRPr="00AA18EC" w:rsidRDefault="00F241CD" w:rsidP="00F241CD">
      <w:pPr>
        <w:pStyle w:val="NormalHanging12a"/>
        <w:rPr>
          <w:rStyle w:val="BoldItalic"/>
        </w:rPr>
      </w:pPr>
      <w:r w:rsidRPr="00AA18EC">
        <w:rPr>
          <w:rStyle w:val="BoldItalic"/>
        </w:rPr>
        <w:t>Opće napomene</w:t>
      </w:r>
    </w:p>
    <w:p w:rsidR="00F241CD" w:rsidRPr="00AA18EC" w:rsidRDefault="00F241CD" w:rsidP="00F241CD">
      <w:pPr>
        <w:pStyle w:val="NormalHanging12a"/>
      </w:pPr>
      <w:r w:rsidRPr="00AA18EC">
        <w:t>1.</w:t>
      </w:r>
      <w:r w:rsidRPr="00AA18EC">
        <w:tab/>
        <w:t>pozdravlja ključnu ulogu nevladinih organizacija u zastupanju civilnog društva te u promicanju i obrani prava i vrijednosti utvrđenih u Ugovorima i temeljnih prava iz Povelje EU-a o temeljnim pravima (Povelja EU-a); naglašava da bi samo nevladine organizacije čijim se djelovanjem poštuju ta prava i vrijednosti trebale imati pravo na financiranje sredstvima EU-a; potiče sve dionike da prilikom financiranja EU-a sve više pažnje obraćaju na načela i vrijednosti EU-a te prepoznaje raznolikost nevladinih organizacija u pogledu njihove veličine, resursa i osoblja;</w:t>
      </w:r>
    </w:p>
    <w:p w:rsidR="00F241CD" w:rsidRPr="00AA18EC" w:rsidRDefault="00F241CD" w:rsidP="00F241CD">
      <w:pPr>
        <w:pStyle w:val="NormalHanging12a"/>
      </w:pPr>
      <w:r w:rsidRPr="00AA18EC">
        <w:t xml:space="preserve">2. </w:t>
      </w:r>
      <w:r w:rsidRPr="00AA18EC">
        <w:tab/>
        <w:t xml:space="preserve">posebno ističe ulogu korisnika, uključujući nevladine organizacije, u izvršenju proračuna EU-a i obvezu ispunjavanja te uloge uz potpuno poštovanje financijskih pravila i načela EU-a o zaštiti financijskih interesa Unije; podsjeća da su nevladine organizacije koje djeluju na teritoriju EU-a obvezne poštovati nacionalno pravo koje se primjenjuje u svakoj državi članici na koju se odnose njihove aktivnosti te pravo EU-a i međunarodno pravo; ponavlja da su transparentnost i odgovornost EU-a ključne za jačanje povoljnog i pravednog europskog sustava utemeljenog na demokraciji, temeljnim slobodama, </w:t>
      </w:r>
      <w:proofErr w:type="spellStart"/>
      <w:r w:rsidRPr="00AA18EC">
        <w:t>uključivosti</w:t>
      </w:r>
      <w:proofErr w:type="spellEnd"/>
      <w:r w:rsidRPr="00AA18EC">
        <w:t xml:space="preserve"> i raznolikosti;</w:t>
      </w:r>
    </w:p>
    <w:p w:rsidR="00F241CD" w:rsidRPr="00AA18EC" w:rsidRDefault="00F241CD" w:rsidP="00F241CD">
      <w:pPr>
        <w:pStyle w:val="NormalHanging12a"/>
      </w:pPr>
      <w:r w:rsidRPr="00AA18EC">
        <w:t>3.</w:t>
      </w:r>
      <w:r w:rsidRPr="00AA18EC">
        <w:tab/>
        <w:t>ističe da se nevladine organizacije oslanjaju i na javnu financijsku potporu i na privatne donacije, što ne isključuje jedno drugo; podsjeća da je sposobnost traženja, osiguravanja i korištenja resursa koji nisu sredstva EU-a ili javna sredstva na nacionalnoj ili lokalnoj razini ključna za postojanje i djelovanje nevladinih organizacija;</w:t>
      </w:r>
    </w:p>
    <w:p w:rsidR="00F241CD" w:rsidRPr="00AA18EC" w:rsidRDefault="00F241CD" w:rsidP="00F241CD">
      <w:pPr>
        <w:pStyle w:val="NormalHanging12a"/>
      </w:pPr>
      <w:r w:rsidRPr="00AA18EC">
        <w:t>4.</w:t>
      </w:r>
      <w:r w:rsidRPr="00AA18EC">
        <w:tab/>
        <w:t>ističe da organizacije civilnog društva zaslužuju najveće moguće poštovanje i zahvalnost za svoj svakodnevni rad; prepoznaje svakodnevni rad organizacija civilnog društva diljem Europe i svijeta te potvrđuje da te nevladine organizacije zaslužuju najveću pohvalu i potporu; naglašava važnost zadovoljavanja financijskih i drugih potreba tih organizacija;</w:t>
      </w:r>
    </w:p>
    <w:p w:rsidR="00F241CD" w:rsidRPr="00AA18EC" w:rsidRDefault="00F241CD" w:rsidP="00F241CD">
      <w:pPr>
        <w:pStyle w:val="NormalHanging12a"/>
      </w:pPr>
      <w:r w:rsidRPr="00AA18EC">
        <w:t>5.</w:t>
      </w:r>
      <w:r w:rsidRPr="00AA18EC">
        <w:tab/>
        <w:t xml:space="preserve">pohvaljuje ključnu ulogu nevladinih organizacija u EU-u i zemljama izvan EU-a u obrani vladavine prava i demokratskih vrijednosti, borbi protiv korupcije i promicanju ljudskih prava i demokracije; ponavlja da u zemljama s autoritarnim ili nedemokratskim režimima nevladine organizacije često predstavljaju posljednju liniju obrane demokracije koju autoritarni režimi diljem svijeta pokušavaju ušutkati, među ostalim putem usvojenog zakonodavstva i diskriminirajućih obveza, te ih je stoga potrebno poduprijeti i zaštititi; poziva Komisiju da u tom kontekstu razmotri mogućnost korištenja zaštitnih klauzula i mehanizama; naglašava važnost osiguravanja </w:t>
      </w:r>
      <w:r w:rsidRPr="00AA18EC">
        <w:lastRenderedPageBreak/>
        <w:t>odgovarajućeg i transparentnog financiranja EU-a za nevladine organizacije i subjekte aktivne u tim područjima;</w:t>
      </w:r>
    </w:p>
    <w:p w:rsidR="00F241CD" w:rsidRPr="00AA18EC" w:rsidRDefault="00F241CD" w:rsidP="00F241CD">
      <w:pPr>
        <w:pStyle w:val="NormalHanging12a"/>
      </w:pPr>
      <w:r w:rsidRPr="00AA18EC">
        <w:t>6.</w:t>
      </w:r>
      <w:r w:rsidRPr="00AA18EC">
        <w:tab/>
        <w:t>pozdravlja djelovanje nevladinih organizacija u područjima sukoba kako bi se osiguralo da humanitarna pomoć brzo i učinkovito stigne do civilnog stanovništva i onih kojima je pomoć potrebna; prepoznaje važnost nevladinih organizacija koje osiguravaju da EU, kao najveći donator razvojne pomoći na svijetu, nastavi doprinositi promicanju stabilnosti, prevladavanju siromaštva i unapređenju globalnog razvoja;</w:t>
      </w:r>
    </w:p>
    <w:p w:rsidR="00F241CD" w:rsidRPr="00AA18EC" w:rsidRDefault="00F241CD" w:rsidP="00F241CD">
      <w:pPr>
        <w:pStyle w:val="NormalHanging12a"/>
      </w:pPr>
      <w:r w:rsidRPr="00AA18EC">
        <w:t>7.</w:t>
      </w:r>
      <w:r w:rsidRPr="00AA18EC">
        <w:tab/>
        <w:t>ističe da bi se u praksi u zakonodavnim postupcima mogli zanemariti stavovi lokalnih, regionalnih i nacionalnih nevladinih organizacija; smatra da se male nevladine organizacije često suočavaju s poteškoćama u pristupu financijskim sredstvima EU-a zbog složenih administrativnih postupaka; poziva Komisiju da dodatno pojednostavni i racionalizira proceduru kako bi se manjim nevladinim organizacijama, među ostalim na lokalnoj razini, omogućilo da se prijave i iskoriste sredstva EU-a; ističe da se prioriteti i potrebe manjih nevladinih organizacija često zanemaruju ili im se posvećuje manja pozornost, unatoč činjenici da one često najbolje poznaju situaciju i obavljaju golemu količinu posla; naglašava da bi se rad malih organizacija trebao najviše poštovati i da bi im sredstva EU-a trebala biti dostupnija jer predstavljaju važan element kojim se jača raznolikost diljem Europe i izvan nje; uviđa da nevladine organizacije u Europi imaju ključnu potpornu ulogu u nadopunjavanju javnih usluga;</w:t>
      </w:r>
    </w:p>
    <w:p w:rsidR="00F241CD" w:rsidRPr="00AA18EC" w:rsidRDefault="00F241CD" w:rsidP="00F241CD">
      <w:pPr>
        <w:pStyle w:val="NormalHanging12a"/>
      </w:pPr>
      <w:r w:rsidRPr="00AA18EC">
        <w:t>8.</w:t>
      </w:r>
      <w:r w:rsidRPr="00AA18EC">
        <w:tab/>
        <w:t>i dalje je duboko zabrinut zbog prijetnji nevladinim organizacijama i neopravdanih napada na njih u nekim državama članicama, među ostalim predlaganjem i donošenjem zakonodavstva kojim se nevladinim organizacijama nameću diskriminirajuće obveze koje ograničavaju ili zabranjuju njihovo djelovanje te zastrašivanjem i uznemiravanjem njihovih zaposlenika na internetu i izvan njega, negativnim javnim izjavama i kampanjama ocrnjivanja, verbalnim prijetnjama te pravnim i fizičkim napadima; naglašava da se neke nevladine organizacije također suočavaju s prekomjernim administrativnim kontrolama ili revizijama, politički motiviranim rezovima u financiranju i prestrogim pravnim zahtjevima za njihovo osnivanje i registraciju; ustraje u tome da nevladine organizacije moraju biti zaštićene i da bi trebale primati odgovarajuća financijska sredstva i potporu;</w:t>
      </w:r>
    </w:p>
    <w:p w:rsidR="00F241CD" w:rsidRPr="00AA18EC" w:rsidRDefault="00F241CD" w:rsidP="00F241CD">
      <w:pPr>
        <w:pStyle w:val="NormalHanging12a"/>
      </w:pPr>
      <w:r w:rsidRPr="00AA18EC">
        <w:t>9.</w:t>
      </w:r>
      <w:r w:rsidRPr="00AA18EC">
        <w:tab/>
        <w:t>uvjeren je da su transparentnost i odgovornost također ključni čimbenici za nevladine organizacije te druge profitne ili neprofitne subjekte, kako bi predstavili svoj vrijedan rad, bili prepoznati i izgradili svoju vjerodostojnost; smatra da bi se posebne odredbe trebale primjenjivati na nevladine organizacije koje djeluju potpuno u skladu s vrijednostima i financijskim pravilima EU-a te uz potpuno poštovanje Povelje EU-a, istodobno djelujući u demokratski spornim okruženjima; smatra da se europskim građanima mora zajamčiti da EU zna točno kako se koriste sva sredstva EU-a; stoga je zabrinut zbog nedostatka informacija, podataka i kontrole o tome tko i za što prima sredstva EU-a unatoč postojećim zahtjevima u pogledu transparentnosti; podsjeća da bi zahtjevi u pogledu transparentnosti i odgovornosti uvijek trebali biti u skladu s međunarodnim pravom i pravom o ljudskim pravima, posebno u pogledu ostvarivanja građanskih sloboda, te bi trebali ostati strogo nužni i razmjerni konkretnim ciljevima koji se žele postići;</w:t>
      </w:r>
    </w:p>
    <w:p w:rsidR="00F241CD" w:rsidRPr="00AA18EC" w:rsidRDefault="00F241CD" w:rsidP="00F241CD">
      <w:pPr>
        <w:pStyle w:val="NormalHanging12a"/>
      </w:pPr>
      <w:r w:rsidRPr="00AA18EC">
        <w:t>10.</w:t>
      </w:r>
      <w:r w:rsidRPr="00AA18EC">
        <w:tab/>
        <w:t>podsjeća da se transparentnost i odgovornost ne bi trebale koristiti za ograničavanje prostora za neovisno civilno društvo ili za ušutkavanje kritičara;</w:t>
      </w:r>
    </w:p>
    <w:p w:rsidR="00F241CD" w:rsidRPr="00AA18EC" w:rsidRDefault="00F241CD" w:rsidP="00F241CD">
      <w:pPr>
        <w:pStyle w:val="NormalHanging12a"/>
      </w:pPr>
      <w:r w:rsidRPr="00AA18EC">
        <w:t>11.</w:t>
      </w:r>
      <w:r w:rsidRPr="00AA18EC">
        <w:tab/>
        <w:t xml:space="preserve">ističe da je iznimno važno zajamčiti da obveze EU-a u pogledu transparentnosti i </w:t>
      </w:r>
      <w:r w:rsidRPr="00AA18EC">
        <w:lastRenderedPageBreak/>
        <w:t>odgovornosti ne ugrožavaju krajnje korisnike sredstava EU-a; smatra da bi se, u propisno opravdanim slučajevima, posebno za nevladine organizacije koje djeluju u zemljama kojima upravljaju autoritarni režimi ili u zemljama s priznatim problemima u pogledu vladavine prava koji negativno utječu na nevladine organizacije i sa smanjenim prostorom za građansko djelovanje, u kojima bi javno širenje informacija o identitetu ili radu tih nevladinih organizacija moglo dovesti do odmazde, čime bi se ugrozilo postojanje tih nevladinih organizacija te sigurnost i zaštita njihova osoblja, zahtjevi javne transparentnosti trebali iznimno primjenjivati na odgovarajući način;</w:t>
      </w:r>
    </w:p>
    <w:p w:rsidR="00F241CD" w:rsidRPr="00AA18EC" w:rsidRDefault="00F241CD" w:rsidP="00F241CD">
      <w:pPr>
        <w:pStyle w:val="NormalHanging12a"/>
      </w:pPr>
      <w:r w:rsidRPr="00AA18EC">
        <w:t>12.</w:t>
      </w:r>
      <w:r w:rsidRPr="00AA18EC">
        <w:tab/>
        <w:t>smatra da su se određeni navodni slučajevi korupcije koji su doveli do nezadovoljstva javnosti, kao što je „</w:t>
      </w:r>
      <w:proofErr w:type="spellStart"/>
      <w:r w:rsidRPr="00AA18EC">
        <w:t>Katargate</w:t>
      </w:r>
      <w:proofErr w:type="spellEnd"/>
      <w:r w:rsidRPr="00AA18EC">
        <w:t>”, mogli spriječiti dosljednom provedbom postojećih zahtjeva u pogledu transparentnosti i obvezom uključenih subjekata, među ostalim nevladinih organizacija, da otkriju svoje izvore financiranja i svoje unutarnje strukture; napominje da su u nekim slučajevima uključeni subjekti profitirali od sredstava EU-a;</w:t>
      </w:r>
    </w:p>
    <w:p w:rsidR="00F241CD" w:rsidRPr="00AA18EC" w:rsidRDefault="00F241CD" w:rsidP="00F241CD">
      <w:pPr>
        <w:pStyle w:val="NormalHanging12a"/>
      </w:pPr>
      <w:r w:rsidRPr="00AA18EC">
        <w:t>13.</w:t>
      </w:r>
      <w:r w:rsidRPr="00AA18EC">
        <w:tab/>
        <w:t xml:space="preserve">osuđuje sve veće iskorištavanje sredstava EU-a protiv načela i vrijednosti EU-a, osobito kada upotreba i prijenos drugim organizacijama nisu u potpunosti </w:t>
      </w:r>
      <w:proofErr w:type="spellStart"/>
      <w:r w:rsidRPr="00AA18EC">
        <w:t>sljedivi</w:t>
      </w:r>
      <w:proofErr w:type="spellEnd"/>
      <w:r w:rsidRPr="00AA18EC">
        <w:t>; upozorava na opasnost da bi se sredstva EU-a u konačnici mogla iskoristiti u korumpiranim krugovima i biti podložna prijevarama i nepravilnostima, vanjskom upletanju ili infiltraciji; naglašava važnost „transparentnosti krajnjih korisnika” za sredstva EU-a;</w:t>
      </w:r>
    </w:p>
    <w:p w:rsidR="00F241CD" w:rsidRPr="00AA18EC" w:rsidRDefault="00F241CD" w:rsidP="00F241CD">
      <w:pPr>
        <w:pStyle w:val="NormalHanging12a"/>
        <w:rPr>
          <w:b/>
          <w:i/>
        </w:rPr>
      </w:pPr>
      <w:r w:rsidRPr="00AA18EC">
        <w:rPr>
          <w:b/>
          <w:i/>
        </w:rPr>
        <w:t>Nevladine organizacije i subjekti u kontekstu proračunskog nadzora</w:t>
      </w:r>
    </w:p>
    <w:p w:rsidR="00F241CD" w:rsidRPr="00AA18EC" w:rsidRDefault="00F241CD" w:rsidP="00F241CD">
      <w:pPr>
        <w:pStyle w:val="NormalHanging12a"/>
      </w:pPr>
      <w:r w:rsidRPr="00AA18EC">
        <w:t>14.</w:t>
      </w:r>
      <w:r w:rsidRPr="00AA18EC">
        <w:tab/>
        <w:t>ponovno ističe temeljnu važnost povjerenja javnosti i potpore nevladinim organizacijama; priznaje da pojmovi koji se upotrebljavaju za opisivanje tih organizacija podliježu različitim pravnim i javnim tumačenjima koja su različita u državama članicama;</w:t>
      </w:r>
    </w:p>
    <w:p w:rsidR="00F241CD" w:rsidRPr="00AA18EC" w:rsidRDefault="00F241CD" w:rsidP="00F241CD">
      <w:pPr>
        <w:pStyle w:val="NormalHanging12a"/>
      </w:pPr>
      <w:r w:rsidRPr="00AA18EC">
        <w:t>15.</w:t>
      </w:r>
      <w:r w:rsidRPr="00AA18EC">
        <w:tab/>
        <w:t xml:space="preserve">naglašava da je pojam nevladine organizacije širok krovni pojam koji obuhvaća mnogo različitih vrsta subjekata: od velikih međunarodnih organizacija do malih regionalnih ili lokalnih organizacija, organizacija kojima uglavnom upravljaju zaposlenici ili organizacija koje se uglavnom sastoje od volontera; ističe da se tema kojom se bave nevladine organizacije i način provedbe također mogu znatno razlikovati; shvaća da je zbog te raznolikosti teško imati zajedničku definiciju nevladinih organizacija unutar EU-a; međutim, ističe prednosti uspostave usklađenog pristupa na razini EU-a, među ostalim putem usklađene definicije, čija je dodana vrijednost veća transparentnost, odgovornost, predvidljivost i povjerenje javnosti; stoga potiče </w:t>
      </w:r>
      <w:proofErr w:type="spellStart"/>
      <w:r w:rsidRPr="00AA18EC">
        <w:t>suzakonodavce</w:t>
      </w:r>
      <w:proofErr w:type="spellEnd"/>
      <w:r w:rsidRPr="00AA18EC">
        <w:t xml:space="preserve"> da postignu dogovor o takvom usklađenom pristupu nevladinim organizacijama i relevantnim subjektima na razini EU-a, čime bi se znatno pomoglo europskim postupcima proračunskog nadzora, posebno u slučaju prekograničnih udruženja; ponavlja da je najvažnije osigurati transparentnost i odgovornost za sve subjekte kojima se dodjeljuju sredstva EU-a; uviđa prednost uspostave usklađenog pristupa tome što ti subjekti predstavljaju za EU i njegova tijela u različitim kontekstima;</w:t>
      </w:r>
    </w:p>
    <w:p w:rsidR="00F241CD" w:rsidRPr="00AA18EC" w:rsidRDefault="00F241CD" w:rsidP="00F241CD">
      <w:pPr>
        <w:pStyle w:val="NormalHanging12a"/>
      </w:pPr>
      <w:r w:rsidRPr="00AA18EC">
        <w:t>16.</w:t>
      </w:r>
      <w:r w:rsidRPr="00AA18EC">
        <w:tab/>
        <w:t>prima na znanje prijedlog Komisije da se u prijedlog preinake Financijske uredbe iz 2022. uključi zajednička definicija nevladinih organizacija; podsjeća da je Parlament u svojem mandatu zatražio dodatno pojašnjenje definicije nevladine organizacije, posebno u pogledu stupnja formalnog postojanja, transparentnosti i odgovornosti njezinih članova ili osnivača; potiče Komisiju da provede detaljno savjetovanje o definiciji nevladine organizacije, uz sudjelovanje dužnosnika država članica i predstavnika nevladinih organizacija, uzimajući u obzir i metodologiju koja je primijenjena pri definiranju pojma „malo i srednje poduzeće” (MSP);</w:t>
      </w:r>
    </w:p>
    <w:p w:rsidR="00F241CD" w:rsidRPr="00AA18EC" w:rsidRDefault="00F241CD" w:rsidP="00F241CD">
      <w:pPr>
        <w:pStyle w:val="NormalHanging12a"/>
      </w:pPr>
      <w:r w:rsidRPr="00AA18EC">
        <w:lastRenderedPageBreak/>
        <w:t>17.</w:t>
      </w:r>
      <w:r w:rsidRPr="00AA18EC">
        <w:tab/>
        <w:t>smatra da nevladinu organizaciju ne bi trebale u potpunosti financirati država i Komisija kako bi se smatrala nevladinom organizacijom;</w:t>
      </w:r>
    </w:p>
    <w:p w:rsidR="00F241CD" w:rsidRPr="00AA18EC" w:rsidRDefault="00AA18EC" w:rsidP="00F241CD">
      <w:pPr>
        <w:pStyle w:val="NormalHanging12a"/>
      </w:pPr>
      <w:r>
        <w:t>18.</w:t>
      </w:r>
      <w:r>
        <w:tab/>
      </w:r>
      <w:r w:rsidR="00F241CD" w:rsidRPr="00AA18EC">
        <w:t xml:space="preserve">konstatira da se Komisija koristi izrazima „nevladine organizacije” i „neprofitne organizacije”, iako u sustavu financijske transparentnosti nema jasne razlike; žali zbog toga što to dovodi do nesigurnosti u dodjeli i praćenju sredstava EU-a te bi moglo dovesti do pogrešne percepcije u pogledu iznosa za financiranje nevladinih organizacija i subjekata; napominje da se u okviru najčešćih pitanja u vezi sa sustavom financijske transparentnosti pruža definicija nevladinih organizacija čiji je neprofitni status ključan element i podložan je potvrđivanju; žali zbog toga što je ta nejasna razlika moguća jer dosad ne postoji usklađeni pristup EU-a nevladinim organizacijama te se upotrebljava </w:t>
      </w:r>
      <w:proofErr w:type="spellStart"/>
      <w:r w:rsidR="00F241CD" w:rsidRPr="00AA18EC">
        <w:t>samoklasifikacija</w:t>
      </w:r>
      <w:proofErr w:type="spellEnd"/>
      <w:r w:rsidR="00F241CD" w:rsidRPr="00AA18EC">
        <w:t xml:space="preserve"> subjekata za sustav financijske transparentnosti, koji se temelji isključivo na pravilima koja se mogu razlikovati među državama članicama; nadalje, poziva da se sustavom financijske transparentnosti osigura odgovarajuća kategorizacija različitih vrsta nevladinih organizacija ili neprofitnih organizacija kako bi se izbjegle situacije u kojima postoji mala ili ne postoji nikakva razlika između određenih vrsta organizacija i u kojima se sveučilišta, istraživački instituti, volonterske organizacije i druge nevladine organizacije smatraju istovjetnima u bazi podataka sustava financijske transparentnosti;</w:t>
      </w:r>
    </w:p>
    <w:p w:rsidR="00F241CD" w:rsidRPr="00AA18EC" w:rsidRDefault="00F241CD" w:rsidP="00F241CD">
      <w:pPr>
        <w:pStyle w:val="NormalHanging12a"/>
        <w:rPr>
          <w:b/>
          <w:i/>
        </w:rPr>
      </w:pPr>
      <w:r w:rsidRPr="00AA18EC">
        <w:rPr>
          <w:b/>
          <w:i/>
        </w:rPr>
        <w:t>Prema većoj transparentnosti EU-a i odgovornosti u pogledu sredstava EU-a</w:t>
      </w:r>
    </w:p>
    <w:p w:rsidR="00F241CD" w:rsidRPr="00AA18EC" w:rsidRDefault="00F241CD" w:rsidP="00F241CD">
      <w:pPr>
        <w:pStyle w:val="NormalHanging12a"/>
      </w:pPr>
      <w:r w:rsidRPr="00AA18EC">
        <w:t>19.</w:t>
      </w:r>
      <w:r w:rsidRPr="00AA18EC">
        <w:tab/>
        <w:t>smatra da bi se prijevare, sukobi interesa, dvostruko financiranje, korupcija i pranje novca ili pronevjere morali spriječiti i suzbiti u svim situacijama i u vezi sa svim primateljima bez obzira na njihovu prirodu i pravni status; zabrinut je zbog toga što se tijelu nadležnom za davanje razrješnice ne dostavlja dovoljno podataka o takvim slučajevima; podsjeća da svi podnositelji zahtjeva i korisnici sredstava EU-a, uključujući nevladine organizacije, podliježu financijskim pravilima EU-a;</w:t>
      </w:r>
    </w:p>
    <w:p w:rsidR="00F241CD" w:rsidRPr="00AA18EC" w:rsidRDefault="00F241CD" w:rsidP="00F241CD">
      <w:pPr>
        <w:pStyle w:val="NormalHanging12a"/>
      </w:pPr>
      <w:r w:rsidRPr="00AA18EC">
        <w:t>20.</w:t>
      </w:r>
      <w:r w:rsidRPr="00AA18EC">
        <w:tab/>
        <w:t>ističe da je sustav ranog otkrivanja i isključenja (EDES) važan instrument za zaštitu financijskih interesa Unije kojim se osigurava višerazinska zaštita ranim otkrivanjem osoba ili subjekata koji predstavljaju rizike koji ugrožavaju financijske interese Unije; pozdravlja prijedlog Komisije za preinaku Financijske uredbe, koja uključuje proširenje EDES-a na podijeljeno upravljanje i dodaje nove osnove za isključenje</w:t>
      </w:r>
      <w:r w:rsidRPr="00AA18EC">
        <w:rPr>
          <w:rStyle w:val="FootnoteReference"/>
        </w:rPr>
        <w:footnoteReference w:id="15"/>
      </w:r>
      <w:r w:rsidRPr="00AA18EC">
        <w:t>; poziva Komisiju da EDES učini potpuno operativnim kako bi se omogućilo efektivno isključivanje korisnika, uključujući i nevladine organizacije, na temelju Financijske uredbe, iz daljnjeg pristupa sredstvima EU-a;</w:t>
      </w:r>
    </w:p>
    <w:p w:rsidR="00F241CD" w:rsidRPr="00AA18EC" w:rsidRDefault="00F241CD" w:rsidP="00F241CD">
      <w:pPr>
        <w:pStyle w:val="NormalHanging12a"/>
      </w:pPr>
      <w:r w:rsidRPr="00AA18EC">
        <w:t>21.</w:t>
      </w:r>
      <w:r w:rsidRPr="00AA18EC">
        <w:tab/>
        <w:t>zabrinut je zbog toga što obveze transparentnosti mogu biti nedostatne, posebno kada se sredstva prenose duž lanca i upotrebljava za sufinanciranje zajedničkih projekata s drugim donatorima; smatra problematičnim to što sustav financijske transparentnosti pruža samo informacije o bespovratnim sredstvima koja je Komisija izravno dodijelila u okviru izravnog upravljanja, ali ne i pojedinosti o sredstvima koja su neizravno primljena od korisnika i partnera koji su u pravnom odnosu s Komisijom;</w:t>
      </w:r>
    </w:p>
    <w:p w:rsidR="00F241CD" w:rsidRPr="00AA18EC" w:rsidRDefault="00F241CD" w:rsidP="00F241CD">
      <w:pPr>
        <w:pStyle w:val="NormalHanging12a"/>
      </w:pPr>
      <w:r w:rsidRPr="00AA18EC">
        <w:t>22.</w:t>
      </w:r>
      <w:r w:rsidRPr="00AA18EC">
        <w:tab/>
        <w:t xml:space="preserve">naglašava da sve države članice ne pružaju istu razinu informacija o bespovratnim sredstvima te da postojeća baza podataka EU-a nije dovoljno dosljedna i usklađena; poziva Komisiju da ojača transparentnost i odgovornost u slučajevima podijeljenog i </w:t>
      </w:r>
      <w:r w:rsidRPr="00AA18EC">
        <w:lastRenderedPageBreak/>
        <w:t>neizravnog upravljanja, i to tako da provjeri preraspodjelu sredstava i njihovu upotrebu sve do krajnjih primatelja, u skladu s prijedlogom preinake Financijske uredbe;</w:t>
      </w:r>
    </w:p>
    <w:p w:rsidR="00F241CD" w:rsidRPr="00AA18EC" w:rsidRDefault="00F241CD" w:rsidP="00F241CD">
      <w:pPr>
        <w:pStyle w:val="NormalHanging12a"/>
      </w:pPr>
      <w:r w:rsidRPr="00AA18EC">
        <w:t>23.</w:t>
      </w:r>
      <w:r w:rsidRPr="00AA18EC">
        <w:tab/>
        <w:t xml:space="preserve">poziva Komisiju da razmjerno ojača mehanizme </w:t>
      </w:r>
      <w:r w:rsidRPr="00AA18EC">
        <w:rPr>
          <w:i/>
        </w:rPr>
        <w:t xml:space="preserve">ex </w:t>
      </w:r>
      <w:proofErr w:type="spellStart"/>
      <w:r w:rsidRPr="00AA18EC">
        <w:rPr>
          <w:i/>
        </w:rPr>
        <w:t>ante</w:t>
      </w:r>
      <w:proofErr w:type="spellEnd"/>
      <w:r w:rsidRPr="00AA18EC">
        <w:t xml:space="preserve"> kontrole, uključujući odgovarajuće nasumične provjere; smatra da postoje ozbiljni nedostaci u </w:t>
      </w:r>
      <w:r w:rsidRPr="00AA18EC">
        <w:rPr>
          <w:i/>
        </w:rPr>
        <w:t>ex post</w:t>
      </w:r>
      <w:r w:rsidRPr="00AA18EC">
        <w:t xml:space="preserve"> kontroli korištenja sredstava EU-a i potiče Komisiju da u suradnji s državama članicama izradi detaljnu analizu s jasnim prijedlozima za jačanje njihove kvalitete, iznosa i pravilnosti, uz potporu uhodane i centralizirane radne skupine za proračunsku kontrolu u okviru Komisije za sve predstavnike interesnih skupina, koja raspolaže jasnim mandatom, istražnim kapacitetima i resursima;</w:t>
      </w:r>
    </w:p>
    <w:p w:rsidR="00F241CD" w:rsidRPr="00AA18EC" w:rsidRDefault="00F241CD" w:rsidP="00F241CD">
      <w:pPr>
        <w:pStyle w:val="NormalHanging12a"/>
      </w:pPr>
      <w:r w:rsidRPr="00AA18EC">
        <w:t>24.</w:t>
      </w:r>
      <w:r w:rsidRPr="00AA18EC">
        <w:tab/>
      </w:r>
      <w:r w:rsidRPr="00AA18EC">
        <w:tab/>
        <w:t xml:space="preserve">prepoznaje važnost transparentnosti u svim aspektima aktivnosti koje financira EU kako bi se zajamčila razborita i odgovorna upotreba sredstava; prima na znanje zabrinutost u pogledu mogućeg vanjskog upletanja u oblikovanje politika EU-a i da postojeći sustav ne može u potpunosti spriječiti aktere da osnuju, financiraju i/ili kooptiraju korisnike sredstava, uključujući nevladine organizacije, radi promicanja lažnih diskursa, među ostalim dezinformiranjem, kao što je navodno bio slučaj s </w:t>
      </w:r>
      <w:proofErr w:type="spellStart"/>
      <w:r w:rsidRPr="00AA18EC">
        <w:t>Katargateom</w:t>
      </w:r>
      <w:proofErr w:type="spellEnd"/>
      <w:r w:rsidRPr="00AA18EC">
        <w:t>; smatra da postojeća pitanja ne bi trebala dovesti do stigmatizacije svih nevladinih organizacija jer većina nevladinih organizacija poštuje i promiče demokratska načela i vrijednosti EU-a; ističe da se proračun EU-a ne smije koristiti za lobiranje protiv demokratskih načela i vrijednosti EU-a;</w:t>
      </w:r>
    </w:p>
    <w:p w:rsidR="00F241CD" w:rsidRPr="00AA18EC" w:rsidRDefault="00F241CD" w:rsidP="00F241CD">
      <w:pPr>
        <w:pStyle w:val="NormalHanging12a"/>
      </w:pPr>
      <w:r w:rsidRPr="00AA18EC">
        <w:t>25.</w:t>
      </w:r>
      <w:r w:rsidRPr="00AA18EC">
        <w:tab/>
        <w:t>poziva Komisiju da od svih korisnika, uključujući nevladine organizacije, koje primaju bespovratna sredstva EU-a zatraži da objave pojedinosti o svim sredstvima primljenima iz drugih izvora u vezi s projektima koje EU sufinancira tijekom petogodišnjeg razdoblja, uz zadržavanje načela povjerljivosti, posebno u slučaju nevladinih organizacija ili korisnika koji su suočeni s ozbiljnim prijetnjama od odmazde,  ističe da financiranje nevladinih organizacija od strane aktera izvan EU-a može biti legitiman izvor financiranja, ali naglašava da bez jasnih pravila o transparentnosti u pogledu načela povjerljivosti takve mogućnosti financiranja mogu otvoriti prostor za zlouporabu i neprimjeren utjecaj aktera iz trećih zemalja; poziva institucije EU-a da poboljšaju provedbu svojih standarda transparentnosti, uključujući obvezno izvješćivanje o aktivnostima lobiranja;</w:t>
      </w:r>
    </w:p>
    <w:p w:rsidR="00E3690B" w:rsidRPr="00E3690B" w:rsidRDefault="00F241CD" w:rsidP="00F241CD">
      <w:pPr>
        <w:pStyle w:val="NormalHanging12a"/>
      </w:pPr>
      <w:r w:rsidRPr="00AA18EC">
        <w:t>26.</w:t>
      </w:r>
      <w:r w:rsidRPr="00AA18EC">
        <w:tab/>
        <w:t>potiče države članice da uspostave nacionalne zakone o registru lobista i registru transparentnosti, kojima bi se također trebalo zahtijevati otkrivanje podataka o donatorima, uključujući međunarodne donatore, i izvora financiranja, uz jednake zahtjeve u pogledu transparentnosti za sve predstavnike interesnih skupina bez obzira na njihovu prirodu i pravni status;</w:t>
      </w:r>
    </w:p>
    <w:p w:rsidR="00F241CD" w:rsidRPr="00AA18EC" w:rsidRDefault="00F241CD" w:rsidP="00F241CD">
      <w:pPr>
        <w:pStyle w:val="NormalHanging12a"/>
      </w:pPr>
      <w:r w:rsidRPr="00AA18EC">
        <w:t>27.</w:t>
      </w:r>
      <w:r w:rsidRPr="00AA18EC">
        <w:tab/>
        <w:t>podsjeća da su države članice odgovorne za registraciju, kontrolu te prijavljivanje slučajeva otkrivanja prijevara, zlouporabe sredstava ili presuda o pranju novca ili istraga koje su u tijeku; smatra da nacionalne uprave, koje su bliže terenu, predstavljaju prvu učinkovitu razinu kontrole i praćenja organizacija koje djeluju u suprotnosti s pravilima i vrijednostima EU-a, u cilju osnaživanja napora da se spriječi, otkrije i suzbije prijevara ili zlouporaba sredstava;</w:t>
      </w:r>
    </w:p>
    <w:p w:rsidR="00F241CD" w:rsidRPr="00AA18EC" w:rsidRDefault="00F241CD" w:rsidP="00F241CD">
      <w:pPr>
        <w:pStyle w:val="NormalHanging12a"/>
      </w:pPr>
      <w:r w:rsidRPr="00AA18EC">
        <w:t>28.</w:t>
      </w:r>
      <w:r w:rsidRPr="00AA18EC">
        <w:tab/>
        <w:t xml:space="preserve">poziva nacionalna tijela da poboljšaju svoje sustave transparentnosti i odgovornosti radi identifikacije svih organizacija ili subjekata koji djeluju u suprotnosti s pravilima i vrijednostima EU-a te da poduzmu pravne i administrativne mjere kojima će se olakšati djelovanje na razini EU-a te Komisiji olakšati i omogućiti brže uključivanje dotičnih subjekata u svoje sustave; potiče Komisiju da u EDES uključi sve predstavnike </w:t>
      </w:r>
      <w:r w:rsidRPr="00AA18EC">
        <w:lastRenderedPageBreak/>
        <w:t>interesnih skupina koji krše pravila i vrijednosti EU-a te da ih u skladu s time isključi iz financiranja EU-a, u skladu s Financijskom uredbom koja se primjenjuje na proračun EU-a;</w:t>
      </w:r>
    </w:p>
    <w:p w:rsidR="00F241CD" w:rsidRPr="00AA18EC" w:rsidRDefault="00283A65" w:rsidP="00F241CD">
      <w:pPr>
        <w:pStyle w:val="NormalHanging12a"/>
      </w:pPr>
      <w:r>
        <w:t>29</w:t>
      </w:r>
      <w:r w:rsidR="00F241CD" w:rsidRPr="00AA18EC">
        <w:t>.</w:t>
      </w:r>
      <w:r w:rsidR="00F241CD" w:rsidRPr="00AA18EC">
        <w:tab/>
        <w:t>smatra da državama članicama ne bi trebalo ostaviti prostora da nevladine organizacije podvrgavaju krajnje ograničavajućim zahtjevima i obvezama; podsjeća da je Komisija pokrenula postupak zbog povrede protiv Mađarske kada je 2017. uvela zakon o vanjskom upletanju te da je Sud Europske unije u svojoj presudi od 18. lipnja 2020.</w:t>
      </w:r>
      <w:r w:rsidR="00F241CD" w:rsidRPr="00AA18EC">
        <w:rPr>
          <w:rStyle w:val="FootnoteReference"/>
        </w:rPr>
        <w:footnoteReference w:id="16"/>
      </w:r>
      <w:r w:rsidR="00F241CD" w:rsidRPr="00AA18EC">
        <w:t xml:space="preserve"> u predmetu Europska komisija / Mađarska naveo da se pravo na slobodu udruživanja, a time i pravo EU-a, krši ako sistemske obveze nametnute organizacijama civilnog društva znatno otežavaju djelovanje i rad organizacija koje podliježu tim obvezama;</w:t>
      </w:r>
    </w:p>
    <w:p w:rsidR="00F241CD" w:rsidRPr="00AA18EC" w:rsidRDefault="00283A65" w:rsidP="00F241CD">
      <w:pPr>
        <w:pStyle w:val="NormalHanging12a"/>
      </w:pPr>
      <w:r>
        <w:t>30</w:t>
      </w:r>
      <w:r w:rsidR="00F241CD" w:rsidRPr="00AA18EC">
        <w:t>.</w:t>
      </w:r>
      <w:r w:rsidR="00F241CD" w:rsidRPr="00AA18EC">
        <w:tab/>
        <w:t>žali zbog toga što se podaci u sustavu financijske transparentnosti objavljuju naknadno, i to sa zakašnjenjem od 6 do 18 mjeseci, što utječe na transparentnost; poziva Komisiju da informacije o bespovratnim sredstvima EU-a dodijeljenima nevladinim organizacijama i subjektima objavi najkasnije šest mjeseci nakon datuma dodjele bespovratnih sredstava, uključujući financijska sredstva primljena iz drugih izvora, uzimajući pritom u obzir načelo povjerljivosti u propisno opravdanim slučajevima kada su korisnici, uključujući nevladine organizacije, suočeni s ozbiljnim prijetnjama; poziva Komisiju da razvije i integrira alate za validaciju podataka kako bi postupak potvrđivanja podataka sustava financijske transparentnosti bio automatski, kontinuiran i brži te kako bi trošio manje resursa;</w:t>
      </w:r>
    </w:p>
    <w:p w:rsidR="00F241CD" w:rsidRPr="00AA18EC" w:rsidRDefault="00283A65" w:rsidP="00F241CD">
      <w:pPr>
        <w:pStyle w:val="NormalHanging12a"/>
      </w:pPr>
      <w:r>
        <w:t>31</w:t>
      </w:r>
      <w:r w:rsidR="00F241CD" w:rsidRPr="00AA18EC">
        <w:t>.</w:t>
      </w:r>
      <w:r w:rsidR="00F241CD" w:rsidRPr="00AA18EC">
        <w:tab/>
        <w:t>žali zbog toga što IT sustavi Komisije nisu jednostavni za korištenje i što se koriste različitim konvencijama za utvrđivanje korisnika projekata i bespovratnih sredstava, što dovodi do različitih podataka, zbog čega je teško uskladiti informacije s različitih javno dostupnih portala i baza podataka Komisije; preporučuje da Komisija uspostavi usklađena pravila i standardizira izgled i funkcije baza podataka koje se odnose na određene programe, uzimajući u obzir različita okruženja i područja djelovanja u kojima djeluju nevladine organizacije i bez stvaranja dodatnog nepotrebnog opterećenja;</w:t>
      </w:r>
    </w:p>
    <w:p w:rsidR="00F241CD" w:rsidRPr="00AA18EC" w:rsidRDefault="00283A65" w:rsidP="00F241CD">
      <w:pPr>
        <w:pStyle w:val="NormalHanging12a"/>
      </w:pPr>
      <w:r>
        <w:t>32</w:t>
      </w:r>
      <w:r w:rsidR="00F241CD" w:rsidRPr="00AA18EC">
        <w:t>.</w:t>
      </w:r>
      <w:r w:rsidR="00F241CD" w:rsidRPr="00AA18EC">
        <w:tab/>
        <w:t>poziva Komisiju da koristi zajednički jedinstveni identifikator, kao što je jedinstvena identifikacijska oznaka sudionika, i identifikacijski ključ za identifikaciju projekata na svim portalima i u svim bazama podataka, među ostalim na internetskim stranicama korisnika, uz zadržavanje načela povjerljivosti, posebno u propisno opravdanim slučajevima kada su korisnici, uključujući nevladine organizacije, suočeni s ozbiljnim prijetnjama od odmazde, kako bi se olakšalo usklađivanje javno dostupnih informacija iz različitih sustava i internetskih stranica; poziva Komisiju da svim korisnicima, uključujući nevladine organizacije, dostavi kôd pomoću kojeg će moći pristupiti podacima o financiranju izravno iz sustava financijske transparentnosti unatrag pet godina i koji uključuje poveznice na odgovarajuće projekte u bazama podataka programa Komisije;</w:t>
      </w:r>
    </w:p>
    <w:p w:rsidR="00F241CD" w:rsidRPr="00AA18EC" w:rsidRDefault="00283A65" w:rsidP="00F241CD">
      <w:pPr>
        <w:pStyle w:val="NormalHanging12a"/>
      </w:pPr>
      <w:r>
        <w:t>33</w:t>
      </w:r>
      <w:r w:rsidR="00F241CD" w:rsidRPr="00AA18EC">
        <w:t>.</w:t>
      </w:r>
      <w:r w:rsidR="00F241CD" w:rsidRPr="00AA18EC">
        <w:tab/>
        <w:t xml:space="preserve">primjećuje znatne nedosljednosti u sadržaju i opsegu informacija na internetskim stranicama projekata uključujući u pogledu raspodjele bespovratnih sredstava među partnerima i u pogledu povezanosti s relevantnim bazama podataka Komisije; poziva na </w:t>
      </w:r>
      <w:proofErr w:type="spellStart"/>
      <w:r w:rsidR="00F241CD" w:rsidRPr="00AA18EC">
        <w:t>proaktivniji</w:t>
      </w:r>
      <w:proofErr w:type="spellEnd"/>
      <w:r w:rsidR="00F241CD" w:rsidRPr="00AA18EC">
        <w:t xml:space="preserve"> pristup javnoj transparentnosti i povećanu suradnju s proračunskim tijelima EU-a koji nadilazi trenutačne minimalne uvjete za financiranje bespovratnim sredstvima EU-a; poziva Komisiju da ojača sustav kojim bi se svi podnositelji zahtjeva, uključujući </w:t>
      </w:r>
      <w:r w:rsidR="00F241CD" w:rsidRPr="00AA18EC">
        <w:lastRenderedPageBreak/>
        <w:t>nevladine organizacije, obvezali na poštovanje Povelje EU-a pri podnošenju zahtjeva za sredstva EU-a; poziva na to da se na internetskim stranicama projekata koje financira EU jasnije i sustavnije prikažu informacije o bespovratnim sredstvima primljenima od EU-a i iz drugih izvora;</w:t>
      </w:r>
    </w:p>
    <w:p w:rsidR="00F241CD" w:rsidRPr="00AA18EC" w:rsidRDefault="00283A65" w:rsidP="00F241CD">
      <w:pPr>
        <w:pStyle w:val="NormalHanging12a"/>
      </w:pPr>
      <w:r>
        <w:t>34</w:t>
      </w:r>
      <w:r w:rsidR="00F241CD" w:rsidRPr="00AA18EC">
        <w:t>.</w:t>
      </w:r>
      <w:r w:rsidR="00F241CD" w:rsidRPr="00AA18EC">
        <w:tab/>
        <w:t>poziva na to da se krajnji vlasnici poduzeća uvrste u središnje registre u zemljama EU-a koji će biti dostupni osobama s „legitimnim interesom”, kao što su istraživački novinari, obuhvaćeni građani i nevladine organizacije;</w:t>
      </w:r>
    </w:p>
    <w:p w:rsidR="00F241CD" w:rsidRPr="00AA18EC" w:rsidRDefault="00283A65" w:rsidP="00F241CD">
      <w:pPr>
        <w:pStyle w:val="NormalHanging12a"/>
      </w:pPr>
      <w:r>
        <w:t>35</w:t>
      </w:r>
      <w:r w:rsidR="00F241CD" w:rsidRPr="00AA18EC">
        <w:t>.</w:t>
      </w:r>
      <w:r w:rsidR="00F241CD" w:rsidRPr="00AA18EC">
        <w:tab/>
        <w:t xml:space="preserve">napominje da, iako je uključivanje sustava </w:t>
      </w:r>
      <w:proofErr w:type="spellStart"/>
      <w:r w:rsidR="00F241CD" w:rsidRPr="00AA18EC">
        <w:t>eGrants</w:t>
      </w:r>
      <w:proofErr w:type="spellEnd"/>
      <w:r w:rsidR="00F241CD" w:rsidRPr="00AA18EC">
        <w:t xml:space="preserve"> kao zajedničkog alata za upravljanje bespovratnim sredstvima i sustava registracije podnositelja zahtjeva u svim službama Komisije poboljšalo kvalitetu i cjelovitost podataka sustava financijske transparentnosti, potrebno je uložiti više napora kako bi se poboljšala pouzdanost takvih podataka; zabrinut je zbog toga što u okviru postojećih portala i sustava Komisije za transparentnost i dalje postoje nedostaci u pogledu dosljednosti; nadalje poziva Komisiju da ubrza svoj rad na racionalizaciji baza podataka radi lakšeg korištenja sustava financijske transparentnosti koji je povezan s registrom transparentnosti i kompatibilan s bazama podataka određenih programa; ističe da bi on trebao uključivati završna plaćanja, čime bi se omogućilo utvrđivanje korisnika, uključujući nevladine organizacije, po kategorijama, među ostalim definiranjem nevladine organizacije i relevantnih subjekata u skladu s Financijskom uredbom; traži od Komisije da do kraja 2024. pripremi prijedlog za daljnje administrativne mjere;</w:t>
      </w:r>
    </w:p>
    <w:p w:rsidR="00F241CD" w:rsidRPr="00AA18EC" w:rsidRDefault="00283A65" w:rsidP="00F241CD">
      <w:pPr>
        <w:pStyle w:val="NormalHanging12a"/>
      </w:pPr>
      <w:r>
        <w:t>36</w:t>
      </w:r>
      <w:r w:rsidR="00F241CD" w:rsidRPr="00AA18EC">
        <w:t>.</w:t>
      </w:r>
      <w:r w:rsidR="00F241CD" w:rsidRPr="00AA18EC">
        <w:tab/>
        <w:t>napominje da se u nekim situacijama sjedište neprofitne organizacije nalazi u jednoj zemlji, dok se aktivnosti korisnika odvijaju u drugoj zemlji; poziva neprofitne organizacije da poduzmu odgovarajuće mjere kako bi uzele u obzir sredstva i usluge pružene na lokacijama izvan njihove matične nadležnosti;</w:t>
      </w:r>
    </w:p>
    <w:p w:rsidR="00F241CD" w:rsidRPr="00AA18EC" w:rsidRDefault="00283A65" w:rsidP="00F241CD">
      <w:pPr>
        <w:pStyle w:val="NormalHanging12a"/>
      </w:pPr>
      <w:r>
        <w:t>37</w:t>
      </w:r>
      <w:r w:rsidR="00F241CD" w:rsidRPr="00AA18EC">
        <w:t>.</w:t>
      </w:r>
      <w:r w:rsidR="00F241CD" w:rsidRPr="00AA18EC">
        <w:tab/>
        <w:t xml:space="preserve">pozdravlja prijedlog Komisije o uspostavi, na temelju članka 36. Financijske uredbe, središnjeg, </w:t>
      </w:r>
      <w:proofErr w:type="spellStart"/>
      <w:r w:rsidR="00F241CD" w:rsidRPr="00AA18EC">
        <w:t>interoperabilnog</w:t>
      </w:r>
      <w:proofErr w:type="spellEnd"/>
      <w:r w:rsidR="00F241CD" w:rsidRPr="00AA18EC">
        <w:t xml:space="preserve"> informatičkog sustava za rudarenje podataka i procjenu rizika kako bi se poboljšala učinkovitost unutarnje kontrole izvršenja proračuna; ističe da taj sustav ne smije uključivati samo podatke primatelja, već i podatke stvarnih vlasnika, u skladu s Direktivom (EU) 2015/849</w:t>
      </w:r>
      <w:r w:rsidR="00F241CD" w:rsidRPr="00AA18EC">
        <w:rPr>
          <w:rStyle w:val="FootnoteReference"/>
        </w:rPr>
        <w:footnoteReference w:id="17"/>
      </w:r>
      <w:r w:rsidR="00F241CD" w:rsidRPr="00AA18EC">
        <w:t>; poziva na to da se u taj sustav uključe pokazatelji rizika koji se temelje na podacima iz sustava ranog otkrivanja i isključenja, koji uključuju sve načine upravljanja;</w:t>
      </w:r>
    </w:p>
    <w:p w:rsidR="00F241CD" w:rsidRPr="00AA18EC" w:rsidRDefault="00283A65" w:rsidP="00F241CD">
      <w:pPr>
        <w:pStyle w:val="NormalHanging12a"/>
      </w:pPr>
      <w:r>
        <w:t>38</w:t>
      </w:r>
      <w:r w:rsidR="00F241CD" w:rsidRPr="00AA18EC">
        <w:t>.</w:t>
      </w:r>
      <w:r w:rsidR="00F241CD" w:rsidRPr="00AA18EC">
        <w:tab/>
        <w:t>žali zbog toga što istodobna obveza izvješćivanja i računovodstvenih praksi na nacionalnoj razini i razini EU-a može dovesti do nerazmjernog administrativnog opterećenja za korisnike, uključujući nevladine organizacije; poziva Komisiju da zajamči dosljednost obveza izvješćivanja na razini EU-a i na nacionalnoj razini kako bi se zajamčilo lakše praćenje ispunjavanja obveza;</w:t>
      </w:r>
    </w:p>
    <w:p w:rsidR="00F241CD" w:rsidRPr="00AA18EC" w:rsidRDefault="00283A65" w:rsidP="00F241CD">
      <w:pPr>
        <w:pStyle w:val="NormalHanging12a"/>
      </w:pPr>
      <w:r>
        <w:t>39</w:t>
      </w:r>
      <w:r w:rsidR="00F241CD" w:rsidRPr="00AA18EC">
        <w:t>.</w:t>
      </w:r>
      <w:r w:rsidR="00F241CD" w:rsidRPr="00AA18EC">
        <w:tab/>
        <w:t xml:space="preserve">naglašava važnost transparentnosti i utvrđivanja krajnjeg primatelja sredstava EU-a; poziva Komisiju da razvije usklađeni sustav praćenja u cilju smanjenja birokracije, poboljšanja učinkovitosti i utvrđivanja krajnjih korisnika; preporučuje da Komisija sustavno, standardizirano i usklađeno prati sredstva EU-a do krajnjih korisnika na svim </w:t>
      </w:r>
      <w:r w:rsidR="00F241CD" w:rsidRPr="00AA18EC">
        <w:lastRenderedPageBreak/>
        <w:t>platformama za informiranje i transparentnost na razini EU-a; nadalje poziva na pojačani dijalog između Europske komisije i korisnika sredstava EU-a, uključujući nevladine organizacije, o tome kako smanjiti prekomjerno opterećenje;</w:t>
      </w:r>
    </w:p>
    <w:p w:rsidR="00F241CD" w:rsidRPr="00AA18EC" w:rsidRDefault="00283A65" w:rsidP="00F241CD">
      <w:pPr>
        <w:pStyle w:val="NormalHanging12a"/>
      </w:pPr>
      <w:r>
        <w:t>40</w:t>
      </w:r>
      <w:r w:rsidR="00F241CD" w:rsidRPr="00AA18EC">
        <w:t>.</w:t>
      </w:r>
      <w:r w:rsidR="00F241CD" w:rsidRPr="00AA18EC">
        <w:tab/>
        <w:t>zabrinut je kada se odredbe o vidljivosti programa EU-a ne poštuju u potpunosti; poziva Komisiju da naloži svojim službama da raskinu sporazume ili smanje isplate korisnicima koji ne poštuju svoje ugovorne obveze u pogledu vidljivosti;</w:t>
      </w:r>
    </w:p>
    <w:p w:rsidR="00F241CD" w:rsidRPr="00AA18EC" w:rsidRDefault="00283A65" w:rsidP="00F241CD">
      <w:pPr>
        <w:pStyle w:val="NormalHanging12a"/>
      </w:pPr>
      <w:r>
        <w:t>41</w:t>
      </w:r>
      <w:r w:rsidR="00F241CD" w:rsidRPr="00AA18EC">
        <w:t>.</w:t>
      </w:r>
      <w:r w:rsidR="00F241CD" w:rsidRPr="00AA18EC">
        <w:tab/>
        <w:t>poziva Komisiju da svim svojim službenicima za programe i agencijama pruži osposobljavanje o Financijskoj uredbi i proračunu EU-a; poziva Komisiju da svim korisnicima sredstava EU-a, uključujući nevladine organizacije, pruži osposobljavanje o izvješćivanju i financijskim pravilima te traži da tijelo nadležno za davanje razrješnice bude propisno obaviješteno o tim osposobljavanjima, uključujući njihov sadržaj, sudionike i povezane troškove; traži od Komisije da pojednostavi postupke podnošenja zahtjeva za bespovratna sredstva i postupke odabira, da osigura ujednačenost pristupa i transparentnost postupka kao i smanjenje administrativnog opterećenja i redovitu prilagodbu tih pravila promjenjivim okolnostima i stečenim iskustvima;</w:t>
      </w:r>
    </w:p>
    <w:p w:rsidR="00F241CD" w:rsidRPr="00AA18EC" w:rsidRDefault="00283A65" w:rsidP="00F241CD">
      <w:pPr>
        <w:pStyle w:val="NormalHanging12a"/>
      </w:pPr>
      <w:r>
        <w:t>42</w:t>
      </w:r>
      <w:r w:rsidR="00F241CD" w:rsidRPr="00AA18EC">
        <w:t>.</w:t>
      </w:r>
      <w:r w:rsidR="00F241CD" w:rsidRPr="00AA18EC">
        <w:tab/>
        <w:t>prima na znanje zaključak Revizorskog suda iz 2018. da se podugovaranjem Komisiji ne omogućuje da na odgovarajući način prati kako se upotrebljavaju sredstva EU-a; poziva na to da se iznosi koji se daju nevladinim organizacijama kao trećim stranama u obliku kaskadnih bespovratnih sredstava jasno identificiraju u sustavu financijske transparentnosti i godišnjem financijskom izvješćivanju i izvješćivanju Komisije o odgovornosti;</w:t>
      </w:r>
    </w:p>
    <w:p w:rsidR="00F241CD" w:rsidRPr="00AA18EC" w:rsidRDefault="00283A65" w:rsidP="00F241CD">
      <w:pPr>
        <w:pStyle w:val="NormalHanging12a"/>
      </w:pPr>
      <w:r>
        <w:t>43</w:t>
      </w:r>
      <w:r w:rsidR="00F241CD" w:rsidRPr="00AA18EC">
        <w:t>.</w:t>
      </w:r>
      <w:r w:rsidR="00F241CD" w:rsidRPr="00AA18EC">
        <w:tab/>
        <w:t>poziva sve institucije EU-a da zajamče daleko strožu provedbu, izvršavanje i nadzor poštovanja postojećih odredbi o registru transparentnosti EU-a; poziva na dodjelu više sredstava za tajništvo registra transparentnosti kako bi se svim podnositeljima zahtjeva i registriranim subjektima, posebno malim subjektima i nevladinim organizacijama, mogla pružiti potpora tijekom cijelog postupka registracije i kako bi se informacije koje su pružili mogle temeljitije provjeravati; konkretno, poziva na to da se službenik za transparentnost rasporedi u sva tajništva odbora i relevantne upravne odjele; podsjeća da bi, u skladu sa smjernicama za registar transparentnosti, o promjenama dostavljenih podataka trebalo obavijestiti čim do njih dođe, a u svakom slučaju u roku od tri mjeseca; ustraje u tome da bi sve promjene u upravnom odboru ili vodstvu registriranih subjekata također trebale biti upisane u registar transparentnosti; traži da baza podataka o transparentnosti bude dostupna samo određenim ovlaštenim osobama i na zahtjev proračunskom tijelu kako bi se izbjeglo širenje informacija koje bi mogle ugroziti život ili osobnu sigurnost ili postojanje nevladine organizacije;</w:t>
      </w:r>
    </w:p>
    <w:p w:rsidR="00F241CD" w:rsidRPr="00AA18EC" w:rsidRDefault="00283A65" w:rsidP="00F241CD">
      <w:pPr>
        <w:pStyle w:val="NormalHanging12a"/>
      </w:pPr>
      <w:r>
        <w:t>44</w:t>
      </w:r>
      <w:r w:rsidR="00F241CD" w:rsidRPr="00AA18EC">
        <w:t>.</w:t>
      </w:r>
      <w:r w:rsidR="00F241CD" w:rsidRPr="00AA18EC">
        <w:tab/>
        <w:t>žali zbog činjenice da za različite vrste organizacija postoje različiti zahtjevi za objavljivanje u registru transparentnosti; poziva Komisiju da primjeni iste zahtjeve za objavljivanje za sve vrste organizacija upisane u registar transparentnosti; posebno napominje da se od njih mora zahtijevati da objave svoje prihode i sve iznose potrošene na lobiranje</w:t>
      </w:r>
      <w:r w:rsidR="00F241CD" w:rsidRPr="00AA18EC">
        <w:rPr>
          <w:rStyle w:val="FootnoteReference"/>
        </w:rPr>
        <w:footnoteReference w:id="18"/>
      </w:r>
      <w:r w:rsidR="00F241CD" w:rsidRPr="00AA18EC">
        <w:t>;</w:t>
      </w:r>
    </w:p>
    <w:p w:rsidR="00F241CD" w:rsidRPr="00AA18EC" w:rsidRDefault="00283A65" w:rsidP="00F241CD">
      <w:pPr>
        <w:pStyle w:val="NormalHanging12a"/>
      </w:pPr>
      <w:r>
        <w:t>45</w:t>
      </w:r>
      <w:r w:rsidR="00F241CD" w:rsidRPr="00AA18EC">
        <w:t>.</w:t>
      </w:r>
      <w:r w:rsidR="00F241CD" w:rsidRPr="00AA18EC">
        <w:tab/>
        <w:t>podsjeća na preporuke iz rezolucije22 Parlamenta o razrješnici za 2021.</w:t>
      </w:r>
      <w:r w:rsidR="00F241CD" w:rsidRPr="00AA18EC">
        <w:rPr>
          <w:rStyle w:val="FootnoteReference"/>
        </w:rPr>
        <w:footnoteReference w:id="19"/>
      </w:r>
      <w:r w:rsidR="00F241CD" w:rsidRPr="00AA18EC">
        <w:t xml:space="preserve"> u kojima se poziva na reviziju registra transparentnosti EU-a i njegovih smjernica kako bi se zahtijevalo objavljivanje pojedinosti o svim izvorima financiranja od registriranih </w:t>
      </w:r>
      <w:r w:rsidR="00F241CD" w:rsidRPr="00AA18EC">
        <w:lastRenderedPageBreak/>
        <w:t>organizacija, uključujući udjele u drugim poduzećima, te kako bi se omogućilo praćenje sredstava EU-a od izravnog primatelja do krajnjeg korisnika kada se sredstva prenose duž lanca, među ostalim kada se sredstva jednog korisnika, uključujući nevladine organizacije, prenose drugome, uzimajući pritom u obzir načelo povjerljivosti u slučaju nevladinih organizacija suočenih s ozbiljnim prijetnjama;</w:t>
      </w:r>
    </w:p>
    <w:p w:rsidR="00F241CD" w:rsidRPr="00AA18EC" w:rsidRDefault="00283A65" w:rsidP="00F241CD">
      <w:pPr>
        <w:pStyle w:val="NormalHanging12a"/>
      </w:pPr>
      <w:r>
        <w:t>46</w:t>
      </w:r>
      <w:r w:rsidR="00F241CD" w:rsidRPr="00AA18EC">
        <w:t>.</w:t>
      </w:r>
      <w:r w:rsidR="00F241CD" w:rsidRPr="00AA18EC">
        <w:tab/>
        <w:t>poziva sve nevladine organizacije i subjekte koji su predani potpunoj transparentnosti i odgovornosti, Povelji EU-a i promicanju demokratskih vrijednosti i vrijednosti EU-a da zatraže da budu uključeni u registar transparentnosti pri podnošenju zahtjeva za sredstva EU-a;</w:t>
      </w:r>
    </w:p>
    <w:p w:rsidR="00F241CD" w:rsidRDefault="00283A65" w:rsidP="00F241CD">
      <w:pPr>
        <w:pStyle w:val="NormalHanging12a"/>
      </w:pPr>
      <w:r>
        <w:t>47</w:t>
      </w:r>
      <w:r w:rsidR="00F241CD" w:rsidRPr="00AA18EC">
        <w:t>.</w:t>
      </w:r>
      <w:r w:rsidR="00F241CD" w:rsidRPr="00AA18EC">
        <w:tab/>
        <w:t>poziva na strogu provedbu pravila o pristupu Parlamentu i pozivima na prisustvovanje parlamentarnim odborima, uz uvjet da novi službenik za transparentnost, koji se nalazi u tajništvima svih odbora, mora svaku organizaciju upisati u registar transparentnosti;</w:t>
      </w:r>
    </w:p>
    <w:p w:rsidR="00F55AE9" w:rsidRPr="00F55AE9" w:rsidRDefault="00F55AE9" w:rsidP="00F241CD">
      <w:pPr>
        <w:pStyle w:val="NormalHanging12a"/>
      </w:pPr>
      <w:r w:rsidRPr="00F55AE9">
        <w:t>48.</w:t>
      </w:r>
      <w:r w:rsidRPr="00F55AE9">
        <w:tab/>
        <w:t>poziva sve korisnike koje financira EU, uključujući nevladine organizacije, da na internetu objave sve sastanke sa zastupnicima u Europskom parlamentu, asistentima zastupnika u Europskom parlamentu ili predstavnicima drugih institucija, tijela ili agencija EU-a kad god se takvi sastanci odnose na aktualne zakonodavne predmete EU-a ili na financiranje EU-a koje ti korisnici primaju ili za koje se prijave, u skladu sa sličnim obvezama za zastupnike u Europskom parlamentu; poziva relevantne institucije i tijela EU-a da osiguraju alate potrebne za objavljivanje takvih sastanaka, dopuštajući pritom opravdane iznimke;</w:t>
      </w:r>
    </w:p>
    <w:p w:rsidR="00F241CD" w:rsidRPr="00AA18EC" w:rsidRDefault="00283A65" w:rsidP="00F241CD">
      <w:pPr>
        <w:pStyle w:val="NormalHanging12a"/>
      </w:pPr>
      <w:r>
        <w:t>4</w:t>
      </w:r>
      <w:r w:rsidR="00F55AE9">
        <w:t>9</w:t>
      </w:r>
      <w:r w:rsidR="00F241CD" w:rsidRPr="00AA18EC">
        <w:t>.</w:t>
      </w:r>
      <w:r w:rsidR="00F241CD" w:rsidRPr="00AA18EC">
        <w:tab/>
        <w:t>smatra da je donošenje uredbe o nevladinim organizacijama diskriminatorna mjera usmjerena na nevladine organizacije, ali ne i na bilo koje druge primatelje sredstava u EU-u; smatra da su pitanja kao što su fenomen rotirajućih vrata, transparentnost u financiranju i donacijama, borba protiv pranja novca, ograničavanje vanjskog upletanja, neovisnost od političkog i gospodarskog utjecaja i zviždanje važna za sve subjekte koji primaju sredstva EU-a i da se ne bi trebala koristiti za ograničavanje prostora za djelovanje nevladinih organizacija;</w:t>
      </w:r>
    </w:p>
    <w:p w:rsidR="00F241CD" w:rsidRPr="00AA18EC" w:rsidRDefault="00F55AE9" w:rsidP="00F241CD">
      <w:pPr>
        <w:pStyle w:val="NormalHanging12a"/>
      </w:pPr>
      <w:r>
        <w:t>50</w:t>
      </w:r>
      <w:r w:rsidR="00F241CD" w:rsidRPr="00AA18EC">
        <w:t>.</w:t>
      </w:r>
      <w:r w:rsidR="00F241CD" w:rsidRPr="00AA18EC">
        <w:tab/>
        <w:t>ponavlja svoj poziv iz rezolucije Komisije o razrješnici za 2021.</w:t>
      </w:r>
      <w:r w:rsidR="00F241CD" w:rsidRPr="00AA18EC">
        <w:rPr>
          <w:rStyle w:val="FootnoteReference"/>
        </w:rPr>
        <w:footnoteReference w:id="20"/>
      </w:r>
      <w:r w:rsidR="00F241CD" w:rsidRPr="00AA18EC">
        <w:t xml:space="preserve"> da se pobrine za to da svi korisnici sredstava EU-a, uključujući nevladine organizacije, koji su zloupotrijebili ili pronevjerili sredstva EU-a ili sudjeluju u aktivnostima koje su u suprotnosti s vrijednostima EU-a sadržanima u članku 2. Ugovora o Europskoj uniji i Povelji EU-a, uključujući poticanje na terorizam, govor mržnje, podupiranje ili veličanje nasilja, političkog i vjerskog ekstremizma, kao i širenje dezinformacija pod krinkom namjerno krivotvorenih znanstvenih podataka, navedu u EDES-u i da im se onemogući pristup institucijama EU-a i programima financiranja EU-a u okviru izravnog i podijeljenog upravljanja; poziva Komisiju i države članice da osiguraju provedbu i objavu poboljšanog popisa za isključenje u skladu s preporukom Parlamenta i u skladu sa sporazumom o Financijskoj uredbi; očekuje od Komisije da početkom 2025. izvijesti o provedbi te preporuke;</w:t>
      </w:r>
    </w:p>
    <w:p w:rsidR="00F241CD" w:rsidRPr="00AA18EC" w:rsidRDefault="00283A65" w:rsidP="00F241CD">
      <w:pPr>
        <w:pStyle w:val="NormalHanging12a"/>
      </w:pPr>
      <w:r>
        <w:t>5</w:t>
      </w:r>
      <w:r w:rsidR="00F55AE9">
        <w:t>1</w:t>
      </w:r>
      <w:r w:rsidR="00F241CD" w:rsidRPr="00AA18EC">
        <w:t>.</w:t>
      </w:r>
      <w:r w:rsidR="00F241CD" w:rsidRPr="00AA18EC">
        <w:tab/>
        <w:t xml:space="preserve">poziva Komisiju i Revizorski sud da Parlamentu kao tijelu nadležnom za davanje razrješnice sustavno podnose nalaze i revizijske zaključke povezane s provjerama korisnika, uključujući nevladinih organizacija, na licu mjesta koje se temelje na riziku te njihove rezultate; potiče pojačanu suradnju s Europskim uredom za borbu protiv prijevara (OLAF) i Europskim revizorskim sudom; poziva Komisiju da naročito </w:t>
      </w:r>
      <w:r w:rsidR="00F241CD" w:rsidRPr="00AA18EC">
        <w:lastRenderedPageBreak/>
        <w:t>poboljša status pristupa OLAF-a kako bi dobio informacije o financijskim povredama pojedinih korisnika, istražio ih i izrekao odgovarajuće sankcije (primjerice obustavu plaćanja putem EDES-a) u slučaju prijevare, korupcije i drugih nepravilnosti povezanih sa sredstvima EU-a u skladu s primjenjivim propisima;</w:t>
      </w:r>
    </w:p>
    <w:p w:rsidR="00F241CD" w:rsidRPr="00AA18EC" w:rsidRDefault="00283A65" w:rsidP="00F241CD">
      <w:pPr>
        <w:pStyle w:val="NormalHanging12a"/>
      </w:pPr>
      <w:r>
        <w:t>5</w:t>
      </w:r>
      <w:r w:rsidR="00F55AE9">
        <w:t>2</w:t>
      </w:r>
      <w:r w:rsidR="00F241CD" w:rsidRPr="00AA18EC">
        <w:t>.</w:t>
      </w:r>
      <w:r w:rsidR="00F241CD" w:rsidRPr="00AA18EC">
        <w:tab/>
        <w:t>podsjeća da se nevladine organizacije podvrgavaju istoj razini kontrole i istraga kao i svi drugi primatelji sredstava EU-a kojima je obuhvaćena čitava rashodovna strana, u okviru mandata OLAF-a i Ureda europskog javnog tužitelja;</w:t>
      </w:r>
    </w:p>
    <w:p w:rsidR="00F241CD" w:rsidRPr="00AA18EC" w:rsidRDefault="00F241CD" w:rsidP="00F241CD">
      <w:pPr>
        <w:pStyle w:val="NormalHanging12a"/>
        <w:jc w:val="center"/>
      </w:pPr>
      <w:r w:rsidRPr="00AA18EC">
        <w:t>°</w:t>
      </w:r>
    </w:p>
    <w:p w:rsidR="00F241CD" w:rsidRPr="00AA18EC" w:rsidRDefault="00F241CD" w:rsidP="00F241CD">
      <w:pPr>
        <w:pStyle w:val="NormalHanging12a"/>
        <w:jc w:val="center"/>
      </w:pPr>
      <w:r w:rsidRPr="00AA18EC">
        <w:t>°</w:t>
      </w:r>
      <w:r w:rsidRPr="00AA18EC">
        <w:tab/>
        <w:t>°</w:t>
      </w:r>
    </w:p>
    <w:p w:rsidR="00F241CD" w:rsidRPr="00AA18EC" w:rsidRDefault="00283A65" w:rsidP="00F241CD">
      <w:pPr>
        <w:pStyle w:val="NormalHanging12a"/>
      </w:pPr>
      <w:r>
        <w:t>5</w:t>
      </w:r>
      <w:r w:rsidR="00F55AE9">
        <w:t>3</w:t>
      </w:r>
      <w:r w:rsidR="00F241CD" w:rsidRPr="00AA18EC">
        <w:t>.</w:t>
      </w:r>
      <w:r w:rsidR="00F241CD" w:rsidRPr="00AA18EC">
        <w:tab/>
        <w:t>nalaže svojoj predsjednici da ovu Rezoluciju proslijedi Vijeću i Komisiji te Europskom revizorskom sudu.</w:t>
      </w:r>
    </w:p>
    <w:sectPr w:rsidR="00F241CD" w:rsidRPr="00AA18EC" w:rsidSect="00092D8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799" w:rsidRPr="00092D80" w:rsidRDefault="00384799">
      <w:r w:rsidRPr="00092D80">
        <w:separator/>
      </w:r>
    </w:p>
  </w:endnote>
  <w:endnote w:type="continuationSeparator" w:id="0">
    <w:p w:rsidR="00384799" w:rsidRPr="00092D80" w:rsidRDefault="00384799">
      <w:r w:rsidRPr="00092D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799" w:rsidRPr="00092D80" w:rsidRDefault="00384799">
      <w:r w:rsidRPr="00092D80">
        <w:separator/>
      </w:r>
    </w:p>
  </w:footnote>
  <w:footnote w:type="continuationSeparator" w:id="0">
    <w:p w:rsidR="00384799" w:rsidRPr="00092D80" w:rsidRDefault="00384799">
      <w:r w:rsidRPr="00092D80">
        <w:continuationSeparator/>
      </w:r>
    </w:p>
  </w:footnote>
  <w:footnote w:id="1">
    <w:p w:rsidR="00F241CD" w:rsidRPr="00AA18EC" w:rsidRDefault="00F241CD" w:rsidP="00092D80">
      <w:pPr>
        <w:pStyle w:val="FootnoteText"/>
        <w:ind w:left="567" w:hanging="567"/>
        <w:rPr>
          <w:sz w:val="24"/>
          <w:u w:val="single" w:color="0000FF"/>
          <w:lang w:val="hr-HR"/>
        </w:rPr>
      </w:pPr>
      <w:r w:rsidRPr="00092D80">
        <w:rPr>
          <w:rStyle w:val="FootnoteReference"/>
          <w:sz w:val="24"/>
          <w:lang w:val="hr-HR"/>
        </w:rPr>
        <w:footnoteRef/>
      </w:r>
      <w:r w:rsidR="00092D80" w:rsidRPr="00092D80">
        <w:rPr>
          <w:sz w:val="24"/>
          <w:lang w:val="hr-HR"/>
        </w:rPr>
        <w:t xml:space="preserve"> </w:t>
      </w:r>
      <w:r w:rsidR="00092D80" w:rsidRPr="00092D80">
        <w:rPr>
          <w:sz w:val="24"/>
          <w:lang w:val="hr-HR"/>
        </w:rPr>
        <w:tab/>
      </w:r>
      <w:r w:rsidRPr="00AA18EC">
        <w:rPr>
          <w:sz w:val="24"/>
          <w:lang w:val="hr-HR"/>
        </w:rPr>
        <w:t>SL L 193, 30.7.2018., str. 1.</w:t>
      </w:r>
    </w:p>
  </w:footnote>
  <w:footnote w:id="2">
    <w:p w:rsidR="00F241CD" w:rsidRPr="00D07878" w:rsidRDefault="00F241CD" w:rsidP="00092D80">
      <w:pPr>
        <w:pStyle w:val="FootnoteText"/>
        <w:ind w:left="567" w:hanging="567"/>
        <w:rPr>
          <w:sz w:val="24"/>
          <w:u w:val="single" w:color="0000FF"/>
          <w:lang w:val="hr-HR"/>
        </w:rPr>
      </w:pPr>
      <w:r w:rsidRPr="00092D80">
        <w:rPr>
          <w:rStyle w:val="FootnoteReference"/>
          <w:sz w:val="24"/>
          <w:lang w:val="hr-HR"/>
        </w:rPr>
        <w:footnoteRef/>
      </w:r>
      <w:r w:rsidR="00092D80" w:rsidRPr="00092D80">
        <w:rPr>
          <w:sz w:val="24"/>
          <w:lang w:val="hr-HR"/>
        </w:rPr>
        <w:t xml:space="preserve"> </w:t>
      </w:r>
      <w:r w:rsidR="00092D80" w:rsidRPr="00092D80">
        <w:rPr>
          <w:sz w:val="24"/>
          <w:lang w:val="hr-HR"/>
        </w:rPr>
        <w:tab/>
      </w:r>
      <w:r w:rsidRPr="00D07878">
        <w:rPr>
          <w:sz w:val="24"/>
          <w:lang w:val="hr-HR"/>
        </w:rPr>
        <w:t>SL L 435, 6.12.2021., str. 187.</w:t>
      </w:r>
    </w:p>
  </w:footnote>
  <w:footnote w:id="3">
    <w:p w:rsidR="00F241CD" w:rsidRPr="00D07878" w:rsidRDefault="00F241CD" w:rsidP="00092D80">
      <w:pPr>
        <w:pStyle w:val="FootnoteText"/>
        <w:ind w:left="567" w:hanging="567"/>
        <w:rPr>
          <w:sz w:val="24"/>
          <w:u w:val="single" w:color="0000FF"/>
          <w:lang w:val="hr-HR"/>
        </w:rPr>
      </w:pPr>
      <w:r w:rsidRPr="00D07878">
        <w:rPr>
          <w:rStyle w:val="FootnoteReference"/>
          <w:sz w:val="24"/>
          <w:lang w:val="hr-HR"/>
        </w:rPr>
        <w:footnoteRef/>
      </w:r>
      <w:r w:rsidR="00092D80" w:rsidRPr="00D07878">
        <w:rPr>
          <w:sz w:val="24"/>
          <w:lang w:val="hr-HR"/>
        </w:rPr>
        <w:t xml:space="preserve"> </w:t>
      </w:r>
      <w:r w:rsidR="00092D80" w:rsidRPr="00D07878">
        <w:rPr>
          <w:sz w:val="24"/>
          <w:lang w:val="hr-HR"/>
        </w:rPr>
        <w:tab/>
      </w:r>
      <w:r w:rsidRPr="00D07878">
        <w:rPr>
          <w:sz w:val="24"/>
          <w:lang w:val="hr-HR"/>
        </w:rPr>
        <w:t>SL L 231, 30.6.2021., str. 159.</w:t>
      </w:r>
    </w:p>
  </w:footnote>
  <w:footnote w:id="4">
    <w:p w:rsidR="00F241CD" w:rsidRPr="00D07878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D07878">
        <w:rPr>
          <w:rStyle w:val="FootnoteReference"/>
          <w:sz w:val="24"/>
          <w:lang w:val="hr-HR"/>
        </w:rPr>
        <w:footnoteRef/>
      </w:r>
      <w:r w:rsidR="00092D80" w:rsidRPr="00D07878">
        <w:rPr>
          <w:sz w:val="24"/>
          <w:lang w:val="hr-HR"/>
        </w:rPr>
        <w:t xml:space="preserve"> </w:t>
      </w:r>
      <w:r w:rsidR="00092D80" w:rsidRPr="00D07878">
        <w:rPr>
          <w:sz w:val="24"/>
          <w:lang w:val="hr-HR"/>
        </w:rPr>
        <w:tab/>
      </w:r>
      <w:r w:rsidRPr="00D07878">
        <w:rPr>
          <w:sz w:val="24"/>
          <w:lang w:val="hr-HR"/>
        </w:rPr>
        <w:t>Studija – „Financiranje nevladinih organizacija iz proračuna EU-a”, Europski parlament, Glavna uprava za unutarnju politiku, Resorni odjel D – proračunska pitanja, 25. studenog</w:t>
      </w:r>
      <w:r w:rsidR="00D07878">
        <w:rPr>
          <w:sz w:val="24"/>
          <w:lang w:val="hr-HR"/>
        </w:rPr>
        <w:t>a</w:t>
      </w:r>
      <w:r w:rsidRPr="00D07878">
        <w:rPr>
          <w:sz w:val="24"/>
          <w:lang w:val="hr-HR"/>
        </w:rPr>
        <w:t xml:space="preserve"> 2010.</w:t>
      </w:r>
    </w:p>
  </w:footnote>
  <w:footnote w:id="5">
    <w:p w:rsidR="00F241CD" w:rsidRPr="00D07878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D07878">
        <w:rPr>
          <w:rStyle w:val="FootnoteReference"/>
          <w:sz w:val="24"/>
          <w:lang w:val="hr-HR"/>
        </w:rPr>
        <w:footnoteRef/>
      </w:r>
      <w:r w:rsidR="00092D80" w:rsidRPr="00D07878">
        <w:rPr>
          <w:sz w:val="24"/>
          <w:lang w:val="hr-HR"/>
        </w:rPr>
        <w:t xml:space="preserve"> </w:t>
      </w:r>
      <w:r w:rsidR="00092D80" w:rsidRPr="00D07878">
        <w:rPr>
          <w:sz w:val="24"/>
          <w:lang w:val="hr-HR"/>
        </w:rPr>
        <w:tab/>
      </w:r>
      <w:r w:rsidRPr="00D07878">
        <w:rPr>
          <w:sz w:val="24"/>
          <w:lang w:val="hr-HR"/>
        </w:rPr>
        <w:t>Studija – „Demokratska odgovornost i proračunski nadzor nevladinih organizacija koje se financiraju iz proračuna EU-a”, Europski parlament, Glavna uprava za unutarnju politiku, Resorni odjel D – proračunska pitanja, 24. siječnja 2017.</w:t>
      </w:r>
    </w:p>
  </w:footnote>
  <w:footnote w:id="6">
    <w:p w:rsidR="00F241CD" w:rsidRPr="00D07878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D07878">
        <w:rPr>
          <w:rStyle w:val="FootnoteReference"/>
          <w:sz w:val="24"/>
          <w:lang w:val="hr-HR"/>
        </w:rPr>
        <w:footnoteRef/>
      </w:r>
      <w:r w:rsidR="00092D80" w:rsidRPr="00D07878">
        <w:rPr>
          <w:sz w:val="24"/>
          <w:lang w:val="hr-HR"/>
        </w:rPr>
        <w:t xml:space="preserve"> </w:t>
      </w:r>
      <w:r w:rsidR="00092D80" w:rsidRPr="00D07878">
        <w:rPr>
          <w:sz w:val="24"/>
          <w:lang w:val="hr-HR"/>
        </w:rPr>
        <w:tab/>
      </w:r>
      <w:r w:rsidRPr="00D07878">
        <w:rPr>
          <w:sz w:val="24"/>
          <w:lang w:val="hr-HR"/>
        </w:rPr>
        <w:t>Studija – „Transparentnost i odgovornost financiranja EU-a za nevladine organizacije aktivne u područjima politika EU-a na području EU-a”, Europski parlament, Glavna uprava za unutarnju politiku, Resorni odjel D – proračunska pitanja, 28. rujna 2023.</w:t>
      </w:r>
    </w:p>
  </w:footnote>
  <w:footnote w:id="7">
    <w:p w:rsidR="00F241CD" w:rsidRPr="00D07878" w:rsidRDefault="00F241CD" w:rsidP="00092D80">
      <w:pPr>
        <w:pStyle w:val="FootnoteText"/>
        <w:ind w:left="567" w:hanging="567"/>
        <w:rPr>
          <w:sz w:val="24"/>
          <w:u w:val="single" w:color="0000FF"/>
          <w:lang w:val="hr-HR"/>
        </w:rPr>
      </w:pPr>
      <w:r w:rsidRPr="00D07878">
        <w:rPr>
          <w:rStyle w:val="FootnoteReference"/>
          <w:sz w:val="24"/>
          <w:lang w:val="hr-HR"/>
        </w:rPr>
        <w:footnoteRef/>
      </w:r>
      <w:r w:rsidR="00092D80" w:rsidRPr="00D07878">
        <w:rPr>
          <w:sz w:val="24"/>
          <w:lang w:val="hr-HR"/>
        </w:rPr>
        <w:t xml:space="preserve"> </w:t>
      </w:r>
      <w:r w:rsidR="00092D80" w:rsidRPr="00D07878">
        <w:rPr>
          <w:sz w:val="24"/>
          <w:lang w:val="hr-HR"/>
        </w:rPr>
        <w:tab/>
      </w:r>
      <w:r w:rsidRPr="00D07878">
        <w:rPr>
          <w:sz w:val="24"/>
          <w:lang w:val="hr-HR"/>
        </w:rPr>
        <w:t>SL C 342, 6.9.2022., str. 225.</w:t>
      </w:r>
    </w:p>
  </w:footnote>
  <w:footnote w:id="8">
    <w:p w:rsidR="00F241CD" w:rsidRPr="00D07878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092D80">
        <w:rPr>
          <w:rStyle w:val="FootnoteReference"/>
          <w:sz w:val="24"/>
          <w:lang w:val="hr-HR"/>
        </w:rPr>
        <w:footnoteRef/>
      </w:r>
      <w:r w:rsidR="00092D80" w:rsidRPr="00092D80">
        <w:rPr>
          <w:sz w:val="24"/>
          <w:lang w:val="hr-HR"/>
        </w:rPr>
        <w:t xml:space="preserve"> </w:t>
      </w:r>
      <w:r w:rsidR="00092D80" w:rsidRPr="00092D80">
        <w:rPr>
          <w:sz w:val="24"/>
          <w:lang w:val="hr-HR"/>
        </w:rPr>
        <w:tab/>
      </w:r>
      <w:r w:rsidRPr="00092D80">
        <w:rPr>
          <w:sz w:val="24"/>
          <w:lang w:val="hr-HR"/>
        </w:rPr>
        <w:t>Usvojeni tekstovi</w:t>
      </w:r>
      <w:r w:rsidRPr="00D07878">
        <w:rPr>
          <w:sz w:val="24"/>
          <w:lang w:val="hr-HR"/>
        </w:rPr>
        <w:t>, P9_TA(2023)0137.</w:t>
      </w:r>
    </w:p>
  </w:footnote>
  <w:footnote w:id="9">
    <w:p w:rsidR="00F241CD" w:rsidRPr="00D07878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D07878">
        <w:rPr>
          <w:rStyle w:val="FootnoteReference"/>
          <w:sz w:val="24"/>
          <w:lang w:val="hr-HR"/>
        </w:rPr>
        <w:footnoteRef/>
      </w:r>
      <w:r w:rsidR="00092D80" w:rsidRPr="00D07878">
        <w:rPr>
          <w:sz w:val="24"/>
          <w:lang w:val="hr-HR"/>
        </w:rPr>
        <w:t xml:space="preserve"> </w:t>
      </w:r>
      <w:r w:rsidR="00092D80" w:rsidRPr="00D07878">
        <w:rPr>
          <w:sz w:val="24"/>
          <w:lang w:val="hr-HR"/>
        </w:rPr>
        <w:tab/>
      </w:r>
      <w:r w:rsidRPr="00D07878">
        <w:rPr>
          <w:sz w:val="24"/>
          <w:lang w:val="hr-HR"/>
        </w:rPr>
        <w:t>Usvojeni tekstovi, P9_TA(2023)0138.</w:t>
      </w:r>
    </w:p>
  </w:footnote>
  <w:footnote w:id="10">
    <w:p w:rsidR="00F241CD" w:rsidRPr="00D07878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D07878">
        <w:rPr>
          <w:rStyle w:val="FootnoteReference"/>
          <w:sz w:val="24"/>
          <w:lang w:val="hr-HR"/>
        </w:rPr>
        <w:footnoteRef/>
      </w:r>
      <w:r w:rsidR="00092D80" w:rsidRPr="00D07878">
        <w:rPr>
          <w:sz w:val="24"/>
          <w:lang w:val="hr-HR"/>
        </w:rPr>
        <w:t xml:space="preserve"> </w:t>
      </w:r>
      <w:r w:rsidR="00092D80" w:rsidRPr="00D07878">
        <w:rPr>
          <w:sz w:val="24"/>
          <w:lang w:val="hr-HR"/>
        </w:rPr>
        <w:tab/>
      </w:r>
      <w:r w:rsidRPr="00D07878">
        <w:rPr>
          <w:sz w:val="24"/>
          <w:lang w:val="hr-HR"/>
        </w:rPr>
        <w:t>Usvojeni tekstovi, P9_TA(2023)0292.</w:t>
      </w:r>
    </w:p>
  </w:footnote>
  <w:footnote w:id="11">
    <w:p w:rsidR="00F241CD" w:rsidRPr="00D07878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D07878">
        <w:rPr>
          <w:rStyle w:val="FootnoteReference"/>
          <w:sz w:val="24"/>
          <w:lang w:val="hr-HR"/>
        </w:rPr>
        <w:footnoteRef/>
      </w:r>
      <w:r w:rsidR="00092D80" w:rsidRPr="00D07878">
        <w:rPr>
          <w:sz w:val="24"/>
          <w:lang w:val="hr-HR"/>
        </w:rPr>
        <w:t xml:space="preserve"> </w:t>
      </w:r>
      <w:r w:rsidR="00092D80" w:rsidRPr="00D07878">
        <w:rPr>
          <w:sz w:val="24"/>
          <w:lang w:val="hr-HR"/>
        </w:rPr>
        <w:tab/>
      </w:r>
      <w:r w:rsidRPr="00D07878">
        <w:rPr>
          <w:sz w:val="24"/>
          <w:lang w:val="hr-HR"/>
        </w:rPr>
        <w:t>Europski parlament, „</w:t>
      </w:r>
      <w:hyperlink r:id="rId1" w:history="1">
        <w:r w:rsidRPr="00D07878">
          <w:rPr>
            <w:rStyle w:val="Hyperlink"/>
            <w:color w:val="auto"/>
            <w:sz w:val="24"/>
            <w:u w:val="none"/>
            <w:lang w:val="hr-HR"/>
          </w:rPr>
          <w:t>Razrješnica za 2021.:</w:t>
        </w:r>
      </w:hyperlink>
      <w:r w:rsidRPr="00D07878">
        <w:rPr>
          <w:sz w:val="24"/>
          <w:lang w:val="hr-HR"/>
        </w:rPr>
        <w:t>Opći proračun EU-a – Komisija i izvršne agencije”, 10. svibnja 2023.</w:t>
      </w:r>
    </w:p>
  </w:footnote>
  <w:footnote w:id="12">
    <w:p w:rsidR="00F241CD" w:rsidRPr="00092D80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D07878">
        <w:rPr>
          <w:rStyle w:val="FootnoteReference"/>
          <w:sz w:val="24"/>
          <w:lang w:val="hr-HR"/>
        </w:rPr>
        <w:footnoteRef/>
      </w:r>
      <w:r w:rsidR="00092D80" w:rsidRPr="00D07878">
        <w:rPr>
          <w:sz w:val="24"/>
          <w:lang w:val="hr-HR"/>
        </w:rPr>
        <w:t xml:space="preserve"> </w:t>
      </w:r>
      <w:r w:rsidR="00092D80" w:rsidRPr="00D07878">
        <w:rPr>
          <w:sz w:val="24"/>
          <w:lang w:val="hr-HR"/>
        </w:rPr>
        <w:tab/>
      </w:r>
      <w:r w:rsidRPr="00D07878">
        <w:rPr>
          <w:sz w:val="24"/>
          <w:lang w:val="hr-HR"/>
        </w:rPr>
        <w:t>Zajednička komunikacija Komisije i Visokog predstavnika Unije za vanjske poslove i sigurnosnu politiku od 25. ožujka 2020. naslovljena „Akcijski plan EU-a za ljudska prava i demokraciju za razdoblje 2020. – 2024.” (JOIN(2020)0005</w:t>
      </w:r>
      <w:r w:rsidR="00D07878">
        <w:rPr>
          <w:sz w:val="24"/>
          <w:lang w:val="hr-HR"/>
        </w:rPr>
        <w:t>).</w:t>
      </w:r>
    </w:p>
  </w:footnote>
  <w:footnote w:id="13">
    <w:p w:rsidR="00F241CD" w:rsidRPr="00092D80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092D80">
        <w:rPr>
          <w:rStyle w:val="FootnoteReference"/>
          <w:sz w:val="24"/>
          <w:lang w:val="hr-HR"/>
        </w:rPr>
        <w:footnoteRef/>
      </w:r>
      <w:r w:rsidR="00092D80" w:rsidRPr="00092D80">
        <w:rPr>
          <w:sz w:val="24"/>
          <w:lang w:val="hr-HR"/>
        </w:rPr>
        <w:t xml:space="preserve"> </w:t>
      </w:r>
      <w:r w:rsidR="00092D80" w:rsidRPr="00092D80">
        <w:rPr>
          <w:sz w:val="24"/>
          <w:lang w:val="hr-HR"/>
        </w:rPr>
        <w:tab/>
      </w:r>
      <w:r w:rsidRPr="00092D80">
        <w:rPr>
          <w:sz w:val="24"/>
          <w:lang w:val="hr-HR"/>
        </w:rPr>
        <w:t>Izvor: Registar transparentnosti EU-a, pristup podacima 22. rujna 2023.</w:t>
      </w:r>
    </w:p>
  </w:footnote>
  <w:footnote w:id="14">
    <w:p w:rsidR="00F241CD" w:rsidRPr="00D07878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092D80">
        <w:rPr>
          <w:rStyle w:val="FootnoteReference"/>
          <w:sz w:val="24"/>
          <w:lang w:val="hr-HR"/>
        </w:rPr>
        <w:footnoteRef/>
      </w:r>
      <w:r w:rsidR="00092D80" w:rsidRPr="00092D80">
        <w:rPr>
          <w:sz w:val="24"/>
          <w:lang w:val="hr-HR"/>
        </w:rPr>
        <w:t xml:space="preserve"> </w:t>
      </w:r>
      <w:r w:rsidR="00092D80" w:rsidRPr="00092D80">
        <w:rPr>
          <w:sz w:val="24"/>
          <w:lang w:val="hr-HR"/>
        </w:rPr>
        <w:tab/>
      </w:r>
      <w:r w:rsidRPr="00092D80">
        <w:rPr>
          <w:sz w:val="24"/>
          <w:lang w:val="hr-HR"/>
        </w:rPr>
        <w:t xml:space="preserve">Europski </w:t>
      </w:r>
      <w:r w:rsidRPr="00D07878">
        <w:rPr>
          <w:sz w:val="24"/>
          <w:lang w:val="hr-HR"/>
        </w:rPr>
        <w:t>parlament, „Razrješnica za 2021.:Opći proračun EU-a – Komisija i izvršne agencije”, 10. svibnja 2023.</w:t>
      </w:r>
    </w:p>
  </w:footnote>
  <w:footnote w:id="15">
    <w:p w:rsidR="00F241CD" w:rsidRPr="00092D80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092D80">
        <w:rPr>
          <w:rStyle w:val="FootnoteReference"/>
          <w:sz w:val="24"/>
          <w:lang w:val="hr-HR"/>
        </w:rPr>
        <w:footnoteRef/>
      </w:r>
      <w:r w:rsidR="00092D80" w:rsidRPr="00092D80">
        <w:rPr>
          <w:sz w:val="24"/>
          <w:lang w:val="hr-HR"/>
        </w:rPr>
        <w:t xml:space="preserve"> </w:t>
      </w:r>
      <w:r w:rsidR="00092D80" w:rsidRPr="00092D80">
        <w:rPr>
          <w:sz w:val="24"/>
          <w:lang w:val="hr-HR"/>
        </w:rPr>
        <w:tab/>
      </w:r>
      <w:r w:rsidRPr="00092D80">
        <w:rPr>
          <w:sz w:val="24"/>
          <w:lang w:val="hr-HR"/>
        </w:rPr>
        <w:t xml:space="preserve">Članci 139. stavak 1. točka (i) i 139. stavak 1. točka (c) </w:t>
      </w:r>
      <w:proofErr w:type="spellStart"/>
      <w:r w:rsidRPr="00092D80">
        <w:rPr>
          <w:sz w:val="24"/>
          <w:lang w:val="hr-HR"/>
        </w:rPr>
        <w:t>podtočka</w:t>
      </w:r>
      <w:proofErr w:type="spellEnd"/>
      <w:r w:rsidRPr="00092D80">
        <w:rPr>
          <w:sz w:val="24"/>
          <w:lang w:val="hr-HR"/>
        </w:rPr>
        <w:t xml:space="preserve"> (vi) Komisijinog prijedloga uredbe Europskog parlamenta i Vijeća od 16. svibnja 2022. o financijskim pravilima koja se primjenjuju na opći proračun Unije (preinaka) (COM(2022)0223).</w:t>
      </w:r>
    </w:p>
  </w:footnote>
  <w:footnote w:id="16">
    <w:p w:rsidR="00F241CD" w:rsidRPr="00092D80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092D80">
        <w:rPr>
          <w:rStyle w:val="FootnoteReference"/>
          <w:sz w:val="24"/>
          <w:lang w:val="hr-HR"/>
        </w:rPr>
        <w:footnoteRef/>
      </w:r>
      <w:r w:rsidR="00092D80" w:rsidRPr="00092D80">
        <w:rPr>
          <w:sz w:val="24"/>
          <w:lang w:val="hr-HR"/>
        </w:rPr>
        <w:t xml:space="preserve"> </w:t>
      </w:r>
      <w:r w:rsidR="00092D80" w:rsidRPr="00092D80">
        <w:rPr>
          <w:sz w:val="24"/>
          <w:lang w:val="hr-HR"/>
        </w:rPr>
        <w:tab/>
      </w:r>
      <w:r w:rsidRPr="00092D80">
        <w:rPr>
          <w:sz w:val="24"/>
          <w:lang w:val="hr-HR"/>
        </w:rPr>
        <w:t>Presuda Suda Europske unije od 18. lipnja 2020., Europska komisija / Mađarska, C-78/18, ECLI:EU:C:2020:476.</w:t>
      </w:r>
    </w:p>
  </w:footnote>
  <w:footnote w:id="17">
    <w:p w:rsidR="00F241CD" w:rsidRPr="00092D80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092D80">
        <w:rPr>
          <w:rStyle w:val="FootnoteReference"/>
          <w:sz w:val="24"/>
          <w:lang w:val="hr-HR"/>
        </w:rPr>
        <w:footnoteRef/>
      </w:r>
      <w:r w:rsidR="00092D80" w:rsidRPr="00092D80">
        <w:rPr>
          <w:sz w:val="24"/>
          <w:lang w:val="hr-HR"/>
        </w:rPr>
        <w:t xml:space="preserve"> </w:t>
      </w:r>
      <w:r w:rsidR="00092D80" w:rsidRPr="00092D80">
        <w:rPr>
          <w:sz w:val="24"/>
          <w:lang w:val="hr-HR"/>
        </w:rPr>
        <w:tab/>
      </w:r>
      <w:r w:rsidRPr="00AA18EC">
        <w:rPr>
          <w:sz w:val="24"/>
          <w:lang w:val="hr-HR"/>
        </w:rPr>
        <w:t xml:space="preserve">Direktiva (EU) 2015/849 Europskog parlamenta i Vijeća od 20. svibnja 2015. o sprečavanju korištenja financijskog sustava u svrhu pranja novca ili financiranja terorizma, o izmjeni Uredbe (EU) br. 648/2012 Europskog parlamenta i Vijeća te o stavljanju izvan snage Direktive 2005/60/EZ Europskog parlamenta i Vijeća i Direktive Komisije 2006/70/EZ </w:t>
      </w:r>
      <w:r w:rsidR="00AA18EC">
        <w:rPr>
          <w:sz w:val="24"/>
          <w:lang w:val="hr-HR"/>
        </w:rPr>
        <w:t>(</w:t>
      </w:r>
      <w:r w:rsidRPr="00AA18EC">
        <w:rPr>
          <w:sz w:val="24"/>
          <w:lang w:val="hr-HR"/>
        </w:rPr>
        <w:t>SL L 141, 5.6.2015., str. 73.</w:t>
      </w:r>
      <w:r w:rsidR="00AA18EC">
        <w:rPr>
          <w:sz w:val="24"/>
          <w:lang w:val="hr-HR"/>
        </w:rPr>
        <w:t>)</w:t>
      </w:r>
      <w:r w:rsidRPr="00092D80">
        <w:rPr>
          <w:sz w:val="24"/>
          <w:lang w:val="hr-HR"/>
        </w:rPr>
        <w:t>.</w:t>
      </w:r>
    </w:p>
  </w:footnote>
  <w:footnote w:id="18">
    <w:p w:rsidR="00F241CD" w:rsidRPr="00092D80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092D80">
        <w:rPr>
          <w:rStyle w:val="FootnoteReference"/>
          <w:sz w:val="24"/>
          <w:lang w:val="hr-HR"/>
        </w:rPr>
        <w:footnoteRef/>
      </w:r>
      <w:r w:rsidR="00092D80" w:rsidRPr="00092D80">
        <w:rPr>
          <w:sz w:val="24"/>
          <w:lang w:val="hr-HR"/>
        </w:rPr>
        <w:t xml:space="preserve"> </w:t>
      </w:r>
      <w:r w:rsidR="00092D80" w:rsidRPr="00092D80">
        <w:rPr>
          <w:sz w:val="24"/>
          <w:lang w:val="hr-HR"/>
        </w:rPr>
        <w:tab/>
      </w:r>
      <w:r w:rsidRPr="00092D80">
        <w:rPr>
          <w:sz w:val="24"/>
          <w:lang w:val="hr-HR"/>
        </w:rPr>
        <w:t>Vidjeti: Studija o transparentnosti i odgovornosti, preporuka 24.3.</w:t>
      </w:r>
    </w:p>
  </w:footnote>
  <w:footnote w:id="19">
    <w:p w:rsidR="00F241CD" w:rsidRPr="00092D80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092D80">
        <w:rPr>
          <w:rStyle w:val="FootnoteReference"/>
          <w:sz w:val="24"/>
          <w:lang w:val="hr-HR"/>
        </w:rPr>
        <w:footnoteRef/>
      </w:r>
      <w:r w:rsidR="00092D80" w:rsidRPr="00092D80">
        <w:rPr>
          <w:sz w:val="24"/>
          <w:lang w:val="hr-HR"/>
        </w:rPr>
        <w:t xml:space="preserve"> </w:t>
      </w:r>
      <w:r w:rsidR="00092D80" w:rsidRPr="00092D80">
        <w:rPr>
          <w:sz w:val="24"/>
          <w:lang w:val="hr-HR"/>
        </w:rPr>
        <w:tab/>
      </w:r>
      <w:r w:rsidRPr="00092D80">
        <w:rPr>
          <w:sz w:val="24"/>
          <w:lang w:val="hr-HR"/>
        </w:rPr>
        <w:t xml:space="preserve">Usvojeni tekstovi, </w:t>
      </w:r>
      <w:r w:rsidRPr="00AA18EC">
        <w:rPr>
          <w:sz w:val="24"/>
          <w:lang w:val="hr-HR"/>
        </w:rPr>
        <w:t>P9_TA(2023)0138</w:t>
      </w:r>
      <w:r w:rsidRPr="00092D80">
        <w:rPr>
          <w:sz w:val="24"/>
          <w:lang w:val="hr-HR"/>
        </w:rPr>
        <w:t>, stavak 74.</w:t>
      </w:r>
    </w:p>
  </w:footnote>
  <w:footnote w:id="20">
    <w:p w:rsidR="00F241CD" w:rsidRPr="00092D80" w:rsidRDefault="00F241CD" w:rsidP="00092D80">
      <w:pPr>
        <w:pStyle w:val="FootnoteText"/>
        <w:ind w:left="567" w:hanging="567"/>
        <w:rPr>
          <w:sz w:val="24"/>
          <w:lang w:val="hr-HR"/>
        </w:rPr>
      </w:pPr>
      <w:r w:rsidRPr="00092D80">
        <w:rPr>
          <w:rStyle w:val="FootnoteReference"/>
          <w:sz w:val="24"/>
          <w:lang w:val="hr-HR"/>
        </w:rPr>
        <w:footnoteRef/>
      </w:r>
      <w:r w:rsidR="00092D80" w:rsidRPr="00092D80">
        <w:rPr>
          <w:sz w:val="24"/>
          <w:lang w:val="hr-HR"/>
        </w:rPr>
        <w:t xml:space="preserve"> </w:t>
      </w:r>
      <w:r w:rsidR="00092D80" w:rsidRPr="00092D80">
        <w:rPr>
          <w:sz w:val="24"/>
          <w:lang w:val="hr-HR"/>
        </w:rPr>
        <w:tab/>
      </w:r>
      <w:r w:rsidRPr="00092D80">
        <w:rPr>
          <w:sz w:val="24"/>
          <w:lang w:val="hr-HR"/>
        </w:rPr>
        <w:t>Usvojeni tekstovi, P9_TA(2023)0137.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46/2023"/>
    <w:docVar w:name="dvlangue" w:val="HR"/>
    <w:docVar w:name="dvnumam" w:val="0"/>
    <w:docVar w:name="dvpe" w:val="751.681"/>
    <w:docVar w:name="dvrapporteur" w:val="Izvjestitelj: "/>
    <w:docVar w:name="dvtitre" w:val="Rezolucija Europskog parlamenta od .... 2024. o transparentnosti i odgovornosti nevladinih organizacija koje se financiraju iz proračuna EU-a(2023/2122(INI))"/>
  </w:docVars>
  <w:rsids>
    <w:rsidRoot w:val="00384799"/>
    <w:rsid w:val="00002272"/>
    <w:rsid w:val="00064002"/>
    <w:rsid w:val="000677B9"/>
    <w:rsid w:val="000831BA"/>
    <w:rsid w:val="00092D80"/>
    <w:rsid w:val="000A42CC"/>
    <w:rsid w:val="000E7DD9"/>
    <w:rsid w:val="0010095E"/>
    <w:rsid w:val="00125B37"/>
    <w:rsid w:val="00187494"/>
    <w:rsid w:val="001F32AE"/>
    <w:rsid w:val="0022417A"/>
    <w:rsid w:val="002767FF"/>
    <w:rsid w:val="00283A65"/>
    <w:rsid w:val="002B18FE"/>
    <w:rsid w:val="002B5493"/>
    <w:rsid w:val="00343214"/>
    <w:rsid w:val="00361C00"/>
    <w:rsid w:val="00384799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9F0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C0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39A0"/>
    <w:rsid w:val="00A778C7"/>
    <w:rsid w:val="00AA18EC"/>
    <w:rsid w:val="00AB441E"/>
    <w:rsid w:val="00AB6293"/>
    <w:rsid w:val="00AC540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C1B"/>
    <w:rsid w:val="00CC2357"/>
    <w:rsid w:val="00CF071A"/>
    <w:rsid w:val="00D058B8"/>
    <w:rsid w:val="00D07878"/>
    <w:rsid w:val="00D56C11"/>
    <w:rsid w:val="00D834A0"/>
    <w:rsid w:val="00D872DF"/>
    <w:rsid w:val="00D91E21"/>
    <w:rsid w:val="00DA7FCD"/>
    <w:rsid w:val="00E365E1"/>
    <w:rsid w:val="00E3690B"/>
    <w:rsid w:val="00E820A4"/>
    <w:rsid w:val="00EB006A"/>
    <w:rsid w:val="00EB4772"/>
    <w:rsid w:val="00ED169E"/>
    <w:rsid w:val="00ED4235"/>
    <w:rsid w:val="00F04346"/>
    <w:rsid w:val="00F075DC"/>
    <w:rsid w:val="00F149E9"/>
    <w:rsid w:val="00F241CD"/>
    <w:rsid w:val="00F5134D"/>
    <w:rsid w:val="00F55AE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E9109F"/>
  <w15:chartTrackingRefBased/>
  <w15:docId w15:val="{59ACBBD0-7DF0-4684-8B40-BD64AB28C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number,SUPERS,Footnote Reference Superscript,ftref,(Ref. de nota al pie),fr,-E Fußnotenzeichen,(Diplomarbeit FZ),(Diplomarbeit FZ)1,(Diplomarbeit FZ)2,(Diplomarbeit FZ)3,(Diplomarbeit FZ)4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241CD"/>
    <w:pPr>
      <w:spacing w:after="240"/>
      <w:ind w:left="567" w:hanging="567"/>
    </w:pPr>
  </w:style>
  <w:style w:type="paragraph" w:customStyle="1" w:styleId="EPComma">
    <w:name w:val="EPComma"/>
    <w:basedOn w:val="Normal"/>
    <w:rsid w:val="00F241CD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F241CD"/>
    <w:rPr>
      <w:color w:val="0000FF"/>
      <w:u w:val="single"/>
    </w:rPr>
  </w:style>
  <w:style w:type="character" w:customStyle="1" w:styleId="BoldItalic">
    <w:name w:val="BoldItalic"/>
    <w:uiPriority w:val="1"/>
    <w:rsid w:val="00F241CD"/>
    <w:rPr>
      <w:b/>
      <w:i/>
      <w:u w:val="none"/>
    </w:rPr>
  </w:style>
  <w:style w:type="character" w:customStyle="1" w:styleId="NormalHanging12aChar">
    <w:name w:val="NormalHanging12a Char"/>
    <w:basedOn w:val="DefaultParagraphFont"/>
    <w:link w:val="NormalHanging12a"/>
    <w:rsid w:val="00F241CD"/>
    <w:rPr>
      <w:sz w:val="24"/>
      <w:lang w:val="hr-HR"/>
    </w:rPr>
  </w:style>
  <w:style w:type="paragraph" w:styleId="BalloonText">
    <w:name w:val="Balloon Text"/>
    <w:basedOn w:val="Normal"/>
    <w:link w:val="BalloonTextChar"/>
    <w:rsid w:val="00E369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3690B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parl.europa.eu/doceo/document/TA-9-2023-0137_HR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13843-4B10-41AD-8C08-566E6181B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5727</Words>
  <Characters>36294</Characters>
  <Application>Microsoft Office Word</Application>
  <DocSecurity>0</DocSecurity>
  <Lines>302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RAONIĆ Ena</cp:lastModifiedBy>
  <cp:revision>2</cp:revision>
  <cp:lastPrinted>2004-11-19T15:42:00Z</cp:lastPrinted>
  <dcterms:created xsi:type="dcterms:W3CDTF">2024-02-19T10:02:00Z</dcterms:created>
  <dcterms:modified xsi:type="dcterms:W3CDTF">2024-02-19T10:02:00Z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A9-0446/2023</vt:lpwstr>
  </property>
  <property fmtid="{D5CDD505-2E9C-101B-9397-08002B2CF9AE}" pid="4" name="&lt;Type&gt;">
    <vt:lpwstr>RR</vt:lpwstr>
  </property>
</Properties>
</file>