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4ACF" w:rsidTr="0010095E">
        <w:trPr>
          <w:trHeight w:hRule="exact" w:val="1418"/>
        </w:trPr>
        <w:tc>
          <w:tcPr>
            <w:tcW w:w="6804" w:type="dxa"/>
            <w:shd w:val="clear" w:color="auto" w:fill="auto"/>
            <w:vAlign w:val="center"/>
          </w:tcPr>
          <w:p w:rsidR="00751A4A" w:rsidRPr="004B4ACF" w:rsidRDefault="00834BF7" w:rsidP="0010095E">
            <w:pPr>
              <w:pStyle w:val="EPName"/>
            </w:pPr>
            <w:r w:rsidRPr="004B4ACF">
              <w:t>Európai Parlament</w:t>
            </w:r>
          </w:p>
          <w:p w:rsidR="00751A4A" w:rsidRPr="004B4ACF" w:rsidRDefault="00817416" w:rsidP="00756632">
            <w:pPr>
              <w:pStyle w:val="EPTerm"/>
              <w:rPr>
                <w:rStyle w:val="HideTWBExt"/>
                <w:noProof w:val="0"/>
                <w:vanish w:val="0"/>
                <w:color w:val="auto"/>
              </w:rPr>
            </w:pPr>
            <w:r w:rsidRPr="004B4ACF">
              <w:t>2019-2024</w:t>
            </w:r>
          </w:p>
        </w:tc>
        <w:tc>
          <w:tcPr>
            <w:tcW w:w="2268" w:type="dxa"/>
            <w:shd w:val="clear" w:color="auto" w:fill="auto"/>
          </w:tcPr>
          <w:p w:rsidR="00751A4A" w:rsidRPr="004B4ACF" w:rsidRDefault="00187494" w:rsidP="0010095E">
            <w:pPr>
              <w:pStyle w:val="EPLogo"/>
            </w:pPr>
            <w:r w:rsidRPr="004B4AC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B4ACF" w:rsidRDefault="00D058B8" w:rsidP="004C5D52">
      <w:pPr>
        <w:pStyle w:val="LineTop"/>
      </w:pPr>
    </w:p>
    <w:p w:rsidR="00680577" w:rsidRPr="004B4ACF" w:rsidRDefault="00834BF7" w:rsidP="00680577">
      <w:pPr>
        <w:pStyle w:val="EPBodyTA1"/>
      </w:pPr>
      <w:r w:rsidRPr="004B4ACF">
        <w:t>ELFOGADOTT SZÖVEGEK</w:t>
      </w:r>
    </w:p>
    <w:p w:rsidR="00D058B8" w:rsidRPr="004B4ACF" w:rsidRDefault="00D058B8" w:rsidP="00D058B8">
      <w:pPr>
        <w:pStyle w:val="LineBottom"/>
      </w:pPr>
    </w:p>
    <w:p w:rsidR="00834BF7" w:rsidRPr="004B4ACF" w:rsidRDefault="00834BF7" w:rsidP="00834BF7">
      <w:pPr>
        <w:pStyle w:val="ATHeading1"/>
      </w:pPr>
      <w:bookmarkStart w:id="0" w:name="TANumber"/>
      <w:r w:rsidRPr="004B4ACF">
        <w:t>P9_</w:t>
      </w:r>
      <w:proofErr w:type="gramStart"/>
      <w:r w:rsidRPr="004B4ACF">
        <w:t>TA(</w:t>
      </w:r>
      <w:proofErr w:type="gramEnd"/>
      <w:r w:rsidRPr="004B4ACF">
        <w:t>2024)00</w:t>
      </w:r>
      <w:r w:rsidR="004B4ACF">
        <w:t>36</w:t>
      </w:r>
      <w:bookmarkEnd w:id="0"/>
    </w:p>
    <w:p w:rsidR="00834BF7" w:rsidRPr="004B4ACF" w:rsidRDefault="004B4ACF" w:rsidP="00834BF7">
      <w:pPr>
        <w:pStyle w:val="ATHeading2"/>
      </w:pPr>
      <w:bookmarkStart w:id="1" w:name="title"/>
      <w:r w:rsidRPr="004B4ACF">
        <w:t xml:space="preserve">Az uniós költségvetésből </w:t>
      </w:r>
      <w:proofErr w:type="gramStart"/>
      <w:r w:rsidRPr="004B4ACF">
        <w:t>finanszírozott</w:t>
      </w:r>
      <w:proofErr w:type="gramEnd"/>
      <w:r w:rsidRPr="004B4ACF">
        <w:t xml:space="preserve"> nem kormányzati szervezetek átláthatósága és elszámoltathatósága</w:t>
      </w:r>
      <w:bookmarkEnd w:id="1"/>
    </w:p>
    <w:p w:rsidR="00834BF7" w:rsidRPr="004B4ACF" w:rsidRDefault="00834BF7" w:rsidP="00834BF7">
      <w:pPr>
        <w:rPr>
          <w:i/>
          <w:vanish/>
        </w:rPr>
      </w:pPr>
      <w:r w:rsidRPr="004B4ACF">
        <w:rPr>
          <w:i/>
        </w:rPr>
        <w:fldChar w:fldCharType="begin"/>
      </w:r>
      <w:r w:rsidRPr="004B4ACF">
        <w:rPr>
          <w:i/>
        </w:rPr>
        <w:instrText xml:space="preserve"> TC"(</w:instrText>
      </w:r>
      <w:bookmarkStart w:id="2" w:name="DocNumber"/>
      <w:r w:rsidRPr="004B4ACF">
        <w:rPr>
          <w:i/>
        </w:rPr>
        <w:instrText>A9-0446/2023</w:instrText>
      </w:r>
      <w:bookmarkEnd w:id="2"/>
      <w:r w:rsidRPr="004B4ACF">
        <w:rPr>
          <w:i/>
        </w:rPr>
        <w:instrText xml:space="preserve"> - Előadó: Markus Pieper)"\l3 \n&gt; \* MERGEFORMAT </w:instrText>
      </w:r>
      <w:r w:rsidRPr="004B4ACF">
        <w:rPr>
          <w:i/>
        </w:rPr>
        <w:fldChar w:fldCharType="end"/>
      </w:r>
    </w:p>
    <w:p w:rsidR="00834BF7" w:rsidRPr="004B4ACF" w:rsidRDefault="00834BF7" w:rsidP="00834BF7">
      <w:pPr>
        <w:rPr>
          <w:vanish/>
        </w:rPr>
      </w:pPr>
      <w:bookmarkStart w:id="3" w:name="Commission"/>
      <w:r w:rsidRPr="004B4ACF">
        <w:rPr>
          <w:vanish/>
        </w:rPr>
        <w:t>Költségvetési Ellenőrző Bizottság</w:t>
      </w:r>
      <w:bookmarkEnd w:id="3"/>
    </w:p>
    <w:p w:rsidR="00834BF7" w:rsidRPr="004B4ACF" w:rsidRDefault="00834BF7" w:rsidP="00834BF7">
      <w:pPr>
        <w:rPr>
          <w:vanish/>
        </w:rPr>
      </w:pPr>
      <w:bookmarkStart w:id="4" w:name="PE"/>
      <w:r w:rsidRPr="004B4ACF">
        <w:rPr>
          <w:vanish/>
        </w:rPr>
        <w:t>PE751.681</w:t>
      </w:r>
      <w:bookmarkEnd w:id="4"/>
    </w:p>
    <w:p w:rsidR="00834BF7" w:rsidRPr="004B4ACF" w:rsidRDefault="00834BF7" w:rsidP="00834BF7">
      <w:pPr>
        <w:pStyle w:val="ATHeading3"/>
      </w:pPr>
      <w:bookmarkStart w:id="5" w:name="Sujet"/>
      <w:r w:rsidRPr="004B4ACF">
        <w:t xml:space="preserve">Az Európai Parlament 2024. </w:t>
      </w:r>
      <w:r w:rsidR="00814093" w:rsidRPr="004B4ACF">
        <w:t>január</w:t>
      </w:r>
      <w:r w:rsidRPr="004B4ACF">
        <w:t xml:space="preserve"> </w:t>
      </w:r>
      <w:r w:rsidR="004A46D2" w:rsidRPr="004B4ACF">
        <w:t>17-</w:t>
      </w:r>
      <w:r w:rsidRPr="004B4ACF">
        <w:t xml:space="preserve">i állásfoglalása az uniós költségvetésből </w:t>
      </w:r>
      <w:proofErr w:type="gramStart"/>
      <w:r w:rsidRPr="004B4ACF">
        <w:t>finanszírozott</w:t>
      </w:r>
      <w:proofErr w:type="gramEnd"/>
      <w:r w:rsidRPr="004B4ACF">
        <w:t xml:space="preserve"> nem kormányzati szervezetek átláthatóságáról és elszámoltathatóságáról</w:t>
      </w:r>
      <w:bookmarkEnd w:id="5"/>
      <w:r w:rsidRPr="004B4ACF">
        <w:t xml:space="preserve"> </w:t>
      </w:r>
      <w:bookmarkStart w:id="6" w:name="References"/>
      <w:r w:rsidRPr="004B4ACF">
        <w:t>(2023/2122(INI))</w:t>
      </w:r>
      <w:bookmarkEnd w:id="6"/>
    </w:p>
    <w:p w:rsidR="004E3A5F" w:rsidRPr="004B4ACF" w:rsidRDefault="004E3A5F" w:rsidP="004E3A5F">
      <w:pPr>
        <w:pStyle w:val="EPComma"/>
      </w:pPr>
      <w:bookmarkStart w:id="7" w:name="TextBodyBegin"/>
      <w:bookmarkEnd w:id="7"/>
      <w:r w:rsidRPr="004B4ACF">
        <w:rPr>
          <w:rStyle w:val="Italic"/>
        </w:rPr>
        <w:t>Az Európai Parlament</w:t>
      </w:r>
      <w:r w:rsidRPr="004B4ACF">
        <w:t>,</w:t>
      </w:r>
    </w:p>
    <w:p w:rsidR="004E3A5F" w:rsidRPr="004B4ACF" w:rsidRDefault="004E3A5F" w:rsidP="00814093">
      <w:pPr>
        <w:pStyle w:val="NormalHanging12a"/>
      </w:pPr>
      <w:r w:rsidRPr="004B4ACF">
        <w:t>–</w:t>
      </w:r>
      <w:r w:rsidRPr="004B4ACF">
        <w:tab/>
        <w:t>tekintettel az Európai Unióról szóló szerződésre, és különösen annak 2</w:t>
      </w:r>
      <w:proofErr w:type="gramStart"/>
      <w:r w:rsidRPr="004B4ACF">
        <w:t>.,</w:t>
      </w:r>
      <w:proofErr w:type="gramEnd"/>
      <w:r w:rsidRPr="004B4ACF">
        <w:t xml:space="preserve"> 3., 5. cikkére és 11. cikkének (2) bekezdésére, valamint 2. jegyzőkönyvére,</w:t>
      </w:r>
    </w:p>
    <w:p w:rsidR="004E3A5F" w:rsidRPr="004B4ACF" w:rsidRDefault="004E3A5F" w:rsidP="00814093">
      <w:pPr>
        <w:pStyle w:val="NormalHanging12a"/>
      </w:pPr>
      <w:r w:rsidRPr="004B4ACF">
        <w:t>–</w:t>
      </w:r>
      <w:r w:rsidRPr="004B4ACF">
        <w:tab/>
        <w:t>tekintettel az Európai Unió működéséről szóló szerződésre, és különösen annak 322. cikke (1a) bekezdésére és 325. cikke (4) bekezdésére,</w:t>
      </w:r>
    </w:p>
    <w:p w:rsidR="004E3A5F" w:rsidRPr="004B4ACF" w:rsidRDefault="004E3A5F" w:rsidP="00814093">
      <w:pPr>
        <w:pStyle w:val="NormalHanging12a"/>
      </w:pPr>
      <w:proofErr w:type="gramStart"/>
      <w:r w:rsidRPr="004B4ACF">
        <w:t>–</w:t>
      </w:r>
      <w:r w:rsidRPr="004B4ACF">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w:t>
      </w:r>
      <w:r w:rsidR="00D02406">
        <w:t xml:space="preserve">2018. július 18-i </w:t>
      </w:r>
      <w:r w:rsidR="000A3B0B">
        <w:t>(</w:t>
      </w:r>
      <w:r w:rsidR="002E3806">
        <w:t xml:space="preserve">EU, </w:t>
      </w:r>
      <w:bookmarkStart w:id="8" w:name="_GoBack"/>
      <w:bookmarkEnd w:id="8"/>
      <w:r w:rsidRPr="004B4ACF">
        <w:t>Euratom</w:t>
      </w:r>
      <w:r w:rsidR="000A3B0B">
        <w:t>) 2018/1046</w:t>
      </w:r>
      <w:r w:rsidRPr="004B4ACF">
        <w:t xml:space="preserve"> európai parlamenti és tanácsi rendeletre</w:t>
      </w:r>
      <w:r w:rsidRPr="004B4ACF">
        <w:rPr>
          <w:rStyle w:val="FootnoteReference"/>
        </w:rPr>
        <w:footnoteReference w:id="1"/>
      </w:r>
      <w:r w:rsidRPr="004B4ACF">
        <w:t xml:space="preserve"> (a továbbiakban: a költségvetési rendelet),</w:t>
      </w:r>
      <w:proofErr w:type="gramEnd"/>
    </w:p>
    <w:p w:rsidR="004E3A5F" w:rsidRPr="004B4ACF" w:rsidRDefault="004E3A5F" w:rsidP="00814093">
      <w:pPr>
        <w:pStyle w:val="NormalHanging12a"/>
      </w:pPr>
      <w:r w:rsidRPr="004B4ACF">
        <w:t>–</w:t>
      </w:r>
      <w:r w:rsidRPr="004B4ACF">
        <w:tab/>
        <w:t>tekintettel a Bizottságnak az Unió általános költségvetésére alkalmazandó pénzügyi szabályokról szóló európai parlamenti és tanácsi rendeletre irányuló, 2022. május 16-i javaslatára (</w:t>
      </w:r>
      <w:proofErr w:type="gramStart"/>
      <w:r w:rsidRPr="004B4ACF">
        <w:t>COM(</w:t>
      </w:r>
      <w:proofErr w:type="gramEnd"/>
      <w:r w:rsidRPr="004B4ACF">
        <w:t>2022)0223),</w:t>
      </w:r>
    </w:p>
    <w:p w:rsidR="004E3A5F" w:rsidRPr="004B4ACF" w:rsidRDefault="004E3A5F" w:rsidP="00814093">
      <w:pPr>
        <w:pStyle w:val="NormalHanging12a"/>
      </w:pPr>
      <w:r w:rsidRPr="004B4ACF">
        <w:t>–</w:t>
      </w:r>
      <w:r w:rsidRPr="004B4ACF">
        <w:tab/>
        <w:t>tekintettel Költségvetési Bizottságának és Költségvetési Ellenőrző Bizottságának 2023. május 4-i jelentésére az Unió általános költségvetésére alkalmazandó pénzügyi szabályokról szóló európai parlamenti és tanácsi rendeletre irányuló javaslatról,</w:t>
      </w:r>
    </w:p>
    <w:p w:rsidR="004E3A5F" w:rsidRPr="004B4ACF" w:rsidRDefault="004E3A5F" w:rsidP="00814093">
      <w:pPr>
        <w:pStyle w:val="NormalHanging12a"/>
      </w:pPr>
      <w:r w:rsidRPr="004B4ACF">
        <w:lastRenderedPageBreak/>
        <w:t>–</w:t>
      </w:r>
      <w:r w:rsidRPr="004B4ACF">
        <w:tab/>
        <w:t xml:space="preserve">tekintettel a közös agrárpolitika </w:t>
      </w:r>
      <w:proofErr w:type="gramStart"/>
      <w:r w:rsidRPr="004B4ACF">
        <w:t>finanszírozásáról</w:t>
      </w:r>
      <w:proofErr w:type="gramEnd"/>
      <w:r w:rsidRPr="004B4ACF">
        <w:t xml:space="preserve">, irányításáról és </w:t>
      </w:r>
      <w:proofErr w:type="spellStart"/>
      <w:r w:rsidRPr="004B4ACF">
        <w:t>monitoringjáról</w:t>
      </w:r>
      <w:proofErr w:type="spellEnd"/>
      <w:r w:rsidRPr="004B4ACF">
        <w:t>, valamint az 1306/2013/EU rendelet hatályon kívül helyezéséről szóló, 2021. december 2-i (EU) 2021/2116 európai parlamenti és tanácsi rendeletre</w:t>
      </w:r>
      <w:r w:rsidRPr="004B4ACF">
        <w:rPr>
          <w:rStyle w:val="FootnoteReference"/>
        </w:rPr>
        <w:footnoteReference w:id="2"/>
      </w:r>
      <w:r w:rsidRPr="004B4ACF">
        <w:t>,</w:t>
      </w:r>
    </w:p>
    <w:p w:rsidR="004E3A5F" w:rsidRPr="004B4ACF" w:rsidRDefault="004E3A5F" w:rsidP="00814093">
      <w:pPr>
        <w:pStyle w:val="NormalHanging12a"/>
      </w:pPr>
      <w:proofErr w:type="gramStart"/>
      <w:r w:rsidRPr="004B4ACF">
        <w:t>–</w:t>
      </w:r>
      <w:r w:rsidRPr="004B4ACF">
        <w:tab/>
        <w:t xml:space="preserve">tekintettel az Európai Regionális Fejlesztési Alapra, az Európai Szociális Alap Pluszra, a Kohéziós Alapra, az Igazságos Átmenet Alapra és az Európai Tengerügyi, Halászati és </w:t>
      </w:r>
      <w:proofErr w:type="spellStart"/>
      <w:r w:rsidRPr="004B4ACF">
        <w:t>Akvakultúra</w:t>
      </w:r>
      <w:proofErr w:type="spellEnd"/>
      <w:r w:rsidRPr="004B4ACF">
        <w:t>-alapra vonatkozó közös rendelkezések, valamint az előbbiekre és a Menekültügyi, Migrációs és Integrációs Alapra, a Belső Biztonsági Alapra és a határigazgatás és a vízumpolitika pénzügyi támogatására szolgáló eszközre vonatkozó pénzügyi szabályok megállapításáról szóló, 2021. június 24-i (EU) 2021/1060 európai parlamenti és tanácsi rendeletre</w:t>
      </w:r>
      <w:r w:rsidRPr="004B4ACF">
        <w:rPr>
          <w:rStyle w:val="FootnoteReference"/>
        </w:rPr>
        <w:footnoteReference w:id="3"/>
      </w:r>
      <w:r w:rsidRPr="004B4ACF">
        <w:t>,</w:t>
      </w:r>
      <w:proofErr w:type="gramEnd"/>
    </w:p>
    <w:p w:rsidR="004E3A5F" w:rsidRPr="004B4ACF" w:rsidRDefault="004E3A5F" w:rsidP="00814093">
      <w:pPr>
        <w:pStyle w:val="NormalHanging12a"/>
      </w:pPr>
      <w:r w:rsidRPr="004B4ACF">
        <w:t>–</w:t>
      </w:r>
      <w:r w:rsidRPr="004B4ACF">
        <w:tab/>
        <w:t>tekintettel „Az európai demokráciára vonatkozó cselekvési terv” című, 2020. december 3-i bizottsági közleményre (</w:t>
      </w:r>
      <w:proofErr w:type="gramStart"/>
      <w:r w:rsidRPr="004B4ACF">
        <w:t>COM(</w:t>
      </w:r>
      <w:proofErr w:type="gramEnd"/>
      <w:r w:rsidRPr="004B4ACF">
        <w:t>2020)0790),</w:t>
      </w:r>
    </w:p>
    <w:p w:rsidR="004E3A5F" w:rsidRPr="004B4ACF" w:rsidRDefault="004E3A5F" w:rsidP="00814093">
      <w:pPr>
        <w:pStyle w:val="NormalHanging12a"/>
      </w:pPr>
      <w:r w:rsidRPr="004B4ACF">
        <w:t>–</w:t>
      </w:r>
      <w:r w:rsidRPr="004B4ACF">
        <w:tab/>
        <w:t xml:space="preserve">tekintettel az Európai Számvevőszék 2018. december 18-i 35/2018. számú, „A nem kormányzati szervezeteknek juttatott uniós </w:t>
      </w:r>
      <w:proofErr w:type="gramStart"/>
      <w:r w:rsidRPr="004B4ACF">
        <w:t>finanszírozás</w:t>
      </w:r>
      <w:proofErr w:type="gramEnd"/>
      <w:r w:rsidRPr="004B4ACF">
        <w:t xml:space="preserve"> átláthatósága: több erőfeszítésre lenne szükség” című </w:t>
      </w:r>
      <w:proofErr w:type="spellStart"/>
      <w:r w:rsidRPr="004B4ACF">
        <w:t>különjelentésére</w:t>
      </w:r>
      <w:proofErr w:type="spellEnd"/>
      <w:r w:rsidRPr="004B4ACF">
        <w:t>,</w:t>
      </w:r>
    </w:p>
    <w:p w:rsidR="004E3A5F" w:rsidRPr="004B4ACF" w:rsidRDefault="004E3A5F" w:rsidP="00814093">
      <w:pPr>
        <w:pStyle w:val="NormalHanging12a"/>
      </w:pPr>
      <w:r w:rsidRPr="004B4ACF">
        <w:t>–</w:t>
      </w:r>
      <w:r w:rsidRPr="004B4ACF">
        <w:tab/>
        <w:t>tekintettel az Uniós Belső Politikák Főigazgatósága által 2010. november 25-én közzétett, „</w:t>
      </w:r>
      <w:proofErr w:type="spellStart"/>
      <w:r w:rsidRPr="004B4ACF">
        <w:t>Financing</w:t>
      </w:r>
      <w:proofErr w:type="spellEnd"/>
      <w:r w:rsidRPr="004B4ACF">
        <w:t xml:space="preserve"> of non-</w:t>
      </w:r>
      <w:proofErr w:type="spellStart"/>
      <w:r w:rsidRPr="004B4ACF">
        <w:t>governmental</w:t>
      </w:r>
      <w:proofErr w:type="spellEnd"/>
      <w:r w:rsidRPr="004B4ACF">
        <w:t xml:space="preserve"> </w:t>
      </w:r>
      <w:proofErr w:type="spellStart"/>
      <w:r w:rsidRPr="004B4ACF">
        <w:t>organisations</w:t>
      </w:r>
      <w:proofErr w:type="spellEnd"/>
      <w:r w:rsidRPr="004B4ACF">
        <w:t xml:space="preserve"> (</w:t>
      </w:r>
      <w:proofErr w:type="spellStart"/>
      <w:r w:rsidRPr="004B4ACF">
        <w:t>NGOs</w:t>
      </w:r>
      <w:proofErr w:type="spellEnd"/>
      <w:r w:rsidRPr="004B4ACF">
        <w:t xml:space="preserve">) </w:t>
      </w:r>
      <w:proofErr w:type="spellStart"/>
      <w:r w:rsidRPr="004B4ACF">
        <w:t>from</w:t>
      </w:r>
      <w:proofErr w:type="spellEnd"/>
      <w:r w:rsidRPr="004B4ACF">
        <w:t xml:space="preserve"> the EU </w:t>
      </w:r>
      <w:proofErr w:type="spellStart"/>
      <w:r w:rsidRPr="004B4ACF">
        <w:t>Budget</w:t>
      </w:r>
      <w:proofErr w:type="spellEnd"/>
      <w:r w:rsidRPr="004B4ACF">
        <w:t xml:space="preserve">” [A nem kormányzati szervezetek </w:t>
      </w:r>
      <w:proofErr w:type="gramStart"/>
      <w:r w:rsidRPr="004B4ACF">
        <w:t>finanszírozása</w:t>
      </w:r>
      <w:proofErr w:type="gramEnd"/>
      <w:r w:rsidRPr="004B4ACF">
        <w:t xml:space="preserve"> az uniós költségvetésből] című tanulmányra</w:t>
      </w:r>
      <w:r w:rsidRPr="004B4ACF">
        <w:rPr>
          <w:rStyle w:val="FootnoteReference"/>
        </w:rPr>
        <w:footnoteReference w:id="4"/>
      </w:r>
      <w:r w:rsidRPr="004B4ACF">
        <w:t>,</w:t>
      </w:r>
    </w:p>
    <w:p w:rsidR="004E3A5F" w:rsidRPr="004B4ACF" w:rsidRDefault="004E3A5F" w:rsidP="00814093">
      <w:pPr>
        <w:pStyle w:val="NormalHanging12a"/>
      </w:pPr>
      <w:r w:rsidRPr="004B4ACF">
        <w:t>–</w:t>
      </w:r>
      <w:r w:rsidRPr="004B4ACF">
        <w:tab/>
        <w:t>tekintettel az Unió Belső Politikák Főigazgatósága által 2017. január 24-én közzétett, „</w:t>
      </w:r>
      <w:proofErr w:type="spellStart"/>
      <w:r w:rsidRPr="004B4ACF">
        <w:t>Democratic</w:t>
      </w:r>
      <w:proofErr w:type="spellEnd"/>
      <w:r w:rsidRPr="004B4ACF">
        <w:t xml:space="preserve"> </w:t>
      </w:r>
      <w:proofErr w:type="spellStart"/>
      <w:r w:rsidRPr="004B4ACF">
        <w:t>accountability</w:t>
      </w:r>
      <w:proofErr w:type="spellEnd"/>
      <w:r w:rsidRPr="004B4ACF">
        <w:t xml:space="preserve"> and </w:t>
      </w:r>
      <w:proofErr w:type="spellStart"/>
      <w:r w:rsidRPr="004B4ACF">
        <w:t>Budgetary</w:t>
      </w:r>
      <w:proofErr w:type="spellEnd"/>
      <w:r w:rsidRPr="004B4ACF">
        <w:t xml:space="preserve"> </w:t>
      </w:r>
      <w:proofErr w:type="spellStart"/>
      <w:r w:rsidRPr="004B4ACF">
        <w:t>Control</w:t>
      </w:r>
      <w:proofErr w:type="spellEnd"/>
      <w:r w:rsidRPr="004B4ACF">
        <w:t xml:space="preserve"> of non-</w:t>
      </w:r>
      <w:proofErr w:type="spellStart"/>
      <w:r w:rsidRPr="004B4ACF">
        <w:t>governmental</w:t>
      </w:r>
      <w:proofErr w:type="spellEnd"/>
      <w:r w:rsidRPr="004B4ACF">
        <w:t xml:space="preserve"> </w:t>
      </w:r>
      <w:proofErr w:type="spellStart"/>
      <w:r w:rsidRPr="004B4ACF">
        <w:t>organisations</w:t>
      </w:r>
      <w:proofErr w:type="spellEnd"/>
      <w:r w:rsidRPr="004B4ACF">
        <w:t xml:space="preserve"> </w:t>
      </w:r>
      <w:proofErr w:type="spellStart"/>
      <w:r w:rsidRPr="004B4ACF">
        <w:t>funded</w:t>
      </w:r>
      <w:proofErr w:type="spellEnd"/>
      <w:r w:rsidRPr="004B4ACF">
        <w:t xml:space="preserve"> </w:t>
      </w:r>
      <w:proofErr w:type="spellStart"/>
      <w:r w:rsidRPr="004B4ACF">
        <w:t>by</w:t>
      </w:r>
      <w:proofErr w:type="spellEnd"/>
      <w:r w:rsidRPr="004B4ACF">
        <w:t xml:space="preserve"> the EU </w:t>
      </w:r>
      <w:proofErr w:type="spellStart"/>
      <w:r w:rsidRPr="004B4ACF">
        <w:t>Budget</w:t>
      </w:r>
      <w:proofErr w:type="spellEnd"/>
      <w:r w:rsidRPr="004B4ACF">
        <w:t xml:space="preserve">” [Az uniós költségvetésből </w:t>
      </w:r>
      <w:proofErr w:type="gramStart"/>
      <w:r w:rsidRPr="004B4ACF">
        <w:t>finanszírozott</w:t>
      </w:r>
      <w:proofErr w:type="gramEnd"/>
      <w:r w:rsidRPr="004B4ACF">
        <w:t xml:space="preserve"> nem kormányzati szervezetek demokratikus elszámoltathatósága és költségvetési ellenőrzése] című tanulmányra</w:t>
      </w:r>
      <w:r w:rsidRPr="004B4ACF">
        <w:rPr>
          <w:rStyle w:val="FootnoteReference"/>
        </w:rPr>
        <w:footnoteReference w:id="5"/>
      </w:r>
      <w:r w:rsidRPr="004B4ACF">
        <w:t>, valamint az azt követő, 2019. január 21-i frissítésre,</w:t>
      </w:r>
    </w:p>
    <w:p w:rsidR="004E3A5F" w:rsidRPr="004B4ACF" w:rsidRDefault="004E3A5F" w:rsidP="00814093">
      <w:pPr>
        <w:pStyle w:val="NormalHanging12a"/>
      </w:pPr>
      <w:r w:rsidRPr="004B4ACF">
        <w:t>–</w:t>
      </w:r>
      <w:r w:rsidRPr="004B4ACF">
        <w:tab/>
        <w:t>tekintettel az Unió Belső Politikák Főigazgatósága által 2023. szeptember 28-án közzétett, „</w:t>
      </w:r>
      <w:proofErr w:type="spellStart"/>
      <w:r w:rsidRPr="004B4ACF">
        <w:t>Transparency</w:t>
      </w:r>
      <w:proofErr w:type="spellEnd"/>
      <w:r w:rsidRPr="004B4ACF">
        <w:t xml:space="preserve"> and </w:t>
      </w:r>
      <w:proofErr w:type="spellStart"/>
      <w:r w:rsidRPr="004B4ACF">
        <w:t>accountability</w:t>
      </w:r>
      <w:proofErr w:type="spellEnd"/>
      <w:r w:rsidRPr="004B4ACF">
        <w:t xml:space="preserve"> of EU </w:t>
      </w:r>
      <w:proofErr w:type="spellStart"/>
      <w:r w:rsidRPr="004B4ACF">
        <w:t>funding</w:t>
      </w:r>
      <w:proofErr w:type="spellEnd"/>
      <w:r w:rsidRPr="004B4ACF">
        <w:t xml:space="preserve"> </w:t>
      </w:r>
      <w:proofErr w:type="spellStart"/>
      <w:r w:rsidRPr="004B4ACF">
        <w:t>for</w:t>
      </w:r>
      <w:proofErr w:type="spellEnd"/>
      <w:r w:rsidRPr="004B4ACF">
        <w:t xml:space="preserve"> </w:t>
      </w:r>
      <w:proofErr w:type="spellStart"/>
      <w:r w:rsidRPr="004B4ACF">
        <w:t>NGOs</w:t>
      </w:r>
      <w:proofErr w:type="spellEnd"/>
      <w:r w:rsidRPr="004B4ACF">
        <w:t xml:space="preserve"> </w:t>
      </w:r>
      <w:proofErr w:type="spellStart"/>
      <w:r w:rsidRPr="004B4ACF">
        <w:t>active</w:t>
      </w:r>
      <w:proofErr w:type="spellEnd"/>
      <w:r w:rsidRPr="004B4ACF">
        <w:t xml:space="preserve"> in EU policy </w:t>
      </w:r>
      <w:proofErr w:type="spellStart"/>
      <w:r w:rsidRPr="004B4ACF">
        <w:t>areas</w:t>
      </w:r>
      <w:proofErr w:type="spellEnd"/>
      <w:r w:rsidRPr="004B4ACF">
        <w:t xml:space="preserve"> </w:t>
      </w:r>
      <w:proofErr w:type="spellStart"/>
      <w:r w:rsidRPr="004B4ACF">
        <w:t>within</w:t>
      </w:r>
      <w:proofErr w:type="spellEnd"/>
      <w:r w:rsidRPr="004B4ACF">
        <w:t xml:space="preserve"> EU </w:t>
      </w:r>
      <w:proofErr w:type="spellStart"/>
      <w:r w:rsidRPr="004B4ACF">
        <w:t>territory</w:t>
      </w:r>
      <w:proofErr w:type="spellEnd"/>
      <w:r w:rsidRPr="004B4ACF">
        <w:t xml:space="preserve">” [Az EU területén az uniós szakpolitikai területeken tevékenykedő nem kormányzati szervezeteknek juttatott uniós </w:t>
      </w:r>
      <w:proofErr w:type="gramStart"/>
      <w:r w:rsidRPr="004B4ACF">
        <w:t>finanszírozás</w:t>
      </w:r>
      <w:proofErr w:type="gramEnd"/>
      <w:r w:rsidRPr="004B4ACF">
        <w:t xml:space="preserve"> átláthatósága és elszámoltathatósága] című tanulmányra</w:t>
      </w:r>
      <w:r w:rsidRPr="004B4ACF">
        <w:rPr>
          <w:rStyle w:val="FootnoteReference"/>
        </w:rPr>
        <w:footnoteReference w:id="6"/>
      </w:r>
      <w:r w:rsidRPr="004B4ACF">
        <w:t xml:space="preserve"> (a továbbiakban: az „átláthatósági és elszámoltathatósági tanulmány”),</w:t>
      </w:r>
    </w:p>
    <w:p w:rsidR="004E3A5F" w:rsidRPr="004B4ACF" w:rsidRDefault="004E3A5F" w:rsidP="00814093">
      <w:pPr>
        <w:pStyle w:val="NormalHanging12a"/>
      </w:pPr>
      <w:r w:rsidRPr="004B4ACF">
        <w:lastRenderedPageBreak/>
        <w:t>–</w:t>
      </w:r>
      <w:r w:rsidRPr="004B4ACF">
        <w:tab/>
        <w:t xml:space="preserve">tekintettel a Bizottság 2021 márciusában közzétett, az uniós </w:t>
      </w:r>
      <w:proofErr w:type="gramStart"/>
      <w:r w:rsidRPr="004B4ACF">
        <w:t>finanszírozás</w:t>
      </w:r>
      <w:proofErr w:type="gramEnd"/>
      <w:r w:rsidRPr="004B4ACF">
        <w:t xml:space="preserve"> kedvezményezettjei számára készült, „Az uniós embléma használata a 2021–2027-es uniós programokkal összefüggésben” című operatív iránymutatásaira,</w:t>
      </w:r>
    </w:p>
    <w:p w:rsidR="004E3A5F" w:rsidRPr="004B4ACF" w:rsidRDefault="004E3A5F" w:rsidP="00814093">
      <w:pPr>
        <w:pStyle w:val="NormalHanging12a"/>
      </w:pPr>
      <w:r w:rsidRPr="004B4ACF">
        <w:t>–</w:t>
      </w:r>
      <w:r w:rsidRPr="004B4ACF">
        <w:tab/>
        <w:t>tekintettel a határokon átnyúló európai egyesületek és nonprofit szervezetek statútumáról szóló, a Bizottságnak szóló ajánlásokat tartalmazó, 2022. február 17-i állásfoglalására</w:t>
      </w:r>
      <w:r w:rsidRPr="004B4ACF">
        <w:rPr>
          <w:rStyle w:val="FootnoteReference"/>
        </w:rPr>
        <w:footnoteReference w:id="7"/>
      </w:r>
      <w:r w:rsidRPr="004B4ACF">
        <w:t>,</w:t>
      </w:r>
    </w:p>
    <w:p w:rsidR="004E3A5F" w:rsidRPr="004B4ACF" w:rsidRDefault="004E3A5F" w:rsidP="00814093">
      <w:pPr>
        <w:pStyle w:val="NormalHanging12a"/>
      </w:pPr>
      <w:r w:rsidRPr="004B4ACF">
        <w:t>–</w:t>
      </w:r>
      <w:r w:rsidRPr="004B4ACF">
        <w:tab/>
        <w:t xml:space="preserve">tekintettel 2023. május 10-i állásfoglalására az Európai Unió 2021-es pénzügyi évre szóló általános költségvetésének végrehajtására vonatkozó </w:t>
      </w:r>
      <w:proofErr w:type="gramStart"/>
      <w:r w:rsidRPr="004B4ACF">
        <w:t>mentesítésről</w:t>
      </w:r>
      <w:proofErr w:type="gramEnd"/>
      <w:r w:rsidRPr="004B4ACF">
        <w:t xml:space="preserve"> szóló határozatok szerves részét képező észrevételekkel, III. szakasz – Bizottság és végrehajtó ügynökségek</w:t>
      </w:r>
      <w:r w:rsidRPr="004B4ACF">
        <w:rPr>
          <w:rStyle w:val="FootnoteReference"/>
        </w:rPr>
        <w:footnoteReference w:id="8"/>
      </w:r>
      <w:r w:rsidRPr="004B4ACF">
        <w:t>,</w:t>
      </w:r>
    </w:p>
    <w:p w:rsidR="004E3A5F" w:rsidRPr="004B4ACF" w:rsidRDefault="004E3A5F" w:rsidP="00814093">
      <w:pPr>
        <w:pStyle w:val="NormalHanging12a"/>
      </w:pPr>
      <w:r w:rsidRPr="004B4ACF">
        <w:t>–</w:t>
      </w:r>
      <w:r w:rsidRPr="004B4ACF">
        <w:tab/>
        <w:t xml:space="preserve">tekintettel 2023. május 10-i állásfoglalására az Európai Unió 2021. évi pénzügyi évre szóló általános költségvetésének végrehajtására vonatkozó </w:t>
      </w:r>
      <w:proofErr w:type="gramStart"/>
      <w:r w:rsidRPr="004B4ACF">
        <w:t>mentesítésről</w:t>
      </w:r>
      <w:proofErr w:type="gramEnd"/>
      <w:r w:rsidRPr="004B4ACF">
        <w:t xml:space="preserve"> szóló határozat szerves részét képező megjegyzésekkel, I. szakasz – Európai Parlament</w:t>
      </w:r>
      <w:r w:rsidRPr="004B4ACF">
        <w:rPr>
          <w:rStyle w:val="FootnoteReference"/>
        </w:rPr>
        <w:footnoteReference w:id="9"/>
      </w:r>
      <w:r w:rsidRPr="004B4ACF">
        <w:t>,</w:t>
      </w:r>
    </w:p>
    <w:p w:rsidR="004E3A5F" w:rsidRPr="004B4ACF" w:rsidRDefault="004E3A5F" w:rsidP="00814093">
      <w:pPr>
        <w:pStyle w:val="NormalHanging12a"/>
      </w:pPr>
      <w:r w:rsidRPr="004B4ACF">
        <w:t>–</w:t>
      </w:r>
      <w:r w:rsidRPr="004B4ACF">
        <w:tab/>
        <w:t xml:space="preserve">tekintettel az Európai Parlament átláthatóságra, feddhetetlenségre, elszámoltathatóságra és </w:t>
      </w:r>
      <w:proofErr w:type="gramStart"/>
      <w:r w:rsidRPr="004B4ACF">
        <w:t>korrupció</w:t>
      </w:r>
      <w:proofErr w:type="gramEnd"/>
      <w:r w:rsidRPr="004B4ACF">
        <w:t xml:space="preserve"> elleni küzdelemre vonatkozó szabályainak reformjára vonatkozó ajánlásokról szóló, 2023. július 13-i állásfoglalására</w:t>
      </w:r>
      <w:r w:rsidRPr="004B4ACF">
        <w:rPr>
          <w:rStyle w:val="FootnoteReference"/>
        </w:rPr>
        <w:footnoteReference w:id="10"/>
      </w:r>
      <w:r w:rsidRPr="004B4ACF">
        <w:t>,</w:t>
      </w:r>
    </w:p>
    <w:p w:rsidR="004E3A5F" w:rsidRPr="004B4ACF" w:rsidRDefault="004E3A5F" w:rsidP="00814093">
      <w:pPr>
        <w:pStyle w:val="NormalHanging12a"/>
        <w:rPr>
          <w:b/>
          <w:i/>
        </w:rPr>
      </w:pPr>
      <w:r w:rsidRPr="004B4ACF">
        <w:rPr>
          <w:b/>
          <w:i/>
        </w:rPr>
        <w:t>–</w:t>
      </w:r>
      <w:r w:rsidRPr="004B4ACF">
        <w:rPr>
          <w:b/>
          <w:i/>
        </w:rPr>
        <w:tab/>
      </w:r>
      <w:r w:rsidRPr="004B4ACF">
        <w:t xml:space="preserve">tekintettel az Európai Unió 2021. évi pénzügyi évre szóló általános költségvetésének végrehajtására vonatkozó </w:t>
      </w:r>
      <w:proofErr w:type="gramStart"/>
      <w:r w:rsidRPr="004B4ACF">
        <w:t>mentesítésről</w:t>
      </w:r>
      <w:proofErr w:type="gramEnd"/>
      <w:r w:rsidRPr="004B4ACF">
        <w:t>, III. szakasz – Bizottság</w:t>
      </w:r>
      <w:r w:rsidRPr="004B4ACF">
        <w:rPr>
          <w:vertAlign w:val="superscript"/>
        </w:rPr>
        <w:footnoteReference w:id="11"/>
      </w:r>
      <w:r w:rsidRPr="004B4ACF">
        <w:t>,</w:t>
      </w:r>
    </w:p>
    <w:p w:rsidR="004E3A5F" w:rsidRPr="004B4ACF" w:rsidRDefault="004E3A5F" w:rsidP="00814093">
      <w:pPr>
        <w:pStyle w:val="NormalHanging12a"/>
      </w:pPr>
      <w:r w:rsidRPr="004B4ACF">
        <w:t>–</w:t>
      </w:r>
      <w:r w:rsidRPr="004B4ACF">
        <w:tab/>
        <w:t>tekintettel a Külügyi Bizottság, valamint az Állampolgári Jogi, Bel- és Igazságügyi Bizottság véleményére,</w:t>
      </w:r>
    </w:p>
    <w:p w:rsidR="004E3A5F" w:rsidRPr="004B4ACF" w:rsidRDefault="004E3A5F" w:rsidP="00814093">
      <w:pPr>
        <w:pStyle w:val="NormalHanging12a"/>
      </w:pPr>
      <w:r w:rsidRPr="004B4ACF">
        <w:t>–</w:t>
      </w:r>
      <w:r w:rsidRPr="004B4ACF">
        <w:tab/>
        <w:t>tekintettel eljárási szabályzata 54. cikkére,</w:t>
      </w:r>
    </w:p>
    <w:p w:rsidR="004E3A5F" w:rsidRPr="004B4ACF" w:rsidRDefault="004E3A5F" w:rsidP="00814093">
      <w:pPr>
        <w:pStyle w:val="NormalHanging12a"/>
      </w:pPr>
      <w:r w:rsidRPr="004B4ACF">
        <w:t>–</w:t>
      </w:r>
      <w:r w:rsidRPr="004B4ACF">
        <w:tab/>
        <w:t>tekintettel a Költségvetési Ellenőrző Bizottság jelentésére (A9-0446/2023),</w:t>
      </w:r>
    </w:p>
    <w:p w:rsidR="004E3A5F" w:rsidRPr="004B4ACF" w:rsidRDefault="004E3A5F" w:rsidP="00814093">
      <w:pPr>
        <w:pStyle w:val="NormalHanging12a"/>
      </w:pPr>
      <w:r w:rsidRPr="004B4ACF">
        <w:t>A.</w:t>
      </w:r>
      <w:r w:rsidRPr="004B4ACF">
        <w:tab/>
      </w:r>
      <w:proofErr w:type="gramStart"/>
      <w:r w:rsidRPr="004B4ACF">
        <w:t>mivel az EU átláthatósági és elszámoltathatósági mechanizmusokat dolgozott ki annak biztosítására, hogy a kedvezményezetteknek, köztük a nem kormányzati szervezeteknek odaítélt uniós pénzeszközöket hatékonyan, eredményesen és az EU értékeivel, politikáival és pénzügyi szabályaival összhangban használják fel, amelyeket többek között a költségvetési rendelet is rögzít, amely az átláthatóságot egyik irányadó költségvetési alapelvként határozza meg, és előírja a Bizottság számára, hogy megfelelő módon és időben tegye hozzáférhetővé az uniós pénzeszközökre vonatkozó információkat;</w:t>
      </w:r>
      <w:proofErr w:type="gramEnd"/>
    </w:p>
    <w:p w:rsidR="004E3A5F" w:rsidRPr="004B4ACF" w:rsidRDefault="004E3A5F" w:rsidP="00814093">
      <w:pPr>
        <w:pStyle w:val="NormalHanging12a"/>
        <w:rPr>
          <w:b/>
          <w:i/>
        </w:rPr>
      </w:pPr>
      <w:r w:rsidRPr="004B4ACF">
        <w:t>B.</w:t>
      </w:r>
      <w:r w:rsidRPr="004B4ACF">
        <w:tab/>
        <w:t>mivel az EU a civil társadalmi szervezetek egyik legnagyobb pénzügyi támogatója</w:t>
      </w:r>
      <w:r w:rsidRPr="004B4ACF">
        <w:rPr>
          <w:vertAlign w:val="superscript"/>
        </w:rPr>
        <w:footnoteReference w:id="12"/>
      </w:r>
      <w:r w:rsidRPr="004B4ACF">
        <w:t>;</w:t>
      </w:r>
    </w:p>
    <w:p w:rsidR="004E3A5F" w:rsidRPr="004B4ACF" w:rsidRDefault="004E3A5F" w:rsidP="00814093">
      <w:pPr>
        <w:pStyle w:val="NormalHanging12a"/>
      </w:pPr>
      <w:proofErr w:type="gramStart"/>
      <w:r w:rsidRPr="004B4ACF">
        <w:lastRenderedPageBreak/>
        <w:t>C.</w:t>
      </w:r>
      <w:r w:rsidRPr="004B4ACF">
        <w:tab/>
        <w:t>mivel a civil társadalom a mérsékelt közösségi tevékenységektől kezdve a nem kormányzati szervezeteket is magában foglalja; mivel az uniós támogatásban részesülő nem kormányzati szervezetek széles spektrumot fednek le a struktúrák, működési módszerek, finanszírozási források és beavatkozási területek tekintetében, ami az uniós forrásokból finanszírozott projektek széles skáláját eredményezi; mivel a Szerződések előírják az uniós intézmények és az uniós tagállamok számára, hogy folytassanak nyílt, átlátható és rendszeres párbeszédet az érdekképviseleti szervezetekkel és a civil társadalommal;</w:t>
      </w:r>
      <w:proofErr w:type="gramEnd"/>
      <w:r w:rsidRPr="004B4ACF">
        <w:t xml:space="preserve"> </w:t>
      </w:r>
      <w:proofErr w:type="gramStart"/>
      <w:r w:rsidRPr="004B4ACF">
        <w:t>mivel az Uniónak és tagállamainak megfelelő finanszírozást kell biztosítaniuk az uniós Szerződésekben rögzített jogok és értékek védelmét és előmozdítását célzó programok számára; mivel a nem kormányzati szervezetek és a civil társadalmi szervezetek fontos szerepet játszanak e programok végrehajtásában; mivel egyes esetekben a hatóságok nem kormányzati szervezetekhez és civil társadalmi szervezetekhez szerveznek ki feladatokat; mivel a Bizottság közvetlenül, közvetve vagy megosztott módon irányítja az uniós forrásokat; mivel a Bizottság a szubszidiaritás elvével összhangban csak a kedvezményezetteknek</w:t>
      </w:r>
      <w:proofErr w:type="gramEnd"/>
      <w:r w:rsidRPr="004B4ACF">
        <w:t xml:space="preserve"> – köztük a nem kormányzati szervezeteknek – közvetlenül odaítélt támogatásokat ellenőrzi, és csak azokról készít jelentést;</w:t>
      </w:r>
    </w:p>
    <w:p w:rsidR="004E3A5F" w:rsidRPr="004B4ACF" w:rsidRDefault="004B4ACF" w:rsidP="00814093">
      <w:pPr>
        <w:pStyle w:val="NormalHanging12a"/>
      </w:pPr>
      <w:r>
        <w:t>D</w:t>
      </w:r>
      <w:r w:rsidR="004E3A5F" w:rsidRPr="004B4ACF">
        <w:t>.</w:t>
      </w:r>
      <w:r w:rsidR="004E3A5F" w:rsidRPr="004B4ACF">
        <w:tab/>
        <w:t xml:space="preserve">mivel a Bizottság pénzügyi átláthatósági rendszere (FTS) a fő forrása azoknak a nyilvánosan elérhető adatoknak, amelyek a közvetlenül a Bizottság által irányított támogatások és szerződések kiterjedt elemzéséhez felhasználhatók; mivel egyértelmű különbséget kell tenni a nyilvános átláthatóság és a </w:t>
      </w:r>
      <w:proofErr w:type="gramStart"/>
      <w:r w:rsidR="004E3A5F" w:rsidRPr="004B4ACF">
        <w:t>legitim</w:t>
      </w:r>
      <w:proofErr w:type="gramEnd"/>
      <w:r w:rsidR="004E3A5F" w:rsidRPr="004B4ACF">
        <w:t xml:space="preserve"> költségvetési ellenőrzés célját szolgáló átláthatóság között, tekintettel azokra az érzékeny összefüggésekre és kérdésekre, amelyekkel a nem kormányzati szervezetek foglalkoznak;</w:t>
      </w:r>
    </w:p>
    <w:p w:rsidR="004E3A5F" w:rsidRPr="004B4ACF" w:rsidRDefault="004B4ACF" w:rsidP="00814093">
      <w:pPr>
        <w:pStyle w:val="NormalHanging12a"/>
      </w:pPr>
      <w:r>
        <w:t>E</w:t>
      </w:r>
      <w:r w:rsidR="004E3A5F" w:rsidRPr="004B4ACF">
        <w:t>.</w:t>
      </w:r>
      <w:r w:rsidR="004E3A5F" w:rsidRPr="004B4ACF">
        <w:tab/>
        <w:t>mivel az FTS adatainak elemzése azt mutatja, hogy a nem kormányzati szervezetekkel kapcsolatos uniós pénzügyi kötelezettségvállalások – az oktatás és kutatás területén zajló uniós programok nélkül – 2022-ben legalább 2,6 milliárd EUR-t tettek ki, közvetlen irányítás keretében és az összes uniós program és alap tekintetében;</w:t>
      </w:r>
    </w:p>
    <w:p w:rsidR="004E3A5F" w:rsidRPr="004B4ACF" w:rsidRDefault="004B4ACF" w:rsidP="00814093">
      <w:pPr>
        <w:pStyle w:val="NormalHanging12a"/>
      </w:pPr>
      <w:r>
        <w:t>F</w:t>
      </w:r>
      <w:r w:rsidR="004E3A5F" w:rsidRPr="004B4ACF">
        <w:t>.</w:t>
      </w:r>
      <w:r w:rsidR="004E3A5F" w:rsidRPr="004B4ACF">
        <w:tab/>
      </w:r>
      <w:proofErr w:type="gramStart"/>
      <w:r w:rsidR="004E3A5F" w:rsidRPr="004B4ACF">
        <w:t>mivel az uniós átláthatósági és elszámoltathatósági követelményeknek és ellenőrzéseknek az uniós forrásokból részesülő összes érdekképviselőre ki kell terjedniük; mivel az uniós átláthatósági nyilvántartásban 3 377 szervezetet</w:t>
      </w:r>
      <w:r w:rsidR="004E3A5F" w:rsidRPr="004B4ACF">
        <w:rPr>
          <w:vertAlign w:val="superscript"/>
        </w:rPr>
        <w:footnoteReference w:id="13"/>
      </w:r>
      <w:r w:rsidR="004E3A5F" w:rsidRPr="004B4ACF">
        <w:t xml:space="preserve"> tartanak nyilván a „nem kormányzati szervezetek, platformok, hálózatok és hasonlók” kategóriában; mivel a követelmények jellegének és az ellenőrzéseknek meg kell felelniük az átláthatósági nyilvántartásban meghatározott kategorizálásnak annak érdekében, hogy azok ne csak a nem kormányzati szervezeteket, hanem a szervezetek összes jogi formáját figyelembe vegyék; mivel a</w:t>
      </w:r>
      <w:proofErr w:type="gramEnd"/>
      <w:r w:rsidR="004E3A5F" w:rsidRPr="004B4ACF">
        <w:t xml:space="preserve">z </w:t>
      </w:r>
      <w:proofErr w:type="gramStart"/>
      <w:r w:rsidR="004E3A5F" w:rsidRPr="004B4ACF">
        <w:t>uniós</w:t>
      </w:r>
      <w:proofErr w:type="gramEnd"/>
      <w:r w:rsidR="004E3A5F" w:rsidRPr="004B4ACF">
        <w:t xml:space="preserve"> követelményeket és az ellenőrzéseket nem kizárólag az átláthatósági nyilvántartáshoz kell kötni, mivel egyes uniós forrásokból részesülő szervezetek dönthetnek úgy, hogy inkább kimaradhatnak ebből a nyilvántartásból, hogy ne kockáztassák létezésüket;</w:t>
      </w:r>
    </w:p>
    <w:p w:rsidR="004E3A5F" w:rsidRPr="004B4ACF" w:rsidRDefault="004B4ACF" w:rsidP="00814093">
      <w:pPr>
        <w:pStyle w:val="NormalHanging12a"/>
      </w:pPr>
      <w:r>
        <w:t>G</w:t>
      </w:r>
      <w:r w:rsidR="004E3A5F" w:rsidRPr="004B4ACF">
        <w:t>.</w:t>
      </w:r>
      <w:r w:rsidR="004E3A5F" w:rsidRPr="004B4ACF">
        <w:tab/>
      </w:r>
      <w:proofErr w:type="gramStart"/>
      <w:r w:rsidR="004E3A5F" w:rsidRPr="004B4ACF">
        <w:t xml:space="preserve">mivel az uniós átláthatósági és elszámoltathatósági követelményeknek és ellenőrzéseknek ki kell terjednie az uniós forrásokból részesülő összes kedvezményezettre, köztük a nem kormányzati szervezetekre is, amelyeknek pontos és átlátható pénzügyi nyilvántartást kell vezetniük, többek között az uniós források felhasználásáról és a működésükre fordított pénzügyi források eredetéről, mivel tagjaik, adományozóik, partnereik és kedvezményezettjeik felé elszámolással tartoznak az </w:t>
      </w:r>
      <w:r w:rsidR="004E3A5F" w:rsidRPr="004B4ACF">
        <w:lastRenderedPageBreak/>
        <w:t>általuk végzett tevékenységekről, finanszírozási forrásaikról – beleértve az uniós forrásokat is – és az érdekelt felek nevében</w:t>
      </w:r>
      <w:proofErr w:type="gramEnd"/>
      <w:r w:rsidR="004E3A5F" w:rsidRPr="004B4ACF">
        <w:t xml:space="preserve"> </w:t>
      </w:r>
      <w:proofErr w:type="gramStart"/>
      <w:r w:rsidR="004E3A5F" w:rsidRPr="004B4ACF">
        <w:t>hozott</w:t>
      </w:r>
      <w:proofErr w:type="gramEnd"/>
      <w:r w:rsidR="004E3A5F" w:rsidRPr="004B4ACF">
        <w:t xml:space="preserve"> döntéseikről; mivel a nem kormányzati szervezetek jogi alapjait a tagállamok fektetik le, és e szervezetek jogállását nemzeti szinten veszik nyilvántartásba;</w:t>
      </w:r>
    </w:p>
    <w:p w:rsidR="004E3A5F" w:rsidRPr="004B4ACF" w:rsidRDefault="004B4ACF" w:rsidP="00814093">
      <w:pPr>
        <w:pStyle w:val="NormalHanging12a"/>
      </w:pPr>
      <w:r>
        <w:t>H</w:t>
      </w:r>
      <w:r w:rsidR="004E3A5F" w:rsidRPr="004B4ACF">
        <w:t>.</w:t>
      </w:r>
      <w:r w:rsidR="004E3A5F" w:rsidRPr="004B4ACF">
        <w:tab/>
        <w:t>mivel egyre gyakoribb az uniós pénzeszközöknek az uniós szabályok, elvek és értékek ellenében történő felhasználása; mivel bizonyos – a legtöbbször külföldi befolyás alatt álló – magánszemélyek és fedőszervezetek igyekeznek megszerezni az EU pénzügyi támogatását és az azzal az összeg nagyságától függetlenül együtt járó tiszteletet, de a valóságban az uniós forrásokat olyan tevékenységekre használják fel, amelyek veszélyeztetik az alapvető uniós elveket és értékeket, valamint a demokráciához való ragaszkodásunkat;</w:t>
      </w:r>
    </w:p>
    <w:p w:rsidR="004E3A5F" w:rsidRPr="004B4ACF" w:rsidRDefault="004B4ACF" w:rsidP="00814093">
      <w:pPr>
        <w:pStyle w:val="NormalHanging12a"/>
      </w:pPr>
      <w:r>
        <w:t>I</w:t>
      </w:r>
      <w:r w:rsidR="004E3A5F" w:rsidRPr="004B4ACF">
        <w:t>.</w:t>
      </w:r>
      <w:r w:rsidR="004E3A5F" w:rsidRPr="004B4ACF">
        <w:tab/>
        <w:t>mivel a Bizottság feladata az uniós költségvetés végrehajtásának biztosítása, valamint az Unió szabályainak és értékeinek tiszteletben tartása; mivel e tekintetben valamennyi előzetes és utólagos ellenőrzésnek biztosítania kell, hogy csak az uniós szabályok, elvek és értékek tiszteletben tartásával működő nem kormányzati szervezetek és szervezetek részesüljenek uniós támogatásban;</w:t>
      </w:r>
    </w:p>
    <w:p w:rsidR="004E3A5F" w:rsidRPr="004B4ACF" w:rsidRDefault="00C37191" w:rsidP="00814093">
      <w:pPr>
        <w:pStyle w:val="NormalHanging12a"/>
      </w:pPr>
      <w:r>
        <w:t>J</w:t>
      </w:r>
      <w:r w:rsidR="004E3A5F" w:rsidRPr="004B4ACF">
        <w:t>.</w:t>
      </w:r>
      <w:r w:rsidR="004E3A5F" w:rsidRPr="004B4ACF">
        <w:tab/>
      </w:r>
      <w:proofErr w:type="gramStart"/>
      <w:r w:rsidR="004E3A5F" w:rsidRPr="004B4ACF">
        <w:t>mivel az EU és a Bizottság általános költségvetésére vonatkozó 2021. évi mentesítés hangsúlyozza a radikális vallási és politikai szervezetekkel kapcsolatban álló nem kormányzati szervezetek által vagy azok részvételével végrehajtott projektek finanszírozásával kapcsolatos mély aggodalmát; felhívja a Bizottságot annak garantálására, hogy az uniós források csak olyan szervezeteket finanszírozzanak, amelyek szigorúan tiszteletben tartják az összes uniós értéket, és sürgeti a Bizottságot, hogy hozzon létre olyan előzetes mechanizmusokat, amelyek egyértelműen azonosítják az Unió területén és külföldön</w:t>
      </w:r>
      <w:proofErr w:type="gramEnd"/>
      <w:r w:rsidR="004E3A5F" w:rsidRPr="004B4ACF">
        <w:t xml:space="preserve"> </w:t>
      </w:r>
      <w:proofErr w:type="gramStart"/>
      <w:r w:rsidR="004E3A5F" w:rsidRPr="004B4ACF">
        <w:t>működő</w:t>
      </w:r>
      <w:proofErr w:type="gramEnd"/>
      <w:r w:rsidR="004E3A5F" w:rsidRPr="004B4ACF">
        <w:t xml:space="preserve"> azon nem kormányzati szervezeteket, amelyek elismerten vallási fundamentalista hálózatokhoz fűződő kapcsolatokkal rendelkeznek, és amelyek az uniós értékeket veszélyeztető program mentén működnek</w:t>
      </w:r>
      <w:r w:rsidR="004E3A5F" w:rsidRPr="004B4ACF">
        <w:rPr>
          <w:vertAlign w:val="superscript"/>
        </w:rPr>
        <w:footnoteReference w:id="14"/>
      </w:r>
      <w:r w:rsidR="004E3A5F" w:rsidRPr="004B4ACF">
        <w:t>;</w:t>
      </w:r>
    </w:p>
    <w:p w:rsidR="004E3A5F" w:rsidRPr="004B4ACF" w:rsidRDefault="00C37191" w:rsidP="00814093">
      <w:pPr>
        <w:pStyle w:val="NormalHanging12a"/>
      </w:pPr>
      <w:r>
        <w:t>K</w:t>
      </w:r>
      <w:r w:rsidR="004E3A5F" w:rsidRPr="004B4ACF">
        <w:t>.</w:t>
      </w:r>
      <w:r w:rsidR="004E3A5F" w:rsidRPr="004B4ACF">
        <w:tab/>
        <w:t xml:space="preserve">mivel ugyanazokat a magas szintű elszámoltathatósági és átláthatósági normákat kell alkalmazni minden olyan nem kormányzati szervezetre, amely uniós </w:t>
      </w:r>
      <w:proofErr w:type="gramStart"/>
      <w:r w:rsidR="004E3A5F" w:rsidRPr="004B4ACF">
        <w:t>finanszírozásban</w:t>
      </w:r>
      <w:proofErr w:type="gramEnd"/>
      <w:r w:rsidR="004E3A5F" w:rsidRPr="004B4ACF">
        <w:t xml:space="preserve"> részesül, függetlenül attól, hogy az Európai Unión belül vagy kívül működik-e;</w:t>
      </w:r>
    </w:p>
    <w:p w:rsidR="004E3A5F" w:rsidRPr="004B4ACF" w:rsidRDefault="00C37191" w:rsidP="00814093">
      <w:pPr>
        <w:pStyle w:val="NormalHanging12a"/>
      </w:pPr>
      <w:r>
        <w:t>L</w:t>
      </w:r>
      <w:r w:rsidR="004E3A5F" w:rsidRPr="004B4ACF">
        <w:t>.</w:t>
      </w:r>
      <w:r w:rsidR="004E3A5F" w:rsidRPr="004B4ACF">
        <w:tab/>
        <w:t xml:space="preserve">mivel az alábbiakban ismertetett egyes megfontolások annak az átláthatósági és elszámoltathatósági tanulmánynak bizonyos megállapításain alapulnak, amely az uniós források Bizottság, tagállamok és kedvezményezettek, köztük a nem kormányzati szervezetek általi felhasználására vonatkozó </w:t>
      </w:r>
      <w:proofErr w:type="gramStart"/>
      <w:r w:rsidR="004E3A5F" w:rsidRPr="004B4ACF">
        <w:t>információk</w:t>
      </w:r>
      <w:proofErr w:type="gramEnd"/>
      <w:r w:rsidR="004E3A5F" w:rsidRPr="004B4ACF">
        <w:t xml:space="preserve"> átláthatóságával kapcsolatos további hiányosságokkal foglalkozik;</w:t>
      </w:r>
    </w:p>
    <w:p w:rsidR="004E3A5F" w:rsidRPr="004B4ACF" w:rsidRDefault="004E3A5F" w:rsidP="00814093">
      <w:pPr>
        <w:pStyle w:val="NormalHanging12a"/>
        <w:rPr>
          <w:rStyle w:val="BoldItalic"/>
        </w:rPr>
      </w:pPr>
      <w:r w:rsidRPr="004B4ACF">
        <w:rPr>
          <w:rStyle w:val="BoldItalic"/>
        </w:rPr>
        <w:t>Általános megjegyzések</w:t>
      </w:r>
    </w:p>
    <w:p w:rsidR="004E3A5F" w:rsidRPr="004B4ACF" w:rsidRDefault="004E3A5F" w:rsidP="00814093">
      <w:pPr>
        <w:pStyle w:val="NormalHanging12a"/>
      </w:pPr>
      <w:proofErr w:type="gramStart"/>
      <w:r w:rsidRPr="004B4ACF">
        <w:t>1.</w:t>
      </w:r>
      <w:r w:rsidRPr="004B4ACF">
        <w:tab/>
        <w:t xml:space="preserve">üdvözli a nem kormányzati szervezetek alapvető szerepét a civil társadalom képviseletében, valamint a Szerződésekben foglalt jogok és értékek, valamint az Európai Unió Alapjogi Chartája (EU Charta) szerinti alapvető jogok előmozdításában és védelmében; hangsúlyozza, hogy csak azok a nem kormányzati szervezetek jogosultak uniós finanszírozásra, amelyek tevékenysége tiszteletben tartja ezeket a jogokat és értékeket; sürgeti az összes érdekelt felet, hogy egyre inkább helyezzék az uniós elveket </w:t>
      </w:r>
      <w:r w:rsidRPr="004B4ACF">
        <w:lastRenderedPageBreak/>
        <w:t>és értékeket az uniós finanszírozás középpontjába, és elismeri a nem kormányzati szervezetek méretük,</w:t>
      </w:r>
      <w:proofErr w:type="gramEnd"/>
      <w:r w:rsidRPr="004B4ACF">
        <w:t xml:space="preserve"> </w:t>
      </w:r>
      <w:proofErr w:type="gramStart"/>
      <w:r w:rsidRPr="004B4ACF">
        <w:t>erőforrásaik</w:t>
      </w:r>
      <w:proofErr w:type="gramEnd"/>
      <w:r w:rsidRPr="004B4ACF">
        <w:t xml:space="preserve"> és személyzetük tekintetében fennálló sokféleségét;</w:t>
      </w:r>
    </w:p>
    <w:p w:rsidR="004E3A5F" w:rsidRPr="004B4ACF" w:rsidRDefault="004E3A5F" w:rsidP="00814093">
      <w:pPr>
        <w:pStyle w:val="NormalHanging12a"/>
      </w:pPr>
      <w:proofErr w:type="gramStart"/>
      <w:r w:rsidRPr="004B4ACF">
        <w:t xml:space="preserve">2. </w:t>
      </w:r>
      <w:r w:rsidRPr="004B4ACF">
        <w:tab/>
        <w:t>kiemeli különösen a kedvezményezettek, köztük a nem kormányzati szervezetek szerepét az uniós költségvetés végrehajtásában és a civil társadalom képviseletében, valamint azt a kötelezettséget, hogy e szerepet az uniós pénzügyi szabályok és az uniós pénzügyi érdekek védelmére vonatkozó elvek teljes körű tiszteletben tartásával lássák el; emlékeztet arra, hogy az EU területén működő nem kormányzati szervezeteknek tiszteletben kell tartaniuk a tevékenységük által érintett tagállamokban alkalmazandó nemzeti jogot, valamint az uniós jogot és a nemzetközi jogot; megismétli, hogy az EU átláthatósága</w:t>
      </w:r>
      <w:proofErr w:type="gramEnd"/>
      <w:r w:rsidRPr="004B4ACF">
        <w:t xml:space="preserve"> </w:t>
      </w:r>
      <w:proofErr w:type="gramStart"/>
      <w:r w:rsidRPr="004B4ACF">
        <w:t>és</w:t>
      </w:r>
      <w:proofErr w:type="gramEnd"/>
      <w:r w:rsidRPr="004B4ACF">
        <w:t xml:space="preserve"> elszámoltathatósága elengedhetetlen a demokrácián, az alapvető szabadságokon, a befogadáson és a sokszínűségen alapuló, kedvező és tisztességes európai rendszer megerősítéséhez;</w:t>
      </w:r>
    </w:p>
    <w:p w:rsidR="004E3A5F" w:rsidRPr="004B4ACF" w:rsidRDefault="004E3A5F" w:rsidP="00814093">
      <w:pPr>
        <w:pStyle w:val="NormalHanging12a"/>
      </w:pPr>
      <w:r w:rsidRPr="004B4ACF">
        <w:t>3.</w:t>
      </w:r>
      <w:r w:rsidRPr="004B4ACF">
        <w:tab/>
        <w:t>hangsúlyozza, hogy a nem kormányzati szervezetek mind állami pénzügyi támogatásra, mind magánadományokra támaszkodnak, olyan módon, hogy azok kölcsönösen nem zárják ki egymást; emlékeztet, hogy az uniós forrásokon vagy a nemzeti vagy helyi szintű közpénzeken kívüli források felkutatásának, biztosításának és felhasználásának képessége alapvető fontosságú a nem kormányzati szervezetek létezése és működése számára;</w:t>
      </w:r>
    </w:p>
    <w:p w:rsidR="004E3A5F" w:rsidRPr="004B4ACF" w:rsidRDefault="004E3A5F" w:rsidP="00814093">
      <w:pPr>
        <w:pStyle w:val="NormalHanging12a"/>
      </w:pPr>
      <w:r w:rsidRPr="004B4ACF">
        <w:t>4.</w:t>
      </w:r>
      <w:r w:rsidRPr="004B4ACF">
        <w:tab/>
        <w:t>kiemeli, hogy a civil társadalmi szervezetek a legnagyobb tiszteletet és hálát érdemlik az általuk napi szinten végzett munkáért; elismeri a civil szervezetek által Európa-szerte végzett munkát, és megerősíti, hogy ezek a nem kormányzati szervezetek a legnagyobb elismerést és támogatást érdemlik; hangsúlyozza e szervezetek pénzügyi és egyéb szükségletei kielégítésének fontosságát;</w:t>
      </w:r>
    </w:p>
    <w:p w:rsidR="004E3A5F" w:rsidRPr="004B4ACF" w:rsidRDefault="004E3A5F" w:rsidP="00814093">
      <w:pPr>
        <w:pStyle w:val="NormalHanging12a"/>
      </w:pPr>
      <w:proofErr w:type="gramStart"/>
      <w:r w:rsidRPr="004B4ACF">
        <w:t>5.</w:t>
      </w:r>
      <w:r w:rsidRPr="004B4ACF">
        <w:tab/>
        <w:t>méltatja azt a döntő szerepet, amelyet a nem kormányzati szervezetek a jogállamiság és a demokratikus értékek védelme, a korrupció elleni küzdelem, valamint az emberi jogok és a demokrácia előmozdítása terén játszanak az uniós és nem uniós országokban; megismétli, hogy a tekintélyelvű vagy nem demokratikus rendszerű országokban a nem kormányzati szervezetek gyakran a demokrácia utolsó védelmi vonalát jelentik, amelyeket a tekintélyelvű rezsimek világszerte megpróbálnak elhallgattatni, többek között az elfogadott jogszabályok és diszkriminatív kötelezettségek révén, és ezért támogatásra és védelemr</w:t>
      </w:r>
      <w:proofErr w:type="gramEnd"/>
      <w:r w:rsidRPr="004B4ACF">
        <w:t xml:space="preserve">e szorulnak; felhívja a Bizottságot, hogy fontoljon meg ezzel kapcsolatos </w:t>
      </w:r>
      <w:proofErr w:type="spellStart"/>
      <w:r w:rsidRPr="004B4ACF">
        <w:t>védzáradékokat</w:t>
      </w:r>
      <w:proofErr w:type="spellEnd"/>
      <w:r w:rsidRPr="004B4ACF">
        <w:t xml:space="preserve"> és mechanizmusokat; hangsúlyozza annak fontosságát, hogy megfelelő és átlátható uniós </w:t>
      </w:r>
      <w:proofErr w:type="gramStart"/>
      <w:r w:rsidRPr="004B4ACF">
        <w:t>finanszírozást</w:t>
      </w:r>
      <w:proofErr w:type="gramEnd"/>
      <w:r w:rsidRPr="004B4ACF">
        <w:t xml:space="preserve"> biztosítsanak az e területeken tevékenykedő nem kormányzati szervezetek számára;</w:t>
      </w:r>
    </w:p>
    <w:p w:rsidR="004E3A5F" w:rsidRPr="004B4ACF" w:rsidRDefault="004E3A5F" w:rsidP="00814093">
      <w:pPr>
        <w:pStyle w:val="NormalHanging12a"/>
      </w:pPr>
      <w:r w:rsidRPr="004B4ACF">
        <w:t>6.</w:t>
      </w:r>
      <w:r w:rsidRPr="004B4ACF">
        <w:tab/>
        <w:t xml:space="preserve">üdvözli a nem kormányzati szervezetek által a </w:t>
      </w:r>
      <w:proofErr w:type="gramStart"/>
      <w:r w:rsidRPr="004B4ACF">
        <w:t>konfliktus</w:t>
      </w:r>
      <w:proofErr w:type="gramEnd"/>
      <w:r w:rsidRPr="004B4ACF">
        <w:t xml:space="preserve"> sújtotta területeken annak biztosítása érdekében végzett tevékenységeket, hogy a humanitárius segítség gyorsan és hatékonyan eljusson a civil lakossághoz és a rászorulókhoz; elismeri a nem kormányzati szervezetek fontosságát annak biztosításában, hogy az EU a világ legnagyobb fejlesztési segélyezőjeként továbbra is hozzájáruljon a stabilitás előmozdításához, a szegénység leküzdéséhez és a globális fejlődés előmozdításához;</w:t>
      </w:r>
    </w:p>
    <w:p w:rsidR="004E3A5F" w:rsidRPr="004B4ACF" w:rsidRDefault="004E3A5F" w:rsidP="00814093">
      <w:pPr>
        <w:pStyle w:val="NormalHanging12a"/>
      </w:pPr>
      <w:proofErr w:type="gramStart"/>
      <w:r w:rsidRPr="004B4ACF">
        <w:t>7.</w:t>
      </w:r>
      <w:r w:rsidRPr="004B4ACF">
        <w:tab/>
        <w:t xml:space="preserve">rámutat arra, hogy a gyakorlatban a jogalkotási folyamatok figyelmen kívül hagyhatják a helyi, regionális és nemzeti nem kormányzati szervezetek véleményét; úgy véli, hogy a kisméretű nem kormányzati szervezetek gyakran nehézségekkel szembesülnek az uniós finanszírozáshoz való hozzáférés terén a nehézkes adminisztratív eljárások miatt; felszólítja az Európai Bizottságot, hogy még inkább egyszerűsítse és racionalizálja az </w:t>
      </w:r>
      <w:r w:rsidRPr="004B4ACF">
        <w:lastRenderedPageBreak/>
        <w:t>eljárásokat, hogy a kisebb – többek között helyi szintű – nem kormányzati szervezetek számára tegye lehetővé az uniós források megpályázását és igénybe vételét; kiemeli, hogy</w:t>
      </w:r>
      <w:proofErr w:type="gramEnd"/>
      <w:r w:rsidRPr="004B4ACF">
        <w:t xml:space="preserve"> </w:t>
      </w:r>
      <w:proofErr w:type="gramStart"/>
      <w:r w:rsidRPr="004B4ACF">
        <w:t>a kisebb nem kormányzati szervezetek prioritásait és szükségleteit gyakran figyelmen kívül hagyják vagy azok kevesebb figyelmet kapnak annak ellenére, hogy gyakran ők ismerik a legjobban a helyzetet és hatalmas mennyiségű munkát végeznek; hangsúlyozza, hogy a kis szervezetek munkájához a lehető legnagyobb tisztelettel kell viszonyulni, és hogy az uniós finanszírozást hozzáférhetőbbé kell tenni számukra, mivel ezek olyan fontos elemet jelentenek, amely erősíti a sokszínűséget és a sokféleséget Európa-szerte és Európán kívül is; elismeri, hogy az európai nem kormányzati szervezetek döntő támogató</w:t>
      </w:r>
      <w:proofErr w:type="gramEnd"/>
      <w:r w:rsidRPr="004B4ACF">
        <w:t xml:space="preserve"> </w:t>
      </w:r>
      <w:proofErr w:type="gramStart"/>
      <w:r w:rsidRPr="004B4ACF">
        <w:t>szerepet</w:t>
      </w:r>
      <w:proofErr w:type="gramEnd"/>
      <w:r w:rsidRPr="004B4ACF">
        <w:t xml:space="preserve"> játszanak a közszolgáltatások kiegészítésében;</w:t>
      </w:r>
    </w:p>
    <w:p w:rsidR="004E3A5F" w:rsidRPr="004B4ACF" w:rsidRDefault="004E3A5F" w:rsidP="00814093">
      <w:pPr>
        <w:pStyle w:val="NormalHanging12a"/>
      </w:pPr>
      <w:proofErr w:type="gramStart"/>
      <w:r w:rsidRPr="004B4ACF">
        <w:t>8.</w:t>
      </w:r>
      <w:r w:rsidRPr="004B4ACF">
        <w:tab/>
        <w:t>továbbra is mély aggodalmát fejezi ki a nem kormányzati szervezeteket egyes tagállamokban érő fenyegetések és indokolatlan támadások miatt, beleértve azt is, hogy olyan jogszabályokat terjesztenek elő és fogadnak el, amelyek diszkriminatív kötelezettségeket rónak a nem kormányzati szervezetekre, amelyek korlátozzák vagy betiltják tevékenységüket, továbbá az olyan módszereket, mint például a személyzetük elleni online és offline megfélemlítés és zaklatás, a negatív nyilvános nyilatkozatok és rágalomkampányok, a szóbeli fenyegetések, valamint a jogi és fizikai támadások; hangsúlyozza, hogy egyes</w:t>
      </w:r>
      <w:proofErr w:type="gramEnd"/>
      <w:r w:rsidRPr="004B4ACF">
        <w:t xml:space="preserve"> nem kormányzati szervezeteknek túlzott adminisztratív ellenőrzésekkel vagy auditokkal, politikai indíttatású </w:t>
      </w:r>
      <w:proofErr w:type="gramStart"/>
      <w:r w:rsidRPr="004B4ACF">
        <w:t>finanszírozási</w:t>
      </w:r>
      <w:proofErr w:type="gramEnd"/>
      <w:r w:rsidRPr="004B4ACF">
        <w:t xml:space="preserve"> megszorításokkal, valamint a létrehozásukra és nyilvántartásba vételükre vonatkozó túlságosan szigorú jogi követelményekkel is szembe kell nézniük; ragaszkodik ahhoz, hogy a nem kormányzati szervezeteket védeni kell, és megfelelő finanszírozásban és támogatásban kell részesíteni;</w:t>
      </w:r>
    </w:p>
    <w:p w:rsidR="004E3A5F" w:rsidRPr="004B4ACF" w:rsidRDefault="004E3A5F" w:rsidP="00814093">
      <w:pPr>
        <w:pStyle w:val="NormalHanging12a"/>
      </w:pPr>
      <w:proofErr w:type="gramStart"/>
      <w:r w:rsidRPr="004B4ACF">
        <w:t>9.</w:t>
      </w:r>
      <w:r w:rsidRPr="004B4ACF">
        <w:tab/>
        <w:t>meg van győződve arról, hogy az átláthatóság és az elszámoltathatóság elengedhetetlen a nem kormányzati és az egyéb profitorientált vagy nonprofit szervezetek számára is ahhoz, hogy prezentálják értékes munkájukat, elismeréshez jussanak és növeljék hitelességüket; úgy véli, hogy különleges rendelkezéseket kell alkalmazni azokra a nem kormányzati szervezetekre, amelyek teljes mértékben megfelelnek az uniós értékeknek és pénzügyi szabályoknak, és teljes mértékben tiszteletben tartják az Európai Unió Alapjogi Chartáját, miközben demokratikus kihívásokkal teli környezetben működnek; úgy véli, hog</w:t>
      </w:r>
      <w:proofErr w:type="gramEnd"/>
      <w:r w:rsidRPr="004B4ACF">
        <w:t xml:space="preserve">y </w:t>
      </w:r>
      <w:proofErr w:type="gramStart"/>
      <w:r w:rsidRPr="004B4ACF">
        <w:t>az európai polgárokat biztosítani kell arról, hogy az EU minden uniós forrásról pontosan tudja, hogy azt hogyan használják fel; ezért aggodalmát fejezi ki amiatt, hogy a meglévő átláthatósági követelmények ellenére nincs információ, adat arról, illetve nem ellenőrzik, hogy ki vagy mi részesül uniós forrásokban; emlékeztet arra, hogy az átláthatóságra és az elszámoltathatóságra vonatkozó követelményeknek mindig meg kell felelniük a nemzetközi jognak és az emberi jogi normáknak, különösen a polgári szabadságjogok gyakorlása tekintetében, és szigorúan szükségeseknek és arányosaknak kell maradniuk</w:t>
      </w:r>
      <w:proofErr w:type="gramEnd"/>
      <w:r w:rsidRPr="004B4ACF">
        <w:t xml:space="preserve"> az elérni kívánt </w:t>
      </w:r>
      <w:proofErr w:type="gramStart"/>
      <w:r w:rsidRPr="004B4ACF">
        <w:t>konkrét</w:t>
      </w:r>
      <w:proofErr w:type="gramEnd"/>
      <w:r w:rsidRPr="004B4ACF">
        <w:t xml:space="preserve"> célokkal;</w:t>
      </w:r>
    </w:p>
    <w:p w:rsidR="004E3A5F" w:rsidRPr="004B4ACF" w:rsidRDefault="004E3A5F" w:rsidP="00814093">
      <w:pPr>
        <w:pStyle w:val="NormalHanging12a"/>
        <w:rPr>
          <w:snapToGrid/>
        </w:rPr>
      </w:pPr>
      <w:r w:rsidRPr="004B4ACF">
        <w:t>10.</w:t>
      </w:r>
      <w:r w:rsidRPr="004B4ACF">
        <w:tab/>
        <w:t xml:space="preserve">emlékeztet arra, hogy az átláthatóságot és az </w:t>
      </w:r>
      <w:proofErr w:type="spellStart"/>
      <w:r w:rsidRPr="004B4ACF">
        <w:t>elszámoltathatóságot</w:t>
      </w:r>
      <w:proofErr w:type="spellEnd"/>
      <w:r w:rsidRPr="004B4ACF">
        <w:t xml:space="preserve"> nem szabad a független civil társadalom mozgásterének korlátozására vagy a kritikus hangok elhallgattatására használni;</w:t>
      </w:r>
    </w:p>
    <w:p w:rsidR="004E3A5F" w:rsidRPr="004B4ACF" w:rsidRDefault="004E3A5F" w:rsidP="00814093">
      <w:pPr>
        <w:pStyle w:val="NormalHanging12a"/>
      </w:pPr>
      <w:proofErr w:type="gramStart"/>
      <w:r w:rsidRPr="004B4ACF">
        <w:t>11.</w:t>
      </w:r>
      <w:r w:rsidRPr="004B4ACF">
        <w:tab/>
        <w:t xml:space="preserve">hangsúlyozza, hogy rendkívül fontos annak biztosítása, hogy az uniós átláthatósági és elszámoltathatósági kötelezettségek ne veszélyeztessék az uniós források végső kedvezményezettjeit; úgy véli, hogy kellően indokolt esetekben – különösen az autoriter rezsimek által irányított országokban vagy olyan országokban működő nem kormányzati szervezetek esetében, ahol a jogállamisággal kapcsolatos, elismerten létező problémák negatív hatással vannak a nem kormányzati szervezetekre, ahol a civil </w:t>
      </w:r>
      <w:r w:rsidRPr="004B4ACF">
        <w:lastRenderedPageBreak/>
        <w:t>társadalomnak korlátozott a mozgástere és ahol a nem kormányzati szervezetek kilétére vagy munkájára vonatkozó</w:t>
      </w:r>
      <w:proofErr w:type="gramEnd"/>
      <w:r w:rsidRPr="004B4ACF">
        <w:t xml:space="preserve"> </w:t>
      </w:r>
      <w:proofErr w:type="gramStart"/>
      <w:r w:rsidRPr="004B4ACF">
        <w:t>információk</w:t>
      </w:r>
      <w:proofErr w:type="gramEnd"/>
      <w:r w:rsidRPr="004B4ACF">
        <w:t xml:space="preserve"> nyilvánosságra hozatala megtorláshoz vezethet, veszélybe sodorva a nem kormányzati szervezetek létét és munkatársaik biztonságát – a nyilvános átláthatósági követelményeket kivételes jelleggel a helyzetnek megfelelő módon kell alkalmazni;</w:t>
      </w:r>
    </w:p>
    <w:p w:rsidR="004E3A5F" w:rsidRPr="004B4ACF" w:rsidRDefault="004E3A5F" w:rsidP="00814093">
      <w:pPr>
        <w:pStyle w:val="NormalHanging12a"/>
      </w:pPr>
      <w:r w:rsidRPr="004B4ACF">
        <w:t>12.</w:t>
      </w:r>
      <w:r w:rsidRPr="004B4ACF">
        <w:tab/>
        <w:t xml:space="preserve">úgy véli, hogy bizonyos, közfelháborodást kiváltó állítólagos </w:t>
      </w:r>
      <w:proofErr w:type="gramStart"/>
      <w:r w:rsidRPr="004B4ACF">
        <w:t>korrupciós</w:t>
      </w:r>
      <w:proofErr w:type="gramEnd"/>
      <w:r w:rsidRPr="004B4ACF">
        <w:t xml:space="preserve"> ügyek, mint például a </w:t>
      </w:r>
      <w:proofErr w:type="spellStart"/>
      <w:r w:rsidRPr="004B4ACF">
        <w:t>Katargate</w:t>
      </w:r>
      <w:proofErr w:type="spellEnd"/>
      <w:r w:rsidRPr="004B4ACF">
        <w:t xml:space="preserve">, megelőzhetők lettek volna a meglévő átláthatósági követelmények következetes érvényesítésével, valamint az érintett szervezetekre, köztük nem kormányzati szervezetekre vonatkozó, a finanszírozási forrásaik és belső struktúráik nyilvánosságra hozatalát előíró kötelezettséggel; </w:t>
      </w:r>
      <w:proofErr w:type="spellStart"/>
      <w:r w:rsidRPr="004B4ACF">
        <w:t>megjegyzi</w:t>
      </w:r>
      <w:proofErr w:type="spellEnd"/>
      <w:r w:rsidRPr="004B4ACF">
        <w:t>, hogy egyes esetekben az érintett szervezetek uniós finanszírozásban részesültek;</w:t>
      </w:r>
    </w:p>
    <w:p w:rsidR="004E3A5F" w:rsidRPr="004B4ACF" w:rsidRDefault="004E3A5F" w:rsidP="00814093">
      <w:pPr>
        <w:pStyle w:val="NormalHanging12a"/>
      </w:pPr>
      <w:proofErr w:type="gramStart"/>
      <w:r w:rsidRPr="004B4ACF">
        <w:t>13.</w:t>
      </w:r>
      <w:r w:rsidRPr="004B4ACF">
        <w:tab/>
        <w:t xml:space="preserve">elítéli azt a tendenciát, hogy az uniós forrásokat egyre gyakrabban használják fel az uniós elvekkel és értékekkel ellentétesen, különösen azt, hogy e források felhasználása és a más szervezeteknek történő átutalások nem teljes mértékben nyomon követhetők; felhívja a figyelmet annak veszélyére, hogy az uniós forrásokat korrupt ügyletekre használhatják fel, és hogy azok csalás és szabálytalanságok, külföldi beavatkozás vagy politikai beszivárgás eszközévé válhatnak; hangsúlyozza annak fontosságát, hogy az uniós források végső kedvezményezettjei </w:t>
      </w:r>
      <w:proofErr w:type="spellStart"/>
      <w:r w:rsidRPr="004B4ACF">
        <w:t>átláthatóak</w:t>
      </w:r>
      <w:proofErr w:type="spellEnd"/>
      <w:r w:rsidRPr="004B4ACF">
        <w:t xml:space="preserve"> legyenek;</w:t>
      </w:r>
      <w:proofErr w:type="gramEnd"/>
    </w:p>
    <w:p w:rsidR="004E3A5F" w:rsidRPr="004B4ACF" w:rsidRDefault="004E3A5F" w:rsidP="00814093">
      <w:pPr>
        <w:pStyle w:val="NormalHanging12a"/>
        <w:rPr>
          <w:b/>
          <w:i/>
        </w:rPr>
      </w:pPr>
      <w:r w:rsidRPr="004B4ACF">
        <w:rPr>
          <w:b/>
          <w:i/>
        </w:rPr>
        <w:t>A nem kormányzati szervezetek és jogalanyok a költségvetési ellenőrzés összefüggésében</w:t>
      </w:r>
    </w:p>
    <w:p w:rsidR="004E3A5F" w:rsidRPr="004B4ACF" w:rsidRDefault="004E3A5F" w:rsidP="00814093">
      <w:pPr>
        <w:pStyle w:val="NormalHanging12a"/>
      </w:pPr>
      <w:r w:rsidRPr="004B4ACF">
        <w:t>14.</w:t>
      </w:r>
      <w:r w:rsidRPr="004B4ACF">
        <w:tab/>
        <w:t>ismét hangsúlyozza, hogy a nem kormányzati szervezetek iránti közbizalom és támogatás alapvető fontosságú; elismeri, hogy az e szervezetek leírására használt kifejezések különböző jogi és általános értelmezések tárgyát képezik, amelyek tagállamonként eltérőek;</w:t>
      </w:r>
    </w:p>
    <w:p w:rsidR="004E3A5F" w:rsidRPr="004B4ACF" w:rsidRDefault="004E3A5F" w:rsidP="00814093">
      <w:pPr>
        <w:pStyle w:val="NormalHanging12a"/>
      </w:pPr>
      <w:proofErr w:type="gramStart"/>
      <w:r w:rsidRPr="004B4ACF">
        <w:t>15.</w:t>
      </w:r>
      <w:r w:rsidRPr="004B4ACF">
        <w:tab/>
        <w:t>hangsúlyozza, hogy a nem kormányzati szervezet kifejezés tágan értelmezett gyűjtőfogalom, amely számos különböző típusú jogalanyt foglal magában a nagy nemzetközi szervezetektől a kisebb regionális vagy helyi szervezetekig, a főként alkalmazottakból álló szervezetektől a túlnyomórészt önkéntesekből álló szervezetekig; kiemeli, hogy a nem kormányzati szervezetek tevékenységi köre és módszerei is nagyon eltérőek lehetnek; úgy véli, hogy ez a sokféleség megnehezíti a nem kormányzati szervezetek egységes fogalommeghatározását az EU-n belül; kiemeli mindazonáltal a harmonizált uniós szintű megközelítés</w:t>
      </w:r>
      <w:proofErr w:type="gramEnd"/>
      <w:r w:rsidRPr="004B4ACF">
        <w:t xml:space="preserve"> </w:t>
      </w:r>
      <w:proofErr w:type="gramStart"/>
      <w:r w:rsidRPr="004B4ACF">
        <w:t xml:space="preserve">létrehozásának előnyeit, többek között egy harmonizált fogalommeghatározás révén, amelynek hozzáadott értéke az átláthatóság, az elszámoltathatóság, a kiszámíthatóság és a közbizalom növelésében rejlik; ezért arra </w:t>
      </w:r>
      <w:proofErr w:type="spellStart"/>
      <w:r w:rsidRPr="004B4ACF">
        <w:t>ösztönzi</w:t>
      </w:r>
      <w:proofErr w:type="spellEnd"/>
      <w:r w:rsidRPr="004B4ACF">
        <w:t xml:space="preserve"> a társjogalkotókat, hogy állapodjanak meg egy ilyen harmonizált megközelítésről a nem kormányzati szervezetekkel és az érintett szervezetekkel kapcsolatban uniós szinten, ami jelentősen segítené az európai költségvetési ellenőrzési eljárásokat, különösen a határokon átnyúló egyesületek esetében; megismétli, hogy alapvető fontosságú az átláthatóság és az elszámoltathatóság biztosítása</w:t>
      </w:r>
      <w:proofErr w:type="gramEnd"/>
      <w:r w:rsidRPr="004B4ACF">
        <w:t xml:space="preserve"> minden olyan szervezet számára, amely uniós támogatásban részesül; </w:t>
      </w:r>
      <w:proofErr w:type="spellStart"/>
      <w:r w:rsidRPr="004B4ACF">
        <w:t>megjegyzi</w:t>
      </w:r>
      <w:proofErr w:type="spellEnd"/>
      <w:r w:rsidRPr="004B4ACF">
        <w:t xml:space="preserve">, hogy hasznos lenne harmonizált megközelítést kidolgozni arra vonatkozóan, hogy különböző </w:t>
      </w:r>
      <w:proofErr w:type="gramStart"/>
      <w:r w:rsidRPr="004B4ACF">
        <w:t>kontextusokban</w:t>
      </w:r>
      <w:proofErr w:type="gramEnd"/>
      <w:r w:rsidRPr="004B4ACF">
        <w:t xml:space="preserve"> milyen szerepet töltenek be ezek a szervezetek az EU-val és annak szerveivel való kapcsolatukban;</w:t>
      </w:r>
    </w:p>
    <w:p w:rsidR="004E3A5F" w:rsidRPr="004B4ACF" w:rsidRDefault="004E3A5F" w:rsidP="00814093">
      <w:pPr>
        <w:pStyle w:val="NormalHanging12a"/>
      </w:pPr>
      <w:proofErr w:type="gramStart"/>
      <w:r w:rsidRPr="004B4ACF">
        <w:t>16.</w:t>
      </w:r>
      <w:r w:rsidRPr="004B4ACF">
        <w:tab/>
        <w:t xml:space="preserve">tudomásul veszi a Bizottság arra irányuló javaslatát, hogy a költségvetési rendelet átdolgozására irányuló 2022. évi javaslatban szerepeljen a nem kormányzati szervezetek közös fogalommeghatározása; emlékeztet arra, hogy a Parlament megbízatásában </w:t>
      </w:r>
      <w:r w:rsidRPr="004B4ACF">
        <w:lastRenderedPageBreak/>
        <w:t xml:space="preserve">további tisztázást kért a nem kormányzati szervezet fogalmának meghatározását illetően, különösen a formális keretek, az átláthatóság és a tagok vagy alapítók elszámoltathatóságának mértékét illetően; arra </w:t>
      </w:r>
      <w:proofErr w:type="spellStart"/>
      <w:r w:rsidRPr="004B4ACF">
        <w:t>ösztönzi</w:t>
      </w:r>
      <w:proofErr w:type="spellEnd"/>
      <w:r w:rsidRPr="004B4ACF">
        <w:t xml:space="preserve"> a Bizottságot, hogy folytasson mélyreható konzultációt a nem kormányzati szervezetek meghatározásáról, bevonva a tagállami tisztviselőket</w:t>
      </w:r>
      <w:proofErr w:type="gramEnd"/>
      <w:r w:rsidRPr="004B4ACF">
        <w:t xml:space="preserve"> </w:t>
      </w:r>
      <w:proofErr w:type="gramStart"/>
      <w:r w:rsidRPr="004B4ACF">
        <w:t>és</w:t>
      </w:r>
      <w:proofErr w:type="gramEnd"/>
      <w:r w:rsidRPr="004B4ACF">
        <w:t xml:space="preserve"> a nem kormányzati szervezeteket, figyelembe véve a „kis- és középvállalkozások” (kkv-k) fogalmának meghatározása során követett módszertant is;</w:t>
      </w:r>
    </w:p>
    <w:p w:rsidR="004E3A5F" w:rsidRPr="004B4ACF" w:rsidRDefault="004E3A5F" w:rsidP="00814093">
      <w:pPr>
        <w:pStyle w:val="NormalHanging12a"/>
      </w:pPr>
      <w:r w:rsidRPr="004B4ACF">
        <w:t>17.</w:t>
      </w:r>
      <w:r w:rsidRPr="004B4ACF">
        <w:tab/>
        <w:t>úgy véli, hogy ahhoz, hogy egy szervezet nem kormányzati szervezetnek minősüljön, nem szabad, hogy 100%-</w:t>
      </w:r>
      <w:proofErr w:type="spellStart"/>
      <w:r w:rsidRPr="004B4ACF">
        <w:t>ban</w:t>
      </w:r>
      <w:proofErr w:type="spellEnd"/>
      <w:r w:rsidRPr="004B4ACF">
        <w:t xml:space="preserve"> az állam és a Bizottság </w:t>
      </w:r>
      <w:proofErr w:type="gramStart"/>
      <w:r w:rsidRPr="004B4ACF">
        <w:t>finanszírozza</w:t>
      </w:r>
      <w:proofErr w:type="gramEnd"/>
      <w:r w:rsidRPr="004B4ACF">
        <w:t>;</w:t>
      </w:r>
    </w:p>
    <w:p w:rsidR="004E3A5F" w:rsidRPr="004B4ACF" w:rsidRDefault="004E3A5F" w:rsidP="00814093">
      <w:pPr>
        <w:pStyle w:val="NormalHanging12a"/>
      </w:pPr>
      <w:proofErr w:type="gramStart"/>
      <w:r w:rsidRPr="004B4ACF">
        <w:t>18.</w:t>
      </w:r>
      <w:r w:rsidRPr="004B4ACF">
        <w:tab/>
      </w:r>
      <w:proofErr w:type="spellStart"/>
      <w:r w:rsidRPr="004B4ACF">
        <w:t>megjegyzi</w:t>
      </w:r>
      <w:proofErr w:type="spellEnd"/>
      <w:r w:rsidRPr="004B4ACF">
        <w:t>, hogy az Európai Bizottság az FTS-</w:t>
      </w:r>
      <w:proofErr w:type="spellStart"/>
      <w:r w:rsidRPr="004B4ACF">
        <w:t>ben</w:t>
      </w:r>
      <w:proofErr w:type="spellEnd"/>
      <w:r w:rsidRPr="004B4ACF">
        <w:t xml:space="preserve"> a nem kormányzati és a nonprofit szervezetek kifejezéseket egyértelmű különbségtétel nélkül használja; sajnálja, hogy ez bizonytalanságot okoz az uniós források elosztásában és nyomon követésében, és félreértésekhez vezethet az NGO-k és jogalanyok által kapott támogatások összegével kapcsolatban; </w:t>
      </w:r>
      <w:proofErr w:type="spellStart"/>
      <w:r w:rsidRPr="004B4ACF">
        <w:t>megjegyzi</w:t>
      </w:r>
      <w:proofErr w:type="spellEnd"/>
      <w:r w:rsidRPr="004B4ACF">
        <w:t>, hogy az FTS a „Gyakran ismételt kérdések” részben meghatározza a nem kormányzati szervezet fogalmát, és abban a nem kormányzati szervezet nonprofit szervezetként való státusza lényeges elem, amelyet hitelesíteni kell; sajnálatosnak tartja,</w:t>
      </w:r>
      <w:proofErr w:type="gramEnd"/>
      <w:r w:rsidRPr="004B4ACF">
        <w:t xml:space="preserve"> </w:t>
      </w:r>
      <w:proofErr w:type="gramStart"/>
      <w:r w:rsidRPr="004B4ACF">
        <w:t>hogy nincs egyértelmű különbségtétel, mivel még mindig nincs harmonizált uniós megközelítés a nem kormányzati szervezetekre vonatkozóan, és az FTS-</w:t>
      </w:r>
      <w:proofErr w:type="spellStart"/>
      <w:r w:rsidRPr="004B4ACF">
        <w:t>hez</w:t>
      </w:r>
      <w:proofErr w:type="spellEnd"/>
      <w:r w:rsidRPr="004B4ACF">
        <w:t xml:space="preserve"> csupán a szervezetek önbesorolását vették alapul, amely kizárólag a tagállamonként eltérő szabályokon alapul; kéri továbbá, hogy az FTS biztosítsa a nem kormányzati szervezetek vagy nonprofit szervezetek különböző típusainak megfelelő osztályozását annak érdekében, hogy elkerülhető legyen, hogy bizonyos típusú szervezetek között alig vagy egyáltalán ne tegyenek különbséget, és ennélfogva az egyetemeket, kutatóintézeteket, önkéntes szervezeteket</w:t>
      </w:r>
      <w:proofErr w:type="gramEnd"/>
      <w:r w:rsidRPr="004B4ACF">
        <w:t xml:space="preserve"> </w:t>
      </w:r>
      <w:proofErr w:type="gramStart"/>
      <w:r w:rsidRPr="004B4ACF">
        <w:t>és</w:t>
      </w:r>
      <w:proofErr w:type="gramEnd"/>
      <w:r w:rsidRPr="004B4ACF">
        <w:t xml:space="preserve"> egyéb nem kormányzati szervezeteket az FTS adatbázisában azonosnak tekintsék;</w:t>
      </w:r>
    </w:p>
    <w:p w:rsidR="004E3A5F" w:rsidRPr="004B4ACF" w:rsidRDefault="004E3A5F" w:rsidP="00814093">
      <w:pPr>
        <w:pStyle w:val="NormalHanging12a"/>
        <w:rPr>
          <w:b/>
          <w:i/>
        </w:rPr>
      </w:pPr>
      <w:r w:rsidRPr="004B4ACF">
        <w:rPr>
          <w:b/>
          <w:i/>
        </w:rPr>
        <w:t>Nagyobb átláthatóság és elszámoltathatóság az uniós források felhasználása terén</w:t>
      </w:r>
    </w:p>
    <w:p w:rsidR="004E3A5F" w:rsidRPr="004B4ACF" w:rsidRDefault="004E3A5F" w:rsidP="00814093">
      <w:pPr>
        <w:pStyle w:val="NormalHanging12a"/>
      </w:pPr>
      <w:proofErr w:type="gramStart"/>
      <w:r w:rsidRPr="004B4ACF">
        <w:t>19.</w:t>
      </w:r>
      <w:r w:rsidRPr="004B4ACF">
        <w:tab/>
        <w:t>úgy véli, hogy a csalást, az összeférhetetlenséget, a kettős finanszírozást, a korrupciót, a pénzmosást és a sikkasztást minden helyzetben és minden kedvezményezett esetében meg kell akadályozni és kezelni kell, függetlenül a kedvezményezett szervezetek jellegétől és jogi státuszától; aggodalmát fejezi ki amiatt, hogy ilyen esetekben nem áll rendelkezésre elegendő adat a mentesítésért felelős hatóság számára; emlékeztet arra, hogy az uniós finanszírozás valamennyi kérelmezője és kedvezményezettje, beleértve a nem kormányzati szervezeteket is, az uniós pénzügyi szabályok hatálya alá tartozik;</w:t>
      </w:r>
      <w:proofErr w:type="gramEnd"/>
    </w:p>
    <w:p w:rsidR="004E3A5F" w:rsidRPr="004B4ACF" w:rsidRDefault="004E3A5F" w:rsidP="00814093">
      <w:pPr>
        <w:pStyle w:val="NormalHanging12a"/>
      </w:pPr>
      <w:proofErr w:type="gramStart"/>
      <w:r w:rsidRPr="004B4ACF">
        <w:t>20.</w:t>
      </w:r>
      <w:r w:rsidRPr="004B4ACF">
        <w:tab/>
        <w:t>hangsúlyozza, hogy a korai felismerési és kizárási rendszer (EDES) fontos eszköz az Unió pénzügyi érdekeinek védelmében, amely többszintű védelmet biztosít az Unió pénzügyi érdekeit fenyegető kockázatot jelentő személyek vagy szervezetek korai felderítése révén; üdvözli a költségvetési rendelet átdolgozására irányuló bizottsági javaslatot, amely magában foglalja a korai felismerési és kizárási rendszer kiterjesztését a megosztott irányításra, és azt új kizárási okokkal egészíti ki</w:t>
      </w:r>
      <w:r w:rsidRPr="004B4ACF">
        <w:rPr>
          <w:rStyle w:val="FootnoteReference"/>
        </w:rPr>
        <w:footnoteReference w:id="15"/>
      </w:r>
      <w:r w:rsidRPr="004B4ACF">
        <w:t>; kéri a Bizottságot, hogy tegye teljes mértékben működőképessé a korai felismerési és kizárási rendszert, hogy</w:t>
      </w:r>
      <w:proofErr w:type="gramEnd"/>
      <w:r w:rsidRPr="004B4ACF">
        <w:t xml:space="preserve"> </w:t>
      </w:r>
      <w:proofErr w:type="gramStart"/>
      <w:r w:rsidRPr="004B4ACF">
        <w:t>a</w:t>
      </w:r>
      <w:proofErr w:type="gramEnd"/>
      <w:r w:rsidRPr="004B4ACF">
        <w:t xml:space="preserve"> költségvetési rendelet alapján lehetővé váljon a kedvezményezettek – köztük a nem </w:t>
      </w:r>
      <w:r w:rsidRPr="004B4ACF">
        <w:lastRenderedPageBreak/>
        <w:t>kormányzati szervezetek – tényleges kizárása az uniós forrásokhoz való további hozzáférésből;</w:t>
      </w:r>
    </w:p>
    <w:p w:rsidR="004E3A5F" w:rsidRPr="004B4ACF" w:rsidRDefault="004E3A5F" w:rsidP="00814093">
      <w:pPr>
        <w:pStyle w:val="NormalHanging12a"/>
      </w:pPr>
      <w:r w:rsidRPr="004B4ACF">
        <w:t>21.</w:t>
      </w:r>
      <w:r w:rsidRPr="004B4ACF">
        <w:tab/>
        <w:t xml:space="preserve">aggodalmát fejezi ki amiatt, hogy az átláthatósági követelmények elégtelenek lehetnek, különösen akkor, ha a forrásokat egy láncon keresztül továbbítják, és más adományozókkal közös projektek társfinanszírozására használják fel; </w:t>
      </w:r>
      <w:proofErr w:type="gramStart"/>
      <w:r w:rsidRPr="004B4ACF">
        <w:t>problematikusnak</w:t>
      </w:r>
      <w:proofErr w:type="gramEnd"/>
      <w:r w:rsidRPr="004B4ACF">
        <w:t xml:space="preserve"> tartja, hogy az FTS csak a Bizottság által közvetlenül, közvetlen irányítás keretében odaítélt támogatásokról nyújt tájékoztatást, de nem részletezi a Bizottsággal jogi kapcsolatban álló kedvezményezettektől és partnerektől közvetve kapott forrásokat;</w:t>
      </w:r>
    </w:p>
    <w:p w:rsidR="004E3A5F" w:rsidRPr="004B4ACF" w:rsidRDefault="004E3A5F" w:rsidP="00814093">
      <w:pPr>
        <w:pStyle w:val="NormalHanging12a"/>
      </w:pPr>
      <w:r w:rsidRPr="004B4ACF">
        <w:t>22.</w:t>
      </w:r>
      <w:r w:rsidRPr="004B4ACF">
        <w:tab/>
        <w:t xml:space="preserve">hangsúlyozza, hogy nem minden tagállam nyújt ugyanolyan szintű tájékoztatást a vissza nem térítendő támogatásokról, és hogy a meglévő uniós adatbázis nem eléggé következetes és koherens; kéri a Bizottságot, hogy a megosztott és közvetett irányítás esetében erősítse meg az átláthatóságot és az </w:t>
      </w:r>
      <w:proofErr w:type="spellStart"/>
      <w:r w:rsidRPr="004B4ACF">
        <w:t>elszámoltathatóságot</w:t>
      </w:r>
      <w:proofErr w:type="spellEnd"/>
      <w:r w:rsidRPr="004B4ACF">
        <w:t xml:space="preserve"> azáltal, hogy a költségvetési rendelet átdolgozására irányuló javaslattal összhangban ellenőrzi a pénzeszközök átcsoportosítását és felhasználását egészen a végső kedvezményezettekig;</w:t>
      </w:r>
    </w:p>
    <w:p w:rsidR="004E3A5F" w:rsidRPr="004B4ACF" w:rsidRDefault="004E3A5F" w:rsidP="00814093">
      <w:pPr>
        <w:pStyle w:val="NormalHanging12a"/>
      </w:pPr>
      <w:proofErr w:type="gramStart"/>
      <w:r w:rsidRPr="004B4ACF">
        <w:t>23.</w:t>
      </w:r>
      <w:r w:rsidRPr="004B4ACF">
        <w:tab/>
        <w:t>felszólítja a Bizottságot, hogy arányosan erősítse meg az előzetes ellenőrzési mechanizmusokat, beleértve a megfelelő szúrópróbaszerű ellenőrzéseket is; úgy véli, hogy súlyos hiányosságok vannak az uniós források felhasználásának utólagos ellenőrzésében, és sürgeti a Bizottságot, hogy a tagállamokkal együttműködve készítsen mélyreható elemzést, amely egyértelmű javaslatokat tartalmaz a minőség, az összeg és a szabályszerűség megerősítésére, és amelyet a Bizottságon belül egy jól megalapozott és központosított, az összes érdekképviselő tekintetében egyértelmű megbízatással, vizsgálati képességekkel</w:t>
      </w:r>
      <w:proofErr w:type="gramEnd"/>
      <w:r w:rsidRPr="004B4ACF">
        <w:t xml:space="preserve"> </w:t>
      </w:r>
      <w:proofErr w:type="gramStart"/>
      <w:r w:rsidRPr="004B4ACF">
        <w:t>és</w:t>
      </w:r>
      <w:proofErr w:type="gramEnd"/>
      <w:r w:rsidRPr="004B4ACF">
        <w:t xml:space="preserve"> erőforrásokkal rendelkező költségvetési ellenőrzési munkacsoport támogat;</w:t>
      </w:r>
    </w:p>
    <w:p w:rsidR="004E3A5F" w:rsidRPr="004B4ACF" w:rsidRDefault="004E3A5F" w:rsidP="00814093">
      <w:pPr>
        <w:pStyle w:val="NormalHanging12a"/>
      </w:pPr>
      <w:proofErr w:type="gramStart"/>
      <w:r w:rsidRPr="004B4ACF">
        <w:t>24.</w:t>
      </w:r>
      <w:r w:rsidRPr="004B4ACF">
        <w:tab/>
        <w:t xml:space="preserve">elismeri, hogy a pénzeszközök felelős és elszámoltatható felhasználásának biztosítása érdekében az EU által finanszírozott tevékenységek valamennyi aspektusában fontos az átláthatóság; elismeri az uniós politikai döntéshozatalba való esetleges külföldi beavatkozással kapcsolatos aggodalmakat, valamint azt, hogy a jelenlegi rendszer nem tudja teljes mértékben megakadályozni, hogy a szereplők – többek között nem kormányzati szervezetek – hamis narratívákat népszerűsítsenek, többek között dezinformáció révén, ahogyan az állítólag a </w:t>
      </w:r>
      <w:proofErr w:type="spellStart"/>
      <w:r w:rsidRPr="004B4ACF">
        <w:t>Katargate</w:t>
      </w:r>
      <w:proofErr w:type="spellEnd"/>
      <w:r w:rsidRPr="004B4ACF">
        <w:t>-ügyben történt; úgy véli, hogy a meglévő aggályok ne</w:t>
      </w:r>
      <w:proofErr w:type="gramEnd"/>
      <w:r w:rsidRPr="004B4ACF">
        <w:t xml:space="preserve">m </w:t>
      </w:r>
      <w:proofErr w:type="gramStart"/>
      <w:r w:rsidRPr="004B4ACF">
        <w:t>vezethetnek</w:t>
      </w:r>
      <w:proofErr w:type="gramEnd"/>
      <w:r w:rsidRPr="004B4ACF">
        <w:t xml:space="preserve"> valamennyi nem kormányzati szervezet megbélyegzéséhez, mivel a legtöbb nem kormányzati szervezet tiszteletben tartja és támogatja az EU demokratikus elveit és értékeit; hangsúlyozza, hogy az uniós költségvetést nem szabad az EU demokratikus elvei és értékei elleni lobbitevékenységre felhasználni;</w:t>
      </w:r>
    </w:p>
    <w:p w:rsidR="004E3A5F" w:rsidRPr="004B4ACF" w:rsidRDefault="004E3A5F" w:rsidP="00814093">
      <w:pPr>
        <w:pStyle w:val="NormalHanging12a"/>
      </w:pPr>
      <w:proofErr w:type="gramStart"/>
      <w:r w:rsidRPr="004B4ACF">
        <w:t>25.</w:t>
      </w:r>
      <w:r w:rsidRPr="004B4ACF">
        <w:tab/>
        <w:t>felszólítja a Bizottságot, hogy kötelezze az uniós támogatásban részesülő kedvezményezetteket, beleértve a nem kormányzati szervezeteket is, hogy öt éven keresztül tegyék közzé az EU által társfinanszírozott projektekhez kapcsolódóan más forrásból kapott finanszírozás részletes adatait, a titoktartás elvének fenntartása mellett, különösen kellően indokolt esetekben, amikor a kedvezményezetteket, beleértve a nem kormányzati szervezeteket is, komoly megtorlások fenyegetik; hangsúlyozza, hogy a nem kormányzati szervezetek Unión kívülről érkező finanszírozása legitim finanszírozási forrás lehet,</w:t>
      </w:r>
      <w:proofErr w:type="gramEnd"/>
      <w:r w:rsidRPr="004B4ACF">
        <w:t xml:space="preserve"> de hangsúlyozza, hogy a titoktartás elvét tiszteletben tartó egyértelmű átláthatósági szabályok nélkül az ilyen </w:t>
      </w:r>
      <w:proofErr w:type="gramStart"/>
      <w:r w:rsidRPr="004B4ACF">
        <w:t>finanszírozási</w:t>
      </w:r>
      <w:proofErr w:type="gramEnd"/>
      <w:r w:rsidRPr="004B4ACF">
        <w:t xml:space="preserve"> lehetőségek megnyitják az utat a visszaélések és a harmadik országok szereplői által gyakorolt jogtalan befolyásolás előtt; felszólítja az uniós intézményeket, hogy javítsák </w:t>
      </w:r>
      <w:r w:rsidRPr="004B4ACF">
        <w:lastRenderedPageBreak/>
        <w:t>átláthatósági normáik végrehajtását, beleértve a lobbitevékenységekre vonatkozó kötelező jelentéstételt is;</w:t>
      </w:r>
    </w:p>
    <w:p w:rsidR="004E3A5F" w:rsidRPr="004B4ACF" w:rsidRDefault="004E3A5F" w:rsidP="00814093">
      <w:pPr>
        <w:pStyle w:val="NormalHanging12a"/>
      </w:pPr>
      <w:r w:rsidRPr="004B4ACF">
        <w:t>26.</w:t>
      </w:r>
      <w:r w:rsidRPr="004B4ACF">
        <w:tab/>
      </w:r>
      <w:proofErr w:type="spellStart"/>
      <w:r w:rsidRPr="004B4ACF">
        <w:t>ösztönzi</w:t>
      </w:r>
      <w:proofErr w:type="spellEnd"/>
      <w:r w:rsidRPr="004B4ACF">
        <w:t xml:space="preserve"> a tagállamokat, hogy hozzanak létre nemzeti lobbi- és átláthatósági nyilvántartásra vonatkozó jogszabályokat, amelyek előírják az adományozók – köztük a nemzetközi adományozók – és a </w:t>
      </w:r>
      <w:proofErr w:type="gramStart"/>
      <w:r w:rsidRPr="004B4ACF">
        <w:t>finanszírozási</w:t>
      </w:r>
      <w:proofErr w:type="gramEnd"/>
      <w:r w:rsidRPr="004B4ACF">
        <w:t xml:space="preserve"> források nyilvánosságra hozatalát is, azonos átláthatósági követelmények mellett valamennyi érdekképviselő számára, függetlenül azok jellegétől és jogállásától;</w:t>
      </w:r>
    </w:p>
    <w:p w:rsidR="004E3A5F" w:rsidRPr="004B4ACF" w:rsidRDefault="004E3A5F" w:rsidP="00814093">
      <w:pPr>
        <w:pStyle w:val="NormalHanging12a"/>
      </w:pPr>
      <w:proofErr w:type="gramStart"/>
      <w:r w:rsidRPr="004B4ACF">
        <w:t>27.</w:t>
      </w:r>
      <w:r w:rsidRPr="004B4ACF">
        <w:tab/>
        <w:t>emlékeztet arra, hogy a tagállamok felelősek a csalás, a pénzeszközökkel való visszaélés vagy a pénzmosás miatt hozott ítéletek vagy a folyamatban lévő nyomozások nyilvántartásba vételéért és ellenőrzéséért, valamint az ilyen ügyek bejelentéséért; úgy véli, hogy a nemzeti közigazgatások – mivel jobban ismerik a helyi viszonyokat – az első hatékony szintet jelentik az uniós szabályokkal és értékekkel ellentétesen cselekvő szervezetek ellenőrzésében és nyomon követésében, a csalás és a pénzeszközök hűtlen kezelésének megelőzésére, felderítésére és leküzdésére irányuló intézkedések megerősítése</w:t>
      </w:r>
      <w:proofErr w:type="gramEnd"/>
      <w:r w:rsidRPr="004B4ACF">
        <w:t xml:space="preserve"> </w:t>
      </w:r>
      <w:proofErr w:type="gramStart"/>
      <w:r w:rsidRPr="004B4ACF">
        <w:t>érdekében</w:t>
      </w:r>
      <w:proofErr w:type="gramEnd"/>
      <w:r w:rsidRPr="004B4ACF">
        <w:t>;</w:t>
      </w:r>
    </w:p>
    <w:p w:rsidR="004E3A5F" w:rsidRPr="004B4ACF" w:rsidRDefault="004E3A5F" w:rsidP="00814093">
      <w:pPr>
        <w:pStyle w:val="NormalHanging12a"/>
      </w:pPr>
      <w:proofErr w:type="gramStart"/>
      <w:r w:rsidRPr="004B4ACF">
        <w:t>28.</w:t>
      </w:r>
      <w:r w:rsidRPr="004B4ACF">
        <w:tab/>
        <w:t>felszólítja a nemzeti hatóságokat, hogy erősítsék meg átláthatósági és elszámoltathatósági rendszereiket annak érdekében, hogy azonosítani tudják az összes olyan szervezetet vagy jogalanyt, amely az uniós szabályokkal és értékekkel ellentétesen cselekszik, és hozzanak olyan jogi és adminisztratív intézkedéseket, amelyek elősegítik az uniós szintű fellépést, valamint megkönnyítik és felgyorsítják a Bizottság számára, hogy az érintett szervezeteket bevonja rendszereibe; sürgeti a Bizottságot, hogy az uniós szabályokat és értékeket megsértő valamennyi érdekképviselőt vonja be a korai felismerési</w:t>
      </w:r>
      <w:proofErr w:type="gramEnd"/>
      <w:r w:rsidRPr="004B4ACF">
        <w:t xml:space="preserve"> és kizárási rendszerbe, és ennek megfelelően zárja ki őket az uniós </w:t>
      </w:r>
      <w:proofErr w:type="gramStart"/>
      <w:r w:rsidRPr="004B4ACF">
        <w:t>finanszírozásból</w:t>
      </w:r>
      <w:proofErr w:type="gramEnd"/>
      <w:r w:rsidRPr="004B4ACF">
        <w:t>, összhangban az uniós költségvetésre alkalmazandó költségvetési rendelettel;</w:t>
      </w:r>
    </w:p>
    <w:p w:rsidR="004E3A5F" w:rsidRPr="004B4ACF" w:rsidRDefault="004E3A5F" w:rsidP="00814093">
      <w:pPr>
        <w:pStyle w:val="NormalHanging12a"/>
      </w:pPr>
      <w:proofErr w:type="gramStart"/>
      <w:r w:rsidRPr="004B4ACF">
        <w:t>29.</w:t>
      </w:r>
      <w:r w:rsidRPr="004B4ACF">
        <w:tab/>
        <w:t>véleménye szerint a tagállamok számára nem szabad mérlegelési mozgásteret hagyni arra, hogy a nem kormányzati szervezeteket végzetesen korlátozó követelményeknek és kötelezettségeknek vessék alá; emlékeztet arra, hogy a Bizottság kötelezettségszegési eljárást indított Magyarország ellen, amikor 2017-ben törvényt vezetett be a külföldi beavatkozásról, és hogy az Európai Bíróság által az Európai Bizottság kontra Magyarország ügyben 2020. június 18-án hozott ítélet</w:t>
      </w:r>
      <w:r w:rsidRPr="004B4ACF">
        <w:rPr>
          <w:rStyle w:val="FootnoteReference"/>
        </w:rPr>
        <w:footnoteReference w:id="16"/>
      </w:r>
      <w:r w:rsidRPr="004B4ACF">
        <w:t xml:space="preserve"> megállapította, hogy az egyesülési szabadsághoz való jog és így az uniós jog sérül, ha a civil szervezetekre vonatkozó rendszerszintű</w:t>
      </w:r>
      <w:proofErr w:type="gramEnd"/>
      <w:r w:rsidRPr="004B4ACF">
        <w:t xml:space="preserve"> </w:t>
      </w:r>
      <w:proofErr w:type="gramStart"/>
      <w:r w:rsidRPr="004B4ACF">
        <w:t>kötelezettségek</w:t>
      </w:r>
      <w:proofErr w:type="gramEnd"/>
      <w:r w:rsidRPr="004B4ACF">
        <w:t xml:space="preserve"> jelentősen megnehezítik azoknak a szervezeteknek a fellépését és működését, amelyekre ezek a kötelezettségek vonatkoznak;</w:t>
      </w:r>
    </w:p>
    <w:p w:rsidR="004E3A5F" w:rsidRPr="004B4ACF" w:rsidRDefault="004E3A5F" w:rsidP="00814093">
      <w:pPr>
        <w:pStyle w:val="NormalHanging12a"/>
      </w:pPr>
      <w:proofErr w:type="gramStart"/>
      <w:r w:rsidRPr="004B4ACF">
        <w:t>30.</w:t>
      </w:r>
      <w:r w:rsidRPr="004B4ACF">
        <w:tab/>
        <w:t>sajnálatosnak tartja, hogy az adatokat az FTS-</w:t>
      </w:r>
      <w:proofErr w:type="spellStart"/>
      <w:r w:rsidRPr="004B4ACF">
        <w:t>ben</w:t>
      </w:r>
      <w:proofErr w:type="spellEnd"/>
      <w:r w:rsidRPr="004B4ACF">
        <w:t xml:space="preserve"> 6–18 hónapos késéssel teszik közzé, és ez hatással van az átláthatóságra; felszólítja a Bizottságot, hogy legkésőbb a támogatás odaítélésétől számított hat hónapon belül tegye közzé a nem kormányzati szervezeteknek és jogalanyoknak nyújtott uniós támogatásokról szóló információkat, beleértve a más forrásokból kapott finanszírozást is, figyelembe véve a titoktartás elvét a súlyos fenyegetésekkel szembesülő kedvezményezettek – köztük nem kormányzati szervezetek – kellően indokolt esetében; felszólítja a Bizottságot, hogy fejlesszen ki és vezessen</w:t>
      </w:r>
      <w:proofErr w:type="gramEnd"/>
      <w:r w:rsidRPr="004B4ACF">
        <w:t xml:space="preserve"> be adathitelesítési eszközöket annak érdekében, hogy az FTS-adatok </w:t>
      </w:r>
      <w:r w:rsidRPr="004B4ACF">
        <w:lastRenderedPageBreak/>
        <w:t xml:space="preserve">hitelesítési folyamata </w:t>
      </w:r>
      <w:proofErr w:type="gramStart"/>
      <w:r w:rsidRPr="004B4ACF">
        <w:t>automatikus</w:t>
      </w:r>
      <w:proofErr w:type="gramEnd"/>
      <w:r w:rsidRPr="004B4ACF">
        <w:t>, folyamatos és gyorsabb legyen, illetve kevesebb erőforrást igényeljen;</w:t>
      </w:r>
    </w:p>
    <w:p w:rsidR="004E3A5F" w:rsidRPr="004B4ACF" w:rsidRDefault="004E3A5F" w:rsidP="00814093">
      <w:pPr>
        <w:pStyle w:val="NormalHanging12a"/>
      </w:pPr>
      <w:proofErr w:type="gramStart"/>
      <w:r w:rsidRPr="004B4ACF">
        <w:t>31.</w:t>
      </w:r>
      <w:r w:rsidRPr="004B4ACF">
        <w:tab/>
        <w:t xml:space="preserve">sajnálattal állapítja meg, hogy a Bizottság informatikai rendszerei nem </w:t>
      </w:r>
      <w:proofErr w:type="spellStart"/>
      <w:r w:rsidRPr="004B4ACF">
        <w:t>felhasználóbarátak</w:t>
      </w:r>
      <w:proofErr w:type="spellEnd"/>
      <w:r w:rsidRPr="004B4ACF">
        <w:t>, és eltérő szabályokat használnak a projektek és támogatások kedvezményezettjeinek azonosítására, ami eltérő adatokat eredményez, és megnehezíti a különböző nyilvánosan hozzáférhető bizottsági portálokról és adatbázisokból származó információk egyeztetését; azt ajánlja, hogy a Bizottság hozzon létre harmonizált szabályokat, és egységesítse a programspecifikus adatbázisok felépítését és funkcióit, figyelembe véve a nem kormányzati szervezetek sokféle környezetét és tevékenységi területét, kerülve ugyanakkor,</w:t>
      </w:r>
      <w:proofErr w:type="gramEnd"/>
      <w:r w:rsidRPr="004B4ACF">
        <w:t xml:space="preserve"> </w:t>
      </w:r>
      <w:proofErr w:type="gramStart"/>
      <w:r w:rsidRPr="004B4ACF">
        <w:t>hogy</w:t>
      </w:r>
      <w:proofErr w:type="gramEnd"/>
      <w:r w:rsidRPr="004B4ACF">
        <w:t xml:space="preserve"> további szükségtelen terheket rójon rájuk;</w:t>
      </w:r>
    </w:p>
    <w:p w:rsidR="004E3A5F" w:rsidRPr="004B4ACF" w:rsidRDefault="004E3A5F" w:rsidP="00814093">
      <w:pPr>
        <w:pStyle w:val="NormalHanging12a"/>
      </w:pPr>
      <w:proofErr w:type="gramStart"/>
      <w:r w:rsidRPr="004B4ACF">
        <w:t>32.</w:t>
      </w:r>
      <w:r w:rsidRPr="004B4ACF">
        <w:tab/>
        <w:t>felhívja a Bizottságot, hogy a különböző rendszerek és honlapok által szolgáltatott, nyilvánosan elérhető információk egyeztetésének megkönnyítése érdekében valamennyi portálon és adatbázisban – beleértve a kedvezményezettek honlapjait is – használjon közös egyedi adat-egyedet, például egyedi résztvevő-azonosító kódot és projektazonosító kulcsokat a titoktartás elvének fenntartása mellett, különösen olyan kedvezményezettek, köztük nem kormányzati szervezetek esetében, amelyek komoly megtorlás veszélyének vannak kitéve; felhívja a Bizottságot, hogy minden kedvezményezett – köztük a nem kormányzati</w:t>
      </w:r>
      <w:proofErr w:type="gramEnd"/>
      <w:r w:rsidRPr="004B4ACF">
        <w:t xml:space="preserve"> szervezetek – számára biztosítson olyan kódot, amelynek segítségével a </w:t>
      </w:r>
      <w:proofErr w:type="gramStart"/>
      <w:r w:rsidRPr="004B4ACF">
        <w:t>finanszírozási</w:t>
      </w:r>
      <w:proofErr w:type="gramEnd"/>
      <w:r w:rsidRPr="004B4ACF">
        <w:t xml:space="preserve"> adatok öt évre visszamenően közvetlenül kinyerhetők az FTS-</w:t>
      </w:r>
      <w:proofErr w:type="spellStart"/>
      <w:r w:rsidRPr="004B4ACF">
        <w:t>ből</w:t>
      </w:r>
      <w:proofErr w:type="spellEnd"/>
      <w:r w:rsidRPr="004B4ACF">
        <w:t>, és amely a Bizottság programadatbázisaiban a megfelelő projektbejegyzésekre mutató hivatkozásokat tartalmaz;</w:t>
      </w:r>
    </w:p>
    <w:p w:rsidR="004E3A5F" w:rsidRPr="004B4ACF" w:rsidRDefault="004E3A5F" w:rsidP="00814093">
      <w:pPr>
        <w:pStyle w:val="NormalHanging12a"/>
      </w:pPr>
      <w:proofErr w:type="gramStart"/>
      <w:r w:rsidRPr="004B4ACF">
        <w:t>33.</w:t>
      </w:r>
      <w:r w:rsidRPr="004B4ACF">
        <w:tab/>
      </w:r>
      <w:proofErr w:type="spellStart"/>
      <w:r w:rsidRPr="004B4ACF">
        <w:t>megjegyzi</w:t>
      </w:r>
      <w:proofErr w:type="spellEnd"/>
      <w:r w:rsidRPr="004B4ACF">
        <w:t>, hogy a projektek weboldalain megjelenő információk tartalma és terjedelme igen következetlen, többek között a kapott támogatások partnerek közötti elosztása és a Bizottság vonatkozó adatbázisaival való kapcsolat tekintetében; kéri, hogy tanúsítsanak proaktívabb megközelítést a nyilvános átláthatóságot illetően, és erősítsék meg az együttműködést az uniós költségvetési hatóságokkal, az uniós támogatásokra vonatkozó jelenlegi minimális követelményeken túlmenően; felhívja a Bizottságot, hogy erősítse meg a rendszert, amelynek értelmében az uniós források igénylésekor az összes pályázó,</w:t>
      </w:r>
      <w:proofErr w:type="gramEnd"/>
      <w:r w:rsidRPr="004B4ACF">
        <w:t xml:space="preserve"> köztük a nem kormányzati szervezetek elkötelezik magukat az Európai Unió Alapjogi Chartája mellett; kéri, hogy az EU által </w:t>
      </w:r>
      <w:proofErr w:type="gramStart"/>
      <w:r w:rsidRPr="004B4ACF">
        <w:t>finanszírozott</w:t>
      </w:r>
      <w:proofErr w:type="gramEnd"/>
      <w:r w:rsidRPr="004B4ACF">
        <w:t xml:space="preserve"> projektek weboldalain egyértelműbben és szisztematikusabban jelenítsék meg az EU-tól és más forrásokból kapott támogatásokra vonatkozó információkat;</w:t>
      </w:r>
    </w:p>
    <w:p w:rsidR="004E3A5F" w:rsidRPr="004B4ACF" w:rsidRDefault="004E3A5F" w:rsidP="00814093">
      <w:pPr>
        <w:pStyle w:val="NormalHanging12a"/>
      </w:pPr>
      <w:r w:rsidRPr="004B4ACF">
        <w:t>34.</w:t>
      </w:r>
      <w:r w:rsidRPr="004B4ACF">
        <w:tab/>
        <w:t>kéri, hogy a vállalatok tényleges tulajdonosait az uniós országok központi nyilvántartásaiban tüntessék fel, amelyekhez a „jogos érdekkel” rendelkező személyek – például oknyomozó újságírók, az érintett polgárok és a nem kormányzati szervezetek – hozzáférhetnek;</w:t>
      </w:r>
    </w:p>
    <w:p w:rsidR="004E3A5F" w:rsidRPr="004B4ACF" w:rsidRDefault="004E3A5F" w:rsidP="00814093">
      <w:pPr>
        <w:pStyle w:val="NormalHanging12a"/>
      </w:pPr>
      <w:proofErr w:type="gramStart"/>
      <w:r w:rsidRPr="004B4ACF">
        <w:t>35.</w:t>
      </w:r>
      <w:r w:rsidRPr="004B4ACF">
        <w:tab/>
      </w:r>
      <w:proofErr w:type="spellStart"/>
      <w:r w:rsidRPr="004B4ACF">
        <w:t>megjegyzi</w:t>
      </w:r>
      <w:proofErr w:type="spellEnd"/>
      <w:r w:rsidRPr="004B4ACF">
        <w:t xml:space="preserve">, hogy bár a közös támogatáskezelési eszközként és pályázó-nyilvántartási rendszerként működő </w:t>
      </w:r>
      <w:proofErr w:type="spellStart"/>
      <w:r w:rsidRPr="004B4ACF">
        <w:t>eGrants</w:t>
      </w:r>
      <w:proofErr w:type="spellEnd"/>
      <w:r w:rsidRPr="004B4ACF">
        <w:t xml:space="preserve"> rendszernek a Bizottság valamennyi szolgálatában való általánossá tétele javította az FTS-adatok minőségét és hiánytalanságát, további erőfeszítésekre van szükség ezen adatok megbízhatóságának javítása érdekében; aggodalmát fejezi ki amiatt, hogy az Európai Bizottság meglévő átláthatósági portáljai és rendszerei még mindig nem eléggé egységesek; felhívja továbbá a Bizottságot, hogy fokozza az adatbázisok </w:t>
      </w:r>
      <w:proofErr w:type="spellStart"/>
      <w:r w:rsidRPr="004B4ACF">
        <w:t>észszerűsítésére</w:t>
      </w:r>
      <w:proofErr w:type="spellEnd"/>
      <w:r w:rsidRPr="004B4ACF">
        <w:t xml:space="preserve"> irányuló munkáját olyan </w:t>
      </w:r>
      <w:proofErr w:type="spellStart"/>
      <w:r w:rsidRPr="004B4ACF">
        <w:t>felhasználóbarátabb</w:t>
      </w:r>
      <w:proofErr w:type="spellEnd"/>
      <w:r w:rsidRPr="004B4ACF">
        <w:t xml:space="preserve"> FTS létrehozása</w:t>
      </w:r>
      <w:proofErr w:type="gramEnd"/>
      <w:r w:rsidRPr="004B4ACF">
        <w:t xml:space="preserve"> érdekében, amely kapcsolódik az átláthatósági nyilvántartáshoz és </w:t>
      </w:r>
      <w:proofErr w:type="gramStart"/>
      <w:r w:rsidRPr="004B4ACF">
        <w:t>kompatibilis</w:t>
      </w:r>
      <w:proofErr w:type="gramEnd"/>
      <w:r w:rsidRPr="004B4ACF">
        <w:t xml:space="preserve"> a programok egyedi adatbázisaival; kiemeli, hogy a rendszernek tartalmaznia kell az egyenlegkifizetéseket, lehetővé téve a kedvezményezettek, köztük a </w:t>
      </w:r>
      <w:r w:rsidRPr="004B4ACF">
        <w:lastRenderedPageBreak/>
        <w:t xml:space="preserve">nem kormányzati szervezetek </w:t>
      </w:r>
      <w:proofErr w:type="spellStart"/>
      <w:r w:rsidRPr="004B4ACF">
        <w:t>kategóriánkénti</w:t>
      </w:r>
      <w:proofErr w:type="spellEnd"/>
      <w:r w:rsidRPr="004B4ACF">
        <w:t xml:space="preserve"> azonosítását, többek között a nem kormányzati szervezetek és az érintett szervezetek költségvetési rendelettel összhangban történő meghatározása révén; kéri, hogy a Bizottság 2024 végéig készítsen a további igazgatási intézkedésekre vonatkozó javaslatot;</w:t>
      </w:r>
    </w:p>
    <w:p w:rsidR="004E3A5F" w:rsidRPr="004B4ACF" w:rsidRDefault="004E3A5F" w:rsidP="00814093">
      <w:pPr>
        <w:pStyle w:val="NormalHanging12a"/>
      </w:pPr>
      <w:r w:rsidRPr="004B4ACF">
        <w:t>36.</w:t>
      </w:r>
      <w:r w:rsidRPr="004B4ACF">
        <w:tab/>
      </w:r>
      <w:proofErr w:type="spellStart"/>
      <w:r w:rsidRPr="004B4ACF">
        <w:t>megjegyzi</w:t>
      </w:r>
      <w:proofErr w:type="spellEnd"/>
      <w:r w:rsidRPr="004B4ACF">
        <w:t>, hogy bizonyos helyzetekben a nonprofit szervezet székhelye az egyik országban van, a támogatott műveletek pedig egy másik országban zajlanak; kéri a nonprofit szervezeteket, hogy hozzanak megfelelő intézkedéseket a székhelyük szerinti joghatóság területén kívül nyújtott pénzeszközök és szolgáltatások elszámolására;</w:t>
      </w:r>
    </w:p>
    <w:p w:rsidR="004E3A5F" w:rsidRPr="004B4ACF" w:rsidRDefault="004E3A5F" w:rsidP="00814093">
      <w:pPr>
        <w:pStyle w:val="NormalHanging12a"/>
      </w:pPr>
      <w:proofErr w:type="gramStart"/>
      <w:r w:rsidRPr="004B4ACF">
        <w:t>37.</w:t>
      </w:r>
      <w:r w:rsidRPr="004B4ACF">
        <w:tab/>
        <w:t xml:space="preserve">üdvözli a Bizottság arra irányuló javaslatát, hogy a költségvetési rendelet 36. cikke alapján hozzanak létre központosított, </w:t>
      </w:r>
      <w:proofErr w:type="spellStart"/>
      <w:r w:rsidRPr="004B4ACF">
        <w:t>interoperábilis</w:t>
      </w:r>
      <w:proofErr w:type="spellEnd"/>
      <w:r w:rsidRPr="004B4ACF">
        <w:t xml:space="preserve"> adatbányászati és kockázatértékelési informatikai rendszert, hogy javítsák a költségvetés-végrehajtás belső ellenőrzésének hatékonyságát; hangsúlyozza, hogy ennek a rendszernek nemcsak a címzettek adatait kell tartalmaznia, hanem a tényleges tulajdonosok adatait is, az (EU) 2015/849 irányelvvel</w:t>
      </w:r>
      <w:r w:rsidRPr="004B4ACF">
        <w:rPr>
          <w:rStyle w:val="FootnoteReference"/>
        </w:rPr>
        <w:footnoteReference w:id="17"/>
      </w:r>
      <w:r w:rsidRPr="004B4ACF">
        <w:t xml:space="preserve"> összhangban; kéri, hogy ez a rendszer minden irányítási mód esetében tartalmazzon a korai felismerési és kizárási rendszer adatain alapuló kockázati mutatókat;</w:t>
      </w:r>
      <w:proofErr w:type="gramEnd"/>
    </w:p>
    <w:p w:rsidR="004E3A5F" w:rsidRPr="004B4ACF" w:rsidRDefault="004E3A5F" w:rsidP="00814093">
      <w:pPr>
        <w:pStyle w:val="NormalHanging12a"/>
      </w:pPr>
      <w:r w:rsidRPr="004B4ACF">
        <w:t>38.</w:t>
      </w:r>
      <w:r w:rsidRPr="004B4ACF">
        <w:tab/>
        <w:t>sajnálja, hogy a nemzeti és uniós szintű jelentéstételi kötelezettségek és számviteli gyakorlatok egyidejű megléte aránytalan adminisztratív terhet róhat a kedvezményezettekre, köztük a nem kormányzati szervezetekre; felhívja a Bizottságot, hogy biztosítsa az uniós és nemzeti szintű jelentéstételi kötelezettségek összhangját, hogy a kötelezettségek teljesítésének könnyebb nyomon követése biztosítható legyen;</w:t>
      </w:r>
    </w:p>
    <w:p w:rsidR="004E3A5F" w:rsidRPr="004B4ACF" w:rsidRDefault="004E3A5F" w:rsidP="00814093">
      <w:pPr>
        <w:pStyle w:val="NormalHanging12a"/>
      </w:pPr>
      <w:proofErr w:type="gramStart"/>
      <w:r w:rsidRPr="004B4ACF">
        <w:t>39.</w:t>
      </w:r>
      <w:r w:rsidRPr="004B4ACF">
        <w:tab/>
        <w:t>hangsúlyozza, hogy fontos az átláthatóság és az uniós források végső kedvezményezettjeinek azonosítása; felhívja a Bizottságot, hogy dolgozzon ki harmonizált ellenőrzési rendszert a bürokrácia csökkentése, a hatékonyság javítása és a végső kedvezményezettek azonosítása céljából; javasolja, hogy a Bizottság uniós szintű információs és átláthatósági platformokon keresztül szisztematikus, egységes és harmonizált módon kövesse végig az uniós források útját a végső kedvezményezettekig; kéri továbbá, hogy a Bizottság és az uniós támogatásban részesülő kedvezményezettek, köztük a nem kormányzati</w:t>
      </w:r>
      <w:proofErr w:type="gramEnd"/>
      <w:r w:rsidRPr="004B4ACF">
        <w:t xml:space="preserve"> </w:t>
      </w:r>
      <w:proofErr w:type="gramStart"/>
      <w:r w:rsidRPr="004B4ACF">
        <w:t>szervezetek</w:t>
      </w:r>
      <w:proofErr w:type="gramEnd"/>
      <w:r w:rsidRPr="004B4ACF">
        <w:t xml:space="preserve"> között legyen fokozottabb párbeszéd arról, hogyan lehetne csökkenteni a túlzott terheket;</w:t>
      </w:r>
    </w:p>
    <w:p w:rsidR="004E3A5F" w:rsidRPr="004B4ACF" w:rsidRDefault="004E3A5F" w:rsidP="00814093">
      <w:pPr>
        <w:pStyle w:val="NormalHanging12a"/>
      </w:pPr>
      <w:r w:rsidRPr="004B4ACF">
        <w:t>40.</w:t>
      </w:r>
      <w:r w:rsidRPr="004B4ACF">
        <w:tab/>
        <w:t>aggodalommal tölti el, amikor az uniós programok láthatósági előírásait nem tartják be teljes mértékben; felszólítja a Bizottságot, hogy utasítsa szolgálatait a szerződésben vállalt láthatósági kötelezettségeiket nem teljesítő kedvezményezettekkel kötött megállapodások megszüntetésére vagy a nekik teljesített kifizetések csökkentésére;</w:t>
      </w:r>
    </w:p>
    <w:p w:rsidR="004E3A5F" w:rsidRPr="004B4ACF" w:rsidRDefault="004E3A5F" w:rsidP="00814093">
      <w:pPr>
        <w:pStyle w:val="NormalHanging12a"/>
      </w:pPr>
      <w:proofErr w:type="gramStart"/>
      <w:r w:rsidRPr="004B4ACF">
        <w:t>41.</w:t>
      </w:r>
      <w:r w:rsidRPr="004B4ACF">
        <w:tab/>
        <w:t xml:space="preserve">felkéri a Bizottságot, hogy biztosítsa a költségvetési rendeletről és az EU költségvetéséről szóló képzést valamennyi programtisztviselője és az uniós ügynökségek számára; kéri a Bizottságot, hogy az uniós finanszírozás valamennyi kedvezményezettje, köztük a nem kormányzati szervezetek számára biztosítson képzést </w:t>
      </w:r>
      <w:r w:rsidRPr="004B4ACF">
        <w:lastRenderedPageBreak/>
        <w:t>a jelentéstételről és a pénzügyi szabályokról, és kéri, hogy a mentesítésért felelős hatóságot megfelelően tájékoztassák ezekről a képzésekről, beleértve azok tartalmát, résztvevőit és a kapcsolódó költségeket is; kéri a Bizottságot, hogy egyszerűsítse a támogatások kérelmezésére</w:t>
      </w:r>
      <w:proofErr w:type="gramEnd"/>
      <w:r w:rsidRPr="004B4ACF">
        <w:t xml:space="preserve"> </w:t>
      </w:r>
      <w:proofErr w:type="gramStart"/>
      <w:r w:rsidRPr="004B4ACF">
        <w:t>és</w:t>
      </w:r>
      <w:proofErr w:type="gramEnd"/>
      <w:r w:rsidRPr="004B4ACF">
        <w:t xml:space="preserve"> kiválasztására vonatkozó eljárásokat, biztosítsa az egységes megközelítést és a folyamat átláthatóságát, csökkentse az adminisztratív terheket, és rendszeresen dolgozza át ezeket a szabályokat a változó körülményeknek és a tanulságoknak megfelelően;</w:t>
      </w:r>
    </w:p>
    <w:p w:rsidR="004E3A5F" w:rsidRPr="004B4ACF" w:rsidRDefault="004E3A5F" w:rsidP="00814093">
      <w:pPr>
        <w:pStyle w:val="NormalHanging12a"/>
      </w:pPr>
      <w:r w:rsidRPr="004B4ACF">
        <w:t>42.</w:t>
      </w:r>
      <w:r w:rsidRPr="004B4ACF">
        <w:tab/>
        <w:t>tudomásul veszi az Európai Számvevőszék 2018-as megállapítását, miszerint a támogatások továbbadása miatt a Bizottság nem tudja megfelelően nyomon követni az uniós források felhasználását; kéri, hogy a harmadik fél nem kormányzati szervezeteknek továbbadott támogatás formájában nyújtott összegeket egyértelműen azonosítani lehessen az FTS-</w:t>
      </w:r>
      <w:proofErr w:type="spellStart"/>
      <w:r w:rsidRPr="004B4ACF">
        <w:t>ben</w:t>
      </w:r>
      <w:proofErr w:type="spellEnd"/>
      <w:r w:rsidRPr="004B4ACF">
        <w:t xml:space="preserve"> és a Bizottság éves pénzügyi és elszámoltathatósági jelentéstételében;</w:t>
      </w:r>
    </w:p>
    <w:p w:rsidR="004E3A5F" w:rsidRPr="004B4ACF" w:rsidRDefault="004E3A5F" w:rsidP="00814093">
      <w:pPr>
        <w:pStyle w:val="NormalHanging12a"/>
      </w:pPr>
      <w:proofErr w:type="gramStart"/>
      <w:r w:rsidRPr="004B4ACF">
        <w:t>43.</w:t>
      </w:r>
      <w:r w:rsidRPr="004B4ACF">
        <w:tab/>
        <w:t>arra kéri az összes uniós intézményt, hogy sokkal szigorúbban hajtsa végre és érvényesítse az uniós átláthatósági nyilvántartásra vonatkozó jelenlegi rendelkezéseket, és felügyelje betartásukat; kéri, hogy rendeljenek több erőforrást az átláthatósági nyilvántartás titkárságához annak érdekében, hogy a regisztrációs folyamat során támogatást nyújthasson valamennyi kérelmezőnek és nyilvántartottnak, különösen a kisebb szervezeteknek és a nem kormányzati szervezeteknek, és alaposabban ellenőrizhesse az általuk szolgáltatott információkat; kéri különösen azt, hogy valamennyi bizottság titkárságán</w:t>
      </w:r>
      <w:proofErr w:type="gramEnd"/>
      <w:r w:rsidRPr="004B4ACF">
        <w:t xml:space="preserve"> </w:t>
      </w:r>
      <w:proofErr w:type="gramStart"/>
      <w:r w:rsidRPr="004B4ACF">
        <w:t>és az érintett igazgatási egységeknél alkalmazzanak egy átláthatósági tisztviselőt; emlékeztet arra, hogy az átláthatósági nyilvántartásra vonatkozó iránymutatások szerint a megadott adatokban bekövetkezett változásokat azonnal, de legkésőbb három hónapon belül közölni kell; nyomatékosan kéri, hogy nyilvántartásba vett szervezetek igazgatótanácsában vagy vezetőségében bekövetkező változásokat is rögzítsék az átláthatósági nyilvántartásban; kéri, hogy az átláthatósági adatbázis csak bizonyos felhatalmazott személyek számára és a költségvetési hatósághoz benyújtott kérésre legyen hozzáférhető, anna</w:t>
      </w:r>
      <w:proofErr w:type="gramEnd"/>
      <w:r w:rsidRPr="004B4ACF">
        <w:t xml:space="preserve">k érdekében, hogy elkerülhető legyen olyan </w:t>
      </w:r>
      <w:proofErr w:type="gramStart"/>
      <w:r w:rsidRPr="004B4ACF">
        <w:t>információk</w:t>
      </w:r>
      <w:proofErr w:type="gramEnd"/>
      <w:r w:rsidRPr="004B4ACF">
        <w:t xml:space="preserve"> terjedése, amelyek veszélyeztethetik valamely személy életét, személyes biztonságát vagy nem kormányzati szervezet létét;</w:t>
      </w:r>
    </w:p>
    <w:p w:rsidR="004E3A5F" w:rsidRPr="004B4ACF" w:rsidRDefault="004E3A5F" w:rsidP="00814093">
      <w:pPr>
        <w:pStyle w:val="NormalHanging12a"/>
      </w:pPr>
      <w:r w:rsidRPr="004B4ACF">
        <w:t>44.</w:t>
      </w:r>
      <w:r w:rsidRPr="004B4ACF">
        <w:tab/>
        <w:t xml:space="preserve">sajnálattal állapítja meg, hogy az átláthatósági nyilvántartásban a különböző típusú szervezetekre vonatkozóan eltérő közzétételi követelmények vannak érvényben; kéri a Bizottságot, hogy az átláthatósági nyilvántartásba bejegyzett szervezetek valamennyi típusára azonos közzétételi követelményeket írjon elő; </w:t>
      </w:r>
      <w:proofErr w:type="spellStart"/>
      <w:r w:rsidRPr="004B4ACF">
        <w:t>megjegyzi</w:t>
      </w:r>
      <w:proofErr w:type="spellEnd"/>
      <w:r w:rsidRPr="004B4ACF">
        <w:t>, hogy mindegyik szervezet számára elő kell írni különösen, hogy tegye közzé jövedelmét és a lobbitevékenységre fordított összegeket</w:t>
      </w:r>
      <w:r w:rsidRPr="004B4ACF">
        <w:rPr>
          <w:rStyle w:val="FootnoteReference"/>
        </w:rPr>
        <w:footnoteReference w:id="18"/>
      </w:r>
      <w:r w:rsidRPr="004B4ACF">
        <w:t>;</w:t>
      </w:r>
    </w:p>
    <w:p w:rsidR="004E3A5F" w:rsidRPr="004B4ACF" w:rsidRDefault="004E3A5F" w:rsidP="00814093">
      <w:pPr>
        <w:pStyle w:val="NormalHanging12a"/>
      </w:pPr>
      <w:proofErr w:type="gramStart"/>
      <w:r w:rsidRPr="004B4ACF">
        <w:t>45.</w:t>
      </w:r>
      <w:r w:rsidRPr="004B4ACF">
        <w:tab/>
        <w:t>emlékeztet a Parlament 2021. évi mentesítési állásfoglalásában</w:t>
      </w:r>
      <w:r w:rsidRPr="004B4ACF">
        <w:rPr>
          <w:rStyle w:val="FootnoteReference"/>
        </w:rPr>
        <w:footnoteReference w:id="19"/>
      </w:r>
      <w:r w:rsidRPr="004B4ACF">
        <w:t xml:space="preserve"> megfogalmazott ajánlásokra, amelyek az uniós átláthatósági nyilvántartás és a hozzá tartozó iránymutatások felülvizsgálatára szólítanak fel annak érdekében, hogy a nyilvántartásba vett szervezetek számára kötelező legyen az összes finanszírozási forrás – ezen belül a más társaságokban lévő részvények – részleteinek közzététele, és lehetővé váljon az uniós pénzeszközök nyomon követése a közvetlen címzettől a végső kedvezményezettig, amennyiben a pénzeszközök egy láncolat mentén kerülnek átutalásra, beleértve azt is, amikor az egyi</w:t>
      </w:r>
      <w:proofErr w:type="gramEnd"/>
      <w:r w:rsidRPr="004B4ACF">
        <w:t xml:space="preserve">k </w:t>
      </w:r>
      <w:proofErr w:type="spellStart"/>
      <w:proofErr w:type="gramStart"/>
      <w:r w:rsidRPr="004B4ACF">
        <w:t>kedvezményezettől</w:t>
      </w:r>
      <w:proofErr w:type="spellEnd"/>
      <w:proofErr w:type="gramEnd"/>
      <w:r w:rsidRPr="004B4ACF">
        <w:t xml:space="preserve">, többek között nem </w:t>
      </w:r>
      <w:r w:rsidRPr="004B4ACF">
        <w:lastRenderedPageBreak/>
        <w:t>kormányzati szervezettől egy másiknak utalnak át pénzeszközöket, a titoktartás elvének fenntartása mellett a súlyos fenyegetésnek kitett nem kormányzati szervezetek esetében;</w:t>
      </w:r>
    </w:p>
    <w:p w:rsidR="004E3A5F" w:rsidRPr="004B4ACF" w:rsidRDefault="004E3A5F" w:rsidP="00814093">
      <w:pPr>
        <w:pStyle w:val="NormalHanging12a"/>
      </w:pPr>
      <w:r w:rsidRPr="004B4ACF">
        <w:t>46.</w:t>
      </w:r>
      <w:r w:rsidRPr="004B4ACF">
        <w:tab/>
        <w:t>kéri a teljes átláthatóság és elszámoltathatóság, az Európai Unió Alapjogi Chartája, valamint a demokratikus és uniós értékek előmozdítása iránt elkötelezett valamennyi nem kormányzati szervezetet és egyéb szervezetet, hogy kérjék felvételüket az átláthatósági nyilvántartásba, amikor uniós forrásokra pályáznak;</w:t>
      </w:r>
    </w:p>
    <w:p w:rsidR="004E3A5F" w:rsidRDefault="004E3A5F" w:rsidP="00814093">
      <w:pPr>
        <w:pStyle w:val="NormalHanging12a"/>
      </w:pPr>
      <w:r w:rsidRPr="004B4ACF">
        <w:t>47.</w:t>
      </w:r>
      <w:r w:rsidRPr="004B4ACF">
        <w:tab/>
        <w:t>kéri a Parlamentbe való belépésre és a parlamenti bizottságokba való meghívásra vonatkozó szabályok szigorú betartását, amelyek feltétele, hogy az egyes szervezeteket az egyes bizottságok titkárságán alkalmazandó új átláthatósági tisztviselő bejegyezze az átláthatósági nyilvántartásba;</w:t>
      </w:r>
    </w:p>
    <w:p w:rsidR="001212F4" w:rsidRPr="004B4ACF" w:rsidRDefault="001212F4" w:rsidP="00814093">
      <w:pPr>
        <w:pStyle w:val="NormalHanging12a"/>
      </w:pPr>
      <w:proofErr w:type="gramStart"/>
      <w:r>
        <w:t>48</w:t>
      </w:r>
      <w:r w:rsidRPr="001212F4">
        <w:t>.</w:t>
      </w:r>
      <w:r w:rsidRPr="001212F4">
        <w:tab/>
        <w:t>felkér minden uniós finanszírozású kedvezményezettet, köztük a nem kormányzati szervezeteket, hogy az európai parlamenti képviselőkkel, az európai parlamenti képviselők asszisztenseivel vagy más uniós intézmények, szervek vagy ügynökségek képviselőivel folytatott összes találkozót tegyék közzé az interneten – az európai parlamenti képviselők hasonló kötelezettségeivel összhangban –, amennyiben ezek a találkozók a folyamatban lévő uniós jogalkotási eljárásokkal vagy az ilyen kedvezményezettek által kapott vagy kérelmezett uniós finanszírozással kapcsolatosak; felhívja az érintett uniós intézményeket</w:t>
      </w:r>
      <w:proofErr w:type="gramEnd"/>
      <w:r w:rsidRPr="001212F4">
        <w:t xml:space="preserve"> </w:t>
      </w:r>
      <w:proofErr w:type="gramStart"/>
      <w:r w:rsidRPr="001212F4">
        <w:t>és</w:t>
      </w:r>
      <w:proofErr w:type="gramEnd"/>
      <w:r w:rsidRPr="001212F4">
        <w:t xml:space="preserve"> szerveket, hogy biztosítsák az ilyen találkozók közzétételéhez szükséges eszközöket, indokolt esetben lehetővé téve ugyanakkor a kivételeket;</w:t>
      </w:r>
    </w:p>
    <w:p w:rsidR="004E3A5F" w:rsidRPr="004B4ACF" w:rsidRDefault="001212F4" w:rsidP="00814093">
      <w:pPr>
        <w:pStyle w:val="NormalHanging12a"/>
      </w:pPr>
      <w:proofErr w:type="gramStart"/>
      <w:r>
        <w:t>49</w:t>
      </w:r>
      <w:r w:rsidR="004E3A5F" w:rsidRPr="004B4ACF">
        <w:t>.</w:t>
      </w:r>
      <w:r w:rsidR="004E3A5F" w:rsidRPr="004B4ACF">
        <w:tab/>
        <w:t>a nem kormányzati szervezetekről szóló rendelet elfogadását megkülönböztető intézkedésnek tekinti, amely a nem kormányzati szervezeteket célozza, az uniós források összes többi kedvezményezettjét nem; úgy véli, hogy az olyan kérdések, mint a forgóajtó-jelenség, a finanszírozás és az adományok átláthatósága, a pénzmosás elleni küzdelem, a külföldi beavatkozás korlátozása, a politikai és gazdasági befolyástól való függetlenség, valamint a visszaélések bejelentése fontosak minden uniós támogatásban részesülő szervezet számára, és ezeket nem szabad a nem kormányzati szervezetek mozgásterének korlátozásár</w:t>
      </w:r>
      <w:proofErr w:type="gramEnd"/>
      <w:r w:rsidR="004E3A5F" w:rsidRPr="004B4ACF">
        <w:t xml:space="preserve">a </w:t>
      </w:r>
      <w:proofErr w:type="gramStart"/>
      <w:r w:rsidR="004E3A5F" w:rsidRPr="004B4ACF">
        <w:t>használni</w:t>
      </w:r>
      <w:proofErr w:type="gramEnd"/>
      <w:r w:rsidR="004E3A5F" w:rsidRPr="004B4ACF">
        <w:t>;</w:t>
      </w:r>
    </w:p>
    <w:p w:rsidR="004E3A5F" w:rsidRPr="004B4ACF" w:rsidRDefault="001212F4" w:rsidP="00814093">
      <w:pPr>
        <w:pStyle w:val="NormalHanging12a"/>
      </w:pPr>
      <w:proofErr w:type="gramStart"/>
      <w:r>
        <w:t>50</w:t>
      </w:r>
      <w:r w:rsidR="004E3A5F" w:rsidRPr="004B4ACF">
        <w:t>.</w:t>
      </w:r>
      <w:r w:rsidR="004E3A5F" w:rsidRPr="004B4ACF">
        <w:tab/>
        <w:t>megismétli a Bizottság 2021. évi mentesítésről szóló állásfoglalásában</w:t>
      </w:r>
      <w:r w:rsidR="004E3A5F" w:rsidRPr="004B4ACF">
        <w:rPr>
          <w:rStyle w:val="FootnoteReference"/>
        </w:rPr>
        <w:footnoteReference w:id="20"/>
      </w:r>
      <w:r w:rsidR="004E3A5F" w:rsidRPr="004B4ACF">
        <w:t xml:space="preserve"> annak biztosítása érdekében megfogalmazott kérését, hogy az uniós finanszírozás mindazon kedvezményezettjei, köztük a nem kormányzati szervezetek, amelyek visszaéltek uniós pénzeszközökkel vagy hűtlenül kezelték uniós pénzeszközöket, vagy az Európai Unióról szóló szerződés 2. cikkében és az Európai Unió Alapjogi Chartájában rögzített uniós értékekkel ellentétes tevékenységeket folytattak, például terrorizmusra bujtottak fel, gyűlöletbeszédet folytattak, támogatták vagy dicsőítették az erőszakot, a politikai és vallási</w:t>
      </w:r>
      <w:proofErr w:type="gramEnd"/>
      <w:r w:rsidR="004E3A5F" w:rsidRPr="004B4ACF">
        <w:t xml:space="preserve"> </w:t>
      </w:r>
      <w:proofErr w:type="gramStart"/>
      <w:r w:rsidR="004E3A5F" w:rsidRPr="004B4ACF">
        <w:t>szélsőségeket, vagy szándékosan meghamisított tudományos adatok formájában dezinformációt terjesztettek, jelenjenek meg a korai felismerési és kizárási rendszerben, ne léphessenek be az uniós intézményekben és ne férjenek hozzá közvetlenül vagy megosztottan irányított uniós finanszírozási programokhoz; felhívja a Bizottságot és a tagállamokat, hogy a Parlament ajánlásának megfelelően és a költségvetési rendeletre vonatkozó megállapodással összhangban érvényesítsék a javított kizárási lista végrehajtását és közzétételét; elvárja, hogy a Bizottság 2025 elején tegyen jelentést ezen ajánlás végrehajtásáról;</w:t>
      </w:r>
      <w:proofErr w:type="gramEnd"/>
    </w:p>
    <w:p w:rsidR="004E3A5F" w:rsidRPr="004B4ACF" w:rsidRDefault="001212F4" w:rsidP="00814093">
      <w:pPr>
        <w:pStyle w:val="NormalHanging12a"/>
      </w:pPr>
      <w:proofErr w:type="gramStart"/>
      <w:r>
        <w:lastRenderedPageBreak/>
        <w:t>51</w:t>
      </w:r>
      <w:r w:rsidR="004E3A5F" w:rsidRPr="004B4ACF">
        <w:t>.</w:t>
      </w:r>
      <w:r w:rsidR="004E3A5F" w:rsidRPr="004B4ACF">
        <w:tab/>
        <w:t xml:space="preserve">kéri a Bizottságot és a Számvevőszéket, hogy rendszeresen nyújtsák be a Parlamentnek mint mentesítésért felelős hatóságnak a kedvezményezettek, köztük a nem kormányzati szervezetek kockázatalapú helyszíni ellenőrzésével kapcsolatos megállapításokat és az ellenőrzések következtetéseit, valamint azok eredményeit; </w:t>
      </w:r>
      <w:proofErr w:type="spellStart"/>
      <w:r w:rsidR="004E3A5F" w:rsidRPr="004B4ACF">
        <w:t>ösztönzi</w:t>
      </w:r>
      <w:proofErr w:type="spellEnd"/>
      <w:r w:rsidR="004E3A5F" w:rsidRPr="004B4ACF">
        <w:t xml:space="preserve"> az Európai Csalás Elleni Hivatallal (OLAF) és a Számvevőszékkel folytatott megerősített együttműködést; kéri a Bizottságot, hogy javítsa különösen az OLAF hozzáférését annak érdekében, hogy információkhoz juthasson az egyes </w:t>
      </w:r>
      <w:proofErr w:type="spellStart"/>
      <w:r w:rsidR="004E3A5F" w:rsidRPr="004B4ACF">
        <w:t>kedveményezettek</w:t>
      </w:r>
      <w:proofErr w:type="spellEnd"/>
      <w:r w:rsidR="004E3A5F" w:rsidRPr="004B4ACF">
        <w:t xml:space="preserve"> pénzügyi kötelességszegéseiről, kivizsgálhass</w:t>
      </w:r>
      <w:proofErr w:type="gramEnd"/>
      <w:r w:rsidR="004E3A5F" w:rsidRPr="004B4ACF">
        <w:t xml:space="preserve">a azokat, és az alkalmazandó rendeleteknek megfelelően az uniós forrásokkal kapcsolatos csalás, </w:t>
      </w:r>
      <w:proofErr w:type="gramStart"/>
      <w:r w:rsidR="004E3A5F" w:rsidRPr="004B4ACF">
        <w:t>korrupció</w:t>
      </w:r>
      <w:proofErr w:type="gramEnd"/>
      <w:r w:rsidR="004E3A5F" w:rsidRPr="004B4ACF">
        <w:t xml:space="preserve"> és egyéb szabálytalanságok esetén megfelelő szankciókat szabhasson ki (például a korai felismerési és kizárási rendszeren keresztül a kifizetések felfüggesztését);</w:t>
      </w:r>
    </w:p>
    <w:p w:rsidR="004E3A5F" w:rsidRPr="004B4ACF" w:rsidRDefault="001212F4" w:rsidP="00814093">
      <w:pPr>
        <w:pStyle w:val="NormalHanging12a"/>
      </w:pPr>
      <w:r>
        <w:t>52</w:t>
      </w:r>
      <w:r w:rsidR="004E3A5F" w:rsidRPr="004B4ACF">
        <w:t>.</w:t>
      </w:r>
      <w:r w:rsidR="004E3A5F" w:rsidRPr="004B4ACF">
        <w:tab/>
        <w:t>emlékeztet arra, hogy a nem kormányzati szervezetekre ugyanolyan szintű ellenőrzésnek és vizsgálatok vonatkoznak, mint az uniós támogatások bármely más kedvezményezettjére, és hogy ezek az ellenőrzések és vizsgálatok az OLAF és az Európai Ügyészség megbízatásán belül a kiadások teljes oldalára kiterjednek;</w:t>
      </w:r>
    </w:p>
    <w:p w:rsidR="004E3A5F" w:rsidRPr="004B4ACF" w:rsidRDefault="004E3A5F" w:rsidP="00814093">
      <w:pPr>
        <w:pStyle w:val="NormalHanging12a"/>
        <w:jc w:val="center"/>
      </w:pPr>
      <w:r w:rsidRPr="004B4ACF">
        <w:t>°</w:t>
      </w:r>
    </w:p>
    <w:p w:rsidR="004E3A5F" w:rsidRPr="004B4ACF" w:rsidRDefault="004E3A5F" w:rsidP="00814093">
      <w:pPr>
        <w:pStyle w:val="NormalHanging12a"/>
        <w:jc w:val="center"/>
      </w:pPr>
      <w:r w:rsidRPr="004B4ACF">
        <w:t>°</w:t>
      </w:r>
      <w:r w:rsidRPr="004B4ACF">
        <w:tab/>
        <w:t>°</w:t>
      </w:r>
    </w:p>
    <w:p w:rsidR="00E365E1" w:rsidRPr="004B4ACF" w:rsidRDefault="001212F4" w:rsidP="00814093">
      <w:pPr>
        <w:pStyle w:val="NormalHanging12a"/>
      </w:pPr>
      <w:r>
        <w:t>53</w:t>
      </w:r>
      <w:r w:rsidR="004E3A5F" w:rsidRPr="004B4ACF">
        <w:t>.</w:t>
      </w:r>
      <w:r w:rsidR="004E3A5F" w:rsidRPr="004B4ACF">
        <w:tab/>
        <w:t>utasítja elnökét, hogy továbbítsa ezt az állásfoglalást a Tanácsnak, a Bizottságnak és az Európai Számvevőszéknek.</w:t>
      </w:r>
    </w:p>
    <w:sectPr w:rsidR="00E365E1" w:rsidRPr="004B4ACF" w:rsidSect="003510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BF7" w:rsidRPr="003510C2" w:rsidRDefault="00834BF7">
      <w:r w:rsidRPr="003510C2">
        <w:separator/>
      </w:r>
    </w:p>
  </w:endnote>
  <w:endnote w:type="continuationSeparator" w:id="0">
    <w:p w:rsidR="00834BF7" w:rsidRPr="003510C2" w:rsidRDefault="00834BF7">
      <w:r w:rsidRPr="003510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10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10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10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BF7" w:rsidRPr="003510C2" w:rsidRDefault="00834BF7">
      <w:r w:rsidRPr="003510C2">
        <w:separator/>
      </w:r>
    </w:p>
  </w:footnote>
  <w:footnote w:type="continuationSeparator" w:id="0">
    <w:p w:rsidR="00834BF7" w:rsidRPr="003510C2" w:rsidRDefault="00834BF7">
      <w:r w:rsidRPr="003510C2">
        <w:continuationSeparator/>
      </w:r>
    </w:p>
  </w:footnote>
  <w:footnote w:id="1">
    <w:p w:rsidR="004E3A5F" w:rsidRPr="004B4ACF" w:rsidRDefault="004E3A5F" w:rsidP="003510C2">
      <w:pPr>
        <w:pStyle w:val="FootnoteText"/>
        <w:ind w:left="567" w:hanging="567"/>
        <w:rPr>
          <w:sz w:val="24"/>
          <w:u w:color="0000FF"/>
          <w:lang w:val="hu-HU"/>
        </w:rPr>
      </w:pPr>
      <w:r w:rsidRPr="003510C2">
        <w:rPr>
          <w:rStyle w:val="FootnoteReference"/>
          <w:sz w:val="24"/>
          <w:lang w:val="hu-HU"/>
        </w:rPr>
        <w:footnoteRef/>
      </w:r>
      <w:r w:rsidR="003510C2" w:rsidRPr="003510C2">
        <w:rPr>
          <w:sz w:val="24"/>
          <w:lang w:val="hu-HU"/>
        </w:rPr>
        <w:t xml:space="preserve"> </w:t>
      </w:r>
      <w:r w:rsidR="003510C2" w:rsidRPr="003510C2">
        <w:rPr>
          <w:sz w:val="24"/>
          <w:lang w:val="hu-HU"/>
        </w:rPr>
        <w:tab/>
      </w:r>
      <w:hyperlink r:id="rId1" w:history="1">
        <w:r w:rsidRPr="004B4ACF">
          <w:rPr>
            <w:rStyle w:val="Hyperlink"/>
            <w:color w:val="auto"/>
            <w:sz w:val="24"/>
            <w:u w:val="none"/>
            <w:lang w:val="hu-HU"/>
          </w:rPr>
          <w:t>HL L 193., 2018.7.30</w:t>
        </w:r>
        <w:proofErr w:type="gramStart"/>
        <w:r w:rsidRPr="004B4ACF">
          <w:rPr>
            <w:rStyle w:val="Hyperlink"/>
            <w:color w:val="auto"/>
            <w:sz w:val="24"/>
            <w:u w:val="none"/>
            <w:lang w:val="hu-HU"/>
          </w:rPr>
          <w:t>.,</w:t>
        </w:r>
        <w:proofErr w:type="gramEnd"/>
        <w:r w:rsidRPr="004B4ACF">
          <w:rPr>
            <w:rStyle w:val="Hyperlink"/>
            <w:color w:val="auto"/>
            <w:sz w:val="24"/>
            <w:u w:val="none"/>
            <w:lang w:val="hu-HU"/>
          </w:rPr>
          <w:t xml:space="preserve"> 1. o.</w:t>
        </w:r>
      </w:hyperlink>
    </w:p>
  </w:footnote>
  <w:footnote w:id="2">
    <w:p w:rsidR="004E3A5F" w:rsidRPr="004B4ACF" w:rsidRDefault="004E3A5F" w:rsidP="003510C2">
      <w:pPr>
        <w:pStyle w:val="FootnoteText"/>
        <w:ind w:left="567" w:hanging="567"/>
        <w:rPr>
          <w:sz w:val="24"/>
          <w:u w:color="0000FF"/>
          <w:lang w:val="hu-HU"/>
        </w:rPr>
      </w:pPr>
      <w:r w:rsidRPr="003510C2">
        <w:rPr>
          <w:rStyle w:val="FootnoteReference"/>
          <w:sz w:val="24"/>
          <w:lang w:val="hu-HU"/>
        </w:rPr>
        <w:footnoteRef/>
      </w:r>
      <w:r w:rsidR="003510C2" w:rsidRPr="003510C2">
        <w:rPr>
          <w:sz w:val="24"/>
          <w:lang w:val="hu-HU"/>
        </w:rPr>
        <w:t xml:space="preserve"> </w:t>
      </w:r>
      <w:r w:rsidR="003510C2" w:rsidRPr="003510C2">
        <w:rPr>
          <w:sz w:val="24"/>
          <w:lang w:val="hu-HU"/>
        </w:rPr>
        <w:tab/>
      </w:r>
      <w:hyperlink r:id="rId2" w:history="1">
        <w:r w:rsidRPr="004B4ACF">
          <w:rPr>
            <w:rStyle w:val="Hyperlink"/>
            <w:color w:val="auto"/>
            <w:sz w:val="24"/>
            <w:u w:val="none"/>
            <w:lang w:val="hu-HU"/>
          </w:rPr>
          <w:t>HL L 435., 2021.12.6</w:t>
        </w:r>
        <w:proofErr w:type="gramStart"/>
        <w:r w:rsidRPr="004B4ACF">
          <w:rPr>
            <w:rStyle w:val="Hyperlink"/>
            <w:color w:val="auto"/>
            <w:sz w:val="24"/>
            <w:u w:val="none"/>
            <w:lang w:val="hu-HU"/>
          </w:rPr>
          <w:t>.,</w:t>
        </w:r>
        <w:proofErr w:type="gramEnd"/>
        <w:r w:rsidRPr="004B4ACF">
          <w:rPr>
            <w:rStyle w:val="Hyperlink"/>
            <w:color w:val="auto"/>
            <w:sz w:val="24"/>
            <w:u w:val="none"/>
            <w:lang w:val="hu-HU"/>
          </w:rPr>
          <w:t xml:space="preserve"> 187. o.</w:t>
        </w:r>
      </w:hyperlink>
    </w:p>
  </w:footnote>
  <w:footnote w:id="3">
    <w:p w:rsidR="004E3A5F" w:rsidRPr="004B4ACF" w:rsidRDefault="004E3A5F" w:rsidP="003510C2">
      <w:pPr>
        <w:pStyle w:val="FootnoteText"/>
        <w:ind w:left="567" w:hanging="567"/>
        <w:rPr>
          <w:sz w:val="24"/>
          <w:u w:color="0000FF"/>
          <w:lang w:val="hu-HU"/>
        </w:rPr>
      </w:pPr>
      <w:r w:rsidRPr="00814093">
        <w:rPr>
          <w:rStyle w:val="FootnoteReference"/>
          <w:sz w:val="24"/>
          <w:lang w:val="hu-HU"/>
        </w:rPr>
        <w:footnoteRef/>
      </w:r>
      <w:r w:rsidR="003510C2" w:rsidRPr="00814093">
        <w:rPr>
          <w:sz w:val="24"/>
          <w:lang w:val="hu-HU"/>
        </w:rPr>
        <w:t xml:space="preserve"> </w:t>
      </w:r>
      <w:r w:rsidR="003510C2" w:rsidRPr="00814093">
        <w:rPr>
          <w:sz w:val="24"/>
          <w:lang w:val="hu-HU"/>
        </w:rPr>
        <w:tab/>
      </w:r>
      <w:hyperlink r:id="rId3" w:history="1">
        <w:r w:rsidRPr="004B4ACF">
          <w:rPr>
            <w:rStyle w:val="Hyperlink"/>
            <w:color w:val="auto"/>
            <w:sz w:val="24"/>
            <w:u w:val="none"/>
            <w:lang w:val="hu-HU"/>
          </w:rPr>
          <w:t>HL L 231., 2021.6.30</w:t>
        </w:r>
        <w:proofErr w:type="gramStart"/>
        <w:r w:rsidRPr="004B4ACF">
          <w:rPr>
            <w:rStyle w:val="Hyperlink"/>
            <w:color w:val="auto"/>
            <w:sz w:val="24"/>
            <w:u w:val="none"/>
            <w:lang w:val="hu-HU"/>
          </w:rPr>
          <w:t>.,</w:t>
        </w:r>
        <w:proofErr w:type="gramEnd"/>
        <w:r w:rsidRPr="004B4ACF">
          <w:rPr>
            <w:rStyle w:val="Hyperlink"/>
            <w:color w:val="auto"/>
            <w:sz w:val="24"/>
            <w:u w:val="none"/>
            <w:lang w:val="hu-HU"/>
          </w:rPr>
          <w:t xml:space="preserve"> 159. o.</w:t>
        </w:r>
      </w:hyperlink>
    </w:p>
  </w:footnote>
  <w:footnote w:id="4">
    <w:p w:rsidR="004E3A5F" w:rsidRPr="00814093" w:rsidRDefault="004E3A5F" w:rsidP="003510C2">
      <w:pPr>
        <w:pStyle w:val="FootnoteText"/>
        <w:ind w:left="567" w:hanging="567"/>
        <w:rPr>
          <w:sz w:val="24"/>
          <w:lang w:val="hu-HU"/>
        </w:rPr>
      </w:pPr>
      <w:r w:rsidRPr="00814093">
        <w:rPr>
          <w:rStyle w:val="FootnoteReference"/>
          <w:sz w:val="24"/>
          <w:lang w:val="hu-HU"/>
        </w:rPr>
        <w:footnoteRef/>
      </w:r>
      <w:r w:rsidR="003510C2" w:rsidRPr="00814093">
        <w:rPr>
          <w:sz w:val="24"/>
          <w:lang w:val="hu-HU"/>
        </w:rPr>
        <w:t xml:space="preserve"> </w:t>
      </w:r>
      <w:r w:rsidR="003510C2" w:rsidRPr="00814093">
        <w:rPr>
          <w:sz w:val="24"/>
          <w:lang w:val="hu-HU"/>
        </w:rPr>
        <w:tab/>
      </w:r>
      <w:r w:rsidRPr="00814093">
        <w:rPr>
          <w:sz w:val="24"/>
          <w:lang w:val="hu-HU"/>
        </w:rPr>
        <w:t xml:space="preserve">Tanulmány – </w:t>
      </w:r>
      <w:hyperlink r:id="rId4" w:history="1">
        <w:r w:rsidRPr="004B4ACF">
          <w:rPr>
            <w:rStyle w:val="Hyperlink"/>
            <w:color w:val="auto"/>
            <w:sz w:val="24"/>
            <w:u w:val="none"/>
            <w:lang w:val="hu-HU"/>
          </w:rPr>
          <w:t>„</w:t>
        </w:r>
        <w:proofErr w:type="spellStart"/>
        <w:r w:rsidRPr="004B4ACF">
          <w:rPr>
            <w:rStyle w:val="Hyperlink"/>
            <w:color w:val="auto"/>
            <w:sz w:val="24"/>
            <w:u w:val="none"/>
            <w:lang w:val="hu-HU"/>
          </w:rPr>
          <w:t>Financing</w:t>
        </w:r>
        <w:proofErr w:type="spellEnd"/>
        <w:r w:rsidRPr="004B4ACF">
          <w:rPr>
            <w:rStyle w:val="Hyperlink"/>
            <w:color w:val="auto"/>
            <w:sz w:val="24"/>
            <w:u w:val="none"/>
            <w:lang w:val="hu-HU"/>
          </w:rPr>
          <w:t xml:space="preserve"> of Non-</w:t>
        </w:r>
        <w:proofErr w:type="spellStart"/>
        <w:r w:rsidRPr="004B4ACF">
          <w:rPr>
            <w:rStyle w:val="Hyperlink"/>
            <w:color w:val="auto"/>
            <w:sz w:val="24"/>
            <w:u w:val="none"/>
            <w:lang w:val="hu-HU"/>
          </w:rPr>
          <w:t>Governmental</w:t>
        </w:r>
        <w:proofErr w:type="spellEnd"/>
        <w:r w:rsidRPr="004B4ACF">
          <w:rPr>
            <w:rStyle w:val="Hyperlink"/>
            <w:color w:val="auto"/>
            <w:sz w:val="24"/>
            <w:u w:val="none"/>
            <w:lang w:val="hu-HU"/>
          </w:rPr>
          <w:t xml:space="preserve"> </w:t>
        </w:r>
        <w:proofErr w:type="spellStart"/>
        <w:r w:rsidRPr="004B4ACF">
          <w:rPr>
            <w:rStyle w:val="Hyperlink"/>
            <w:color w:val="auto"/>
            <w:sz w:val="24"/>
            <w:u w:val="none"/>
            <w:lang w:val="hu-HU"/>
          </w:rPr>
          <w:t>Organisations</w:t>
        </w:r>
        <w:proofErr w:type="spellEnd"/>
        <w:r w:rsidRPr="004B4ACF">
          <w:rPr>
            <w:rStyle w:val="Hyperlink"/>
            <w:color w:val="auto"/>
            <w:sz w:val="24"/>
            <w:u w:val="none"/>
            <w:lang w:val="hu-HU"/>
          </w:rPr>
          <w:t xml:space="preserve"> (NGO) </w:t>
        </w:r>
        <w:proofErr w:type="spellStart"/>
        <w:r w:rsidRPr="004B4ACF">
          <w:rPr>
            <w:rStyle w:val="Hyperlink"/>
            <w:color w:val="auto"/>
            <w:sz w:val="24"/>
            <w:u w:val="none"/>
            <w:lang w:val="hu-HU"/>
          </w:rPr>
          <w:t>from</w:t>
        </w:r>
        <w:proofErr w:type="spellEnd"/>
        <w:r w:rsidRPr="004B4ACF">
          <w:rPr>
            <w:rStyle w:val="Hyperlink"/>
            <w:color w:val="auto"/>
            <w:sz w:val="24"/>
            <w:u w:val="none"/>
            <w:lang w:val="hu-HU"/>
          </w:rPr>
          <w:t xml:space="preserve"> the EU </w:t>
        </w:r>
        <w:proofErr w:type="spellStart"/>
        <w:r w:rsidRPr="004B4ACF">
          <w:rPr>
            <w:rStyle w:val="Hyperlink"/>
            <w:color w:val="auto"/>
            <w:sz w:val="24"/>
            <w:u w:val="none"/>
            <w:lang w:val="hu-HU"/>
          </w:rPr>
          <w:t>budget</w:t>
        </w:r>
        <w:proofErr w:type="spellEnd"/>
        <w:r w:rsidRPr="004B4ACF">
          <w:rPr>
            <w:rStyle w:val="Hyperlink"/>
            <w:color w:val="auto"/>
            <w:sz w:val="24"/>
            <w:u w:val="none"/>
            <w:lang w:val="hu-HU"/>
          </w:rPr>
          <w:t>”, Európai Parlament, Uniós Belső Politikák Főigazgatósága, D. Politikai Főosztály – Költségvetési ügyek</w:t>
        </w:r>
      </w:hyperlink>
      <w:r w:rsidRPr="00814093">
        <w:rPr>
          <w:sz w:val="24"/>
          <w:lang w:val="hu-HU"/>
        </w:rPr>
        <w:t>, 2010. november 25.</w:t>
      </w:r>
    </w:p>
  </w:footnote>
  <w:footnote w:id="5">
    <w:p w:rsidR="004E3A5F" w:rsidRPr="00814093" w:rsidRDefault="004E3A5F" w:rsidP="003510C2">
      <w:pPr>
        <w:pStyle w:val="FootnoteText"/>
        <w:ind w:left="567" w:hanging="567"/>
        <w:rPr>
          <w:sz w:val="24"/>
          <w:lang w:val="hu-HU"/>
        </w:rPr>
      </w:pPr>
      <w:r w:rsidRPr="00814093">
        <w:rPr>
          <w:rStyle w:val="FootnoteReference"/>
          <w:sz w:val="24"/>
          <w:lang w:val="hu-HU"/>
        </w:rPr>
        <w:footnoteRef/>
      </w:r>
      <w:r w:rsidR="003510C2" w:rsidRPr="00814093">
        <w:rPr>
          <w:sz w:val="24"/>
          <w:lang w:val="hu-HU"/>
        </w:rPr>
        <w:t xml:space="preserve"> </w:t>
      </w:r>
      <w:r w:rsidR="003510C2" w:rsidRPr="00814093">
        <w:rPr>
          <w:sz w:val="24"/>
          <w:lang w:val="hu-HU"/>
        </w:rPr>
        <w:tab/>
      </w:r>
      <w:r w:rsidRPr="00814093">
        <w:rPr>
          <w:sz w:val="24"/>
          <w:lang w:val="hu-HU"/>
        </w:rPr>
        <w:t>Tanulmány – „</w:t>
      </w:r>
      <w:proofErr w:type="spellStart"/>
      <w:r w:rsidR="000A3B0B">
        <w:fldChar w:fldCharType="begin"/>
      </w:r>
      <w:r w:rsidR="000A3B0B" w:rsidRPr="000A3B0B">
        <w:rPr>
          <w:lang w:val="hu-HU"/>
        </w:rPr>
        <w:instrText xml:space="preserve"> HYPERLINK "https://op.europa.eu/en/publication-detail/-/publication/b8d16d40-282e-11e9-8d04-01aa75ed71a1/language-en/format-PDF/source-search" </w:instrText>
      </w:r>
      <w:r w:rsidR="000A3B0B">
        <w:fldChar w:fldCharType="separate"/>
      </w:r>
      <w:r w:rsidRPr="004B4ACF">
        <w:rPr>
          <w:rStyle w:val="Hyperlink"/>
          <w:color w:val="auto"/>
          <w:sz w:val="24"/>
          <w:u w:val="none"/>
          <w:lang w:val="hu-HU"/>
        </w:rPr>
        <w:t>Democratic</w:t>
      </w:r>
      <w:proofErr w:type="spellEnd"/>
      <w:r w:rsidRPr="004B4ACF">
        <w:rPr>
          <w:rStyle w:val="Hyperlink"/>
          <w:color w:val="auto"/>
          <w:sz w:val="24"/>
          <w:u w:val="none"/>
          <w:lang w:val="hu-HU"/>
        </w:rPr>
        <w:t xml:space="preserve"> </w:t>
      </w:r>
      <w:proofErr w:type="spellStart"/>
      <w:r w:rsidRPr="004B4ACF">
        <w:rPr>
          <w:rStyle w:val="Hyperlink"/>
          <w:color w:val="auto"/>
          <w:sz w:val="24"/>
          <w:u w:val="none"/>
          <w:lang w:val="hu-HU"/>
        </w:rPr>
        <w:t>accountability</w:t>
      </w:r>
      <w:proofErr w:type="spellEnd"/>
      <w:r w:rsidRPr="004B4ACF">
        <w:rPr>
          <w:rStyle w:val="Hyperlink"/>
          <w:color w:val="auto"/>
          <w:sz w:val="24"/>
          <w:u w:val="none"/>
          <w:lang w:val="hu-HU"/>
        </w:rPr>
        <w:t xml:space="preserve"> and </w:t>
      </w:r>
      <w:proofErr w:type="spellStart"/>
      <w:r w:rsidRPr="004B4ACF">
        <w:rPr>
          <w:rStyle w:val="Hyperlink"/>
          <w:color w:val="auto"/>
          <w:sz w:val="24"/>
          <w:u w:val="none"/>
          <w:lang w:val="hu-HU"/>
        </w:rPr>
        <w:t>budgetary</w:t>
      </w:r>
      <w:proofErr w:type="spellEnd"/>
      <w:r w:rsidRPr="004B4ACF">
        <w:rPr>
          <w:rStyle w:val="Hyperlink"/>
          <w:color w:val="auto"/>
          <w:sz w:val="24"/>
          <w:u w:val="none"/>
          <w:lang w:val="hu-HU"/>
        </w:rPr>
        <w:t xml:space="preserve"> </w:t>
      </w:r>
      <w:proofErr w:type="spellStart"/>
      <w:r w:rsidRPr="004B4ACF">
        <w:rPr>
          <w:rStyle w:val="Hyperlink"/>
          <w:color w:val="auto"/>
          <w:sz w:val="24"/>
          <w:u w:val="none"/>
          <w:lang w:val="hu-HU"/>
        </w:rPr>
        <w:t>control</w:t>
      </w:r>
      <w:proofErr w:type="spellEnd"/>
      <w:r w:rsidRPr="004B4ACF">
        <w:rPr>
          <w:rStyle w:val="Hyperlink"/>
          <w:color w:val="auto"/>
          <w:sz w:val="24"/>
          <w:u w:val="none"/>
          <w:lang w:val="hu-HU"/>
        </w:rPr>
        <w:t xml:space="preserve"> of non-</w:t>
      </w:r>
      <w:proofErr w:type="spellStart"/>
      <w:r w:rsidRPr="004B4ACF">
        <w:rPr>
          <w:rStyle w:val="Hyperlink"/>
          <w:color w:val="auto"/>
          <w:sz w:val="24"/>
          <w:u w:val="none"/>
          <w:lang w:val="hu-HU"/>
        </w:rPr>
        <w:t>governmental</w:t>
      </w:r>
      <w:proofErr w:type="spellEnd"/>
      <w:r w:rsidRPr="004B4ACF">
        <w:rPr>
          <w:rStyle w:val="Hyperlink"/>
          <w:color w:val="auto"/>
          <w:sz w:val="24"/>
          <w:u w:val="none"/>
          <w:lang w:val="hu-HU"/>
        </w:rPr>
        <w:t xml:space="preserve"> </w:t>
      </w:r>
      <w:proofErr w:type="spellStart"/>
      <w:r w:rsidRPr="004B4ACF">
        <w:rPr>
          <w:rStyle w:val="Hyperlink"/>
          <w:color w:val="auto"/>
          <w:sz w:val="24"/>
          <w:u w:val="none"/>
          <w:lang w:val="hu-HU"/>
        </w:rPr>
        <w:t>organisations</w:t>
      </w:r>
      <w:proofErr w:type="spellEnd"/>
      <w:r w:rsidRPr="004B4ACF">
        <w:rPr>
          <w:rStyle w:val="Hyperlink"/>
          <w:color w:val="auto"/>
          <w:sz w:val="24"/>
          <w:u w:val="none"/>
          <w:lang w:val="hu-HU"/>
        </w:rPr>
        <w:t xml:space="preserve"> </w:t>
      </w:r>
      <w:proofErr w:type="spellStart"/>
      <w:r w:rsidRPr="004B4ACF">
        <w:rPr>
          <w:rStyle w:val="Hyperlink"/>
          <w:color w:val="auto"/>
          <w:sz w:val="24"/>
          <w:u w:val="none"/>
          <w:lang w:val="hu-HU"/>
        </w:rPr>
        <w:t>funded</w:t>
      </w:r>
      <w:proofErr w:type="spellEnd"/>
      <w:r w:rsidRPr="004B4ACF">
        <w:rPr>
          <w:rStyle w:val="Hyperlink"/>
          <w:color w:val="auto"/>
          <w:sz w:val="24"/>
          <w:u w:val="none"/>
          <w:lang w:val="hu-HU"/>
        </w:rPr>
        <w:t xml:space="preserve"> </w:t>
      </w:r>
      <w:proofErr w:type="spellStart"/>
      <w:r w:rsidRPr="004B4ACF">
        <w:rPr>
          <w:rStyle w:val="Hyperlink"/>
          <w:color w:val="auto"/>
          <w:sz w:val="24"/>
          <w:u w:val="none"/>
          <w:lang w:val="hu-HU"/>
        </w:rPr>
        <w:t>by</w:t>
      </w:r>
      <w:proofErr w:type="spellEnd"/>
      <w:r w:rsidRPr="004B4ACF">
        <w:rPr>
          <w:rStyle w:val="Hyperlink"/>
          <w:color w:val="auto"/>
          <w:sz w:val="24"/>
          <w:u w:val="none"/>
          <w:lang w:val="hu-HU"/>
        </w:rPr>
        <w:t xml:space="preserve"> the EU </w:t>
      </w:r>
      <w:proofErr w:type="spellStart"/>
      <w:r w:rsidRPr="004B4ACF">
        <w:rPr>
          <w:rStyle w:val="Hyperlink"/>
          <w:color w:val="auto"/>
          <w:sz w:val="24"/>
          <w:u w:val="none"/>
          <w:lang w:val="hu-HU"/>
        </w:rPr>
        <w:t>budget</w:t>
      </w:r>
      <w:proofErr w:type="spellEnd"/>
      <w:r w:rsidR="000A3B0B">
        <w:rPr>
          <w:rStyle w:val="Hyperlink"/>
          <w:color w:val="auto"/>
          <w:sz w:val="24"/>
          <w:u w:val="none"/>
          <w:lang w:val="hu-HU"/>
        </w:rPr>
        <w:fldChar w:fldCharType="end"/>
      </w:r>
      <w:r w:rsidRPr="00814093">
        <w:rPr>
          <w:sz w:val="24"/>
          <w:lang w:val="hu-HU"/>
        </w:rPr>
        <w:t>”, Európai Parlament, Uniós Belső Politikák Főigazgatósága, D. Politikai Főosztály – Költségvetési ügyek, 2017. január 24.</w:t>
      </w:r>
    </w:p>
  </w:footnote>
  <w:footnote w:id="6">
    <w:p w:rsidR="004E3A5F" w:rsidRPr="003510C2" w:rsidRDefault="004E3A5F" w:rsidP="003510C2">
      <w:pPr>
        <w:pStyle w:val="FootnoteText"/>
        <w:ind w:left="567" w:hanging="567"/>
        <w:rPr>
          <w:sz w:val="24"/>
          <w:lang w:val="hu-HU"/>
        </w:rPr>
      </w:pPr>
      <w:r w:rsidRPr="00814093">
        <w:rPr>
          <w:rStyle w:val="FootnoteReference"/>
          <w:sz w:val="24"/>
          <w:lang w:val="hu-HU"/>
        </w:rPr>
        <w:footnoteRef/>
      </w:r>
      <w:r w:rsidR="003510C2" w:rsidRPr="00814093">
        <w:rPr>
          <w:sz w:val="24"/>
          <w:lang w:val="hu-HU"/>
        </w:rPr>
        <w:t xml:space="preserve"> </w:t>
      </w:r>
      <w:r w:rsidR="003510C2" w:rsidRPr="00814093">
        <w:rPr>
          <w:sz w:val="24"/>
          <w:lang w:val="hu-HU"/>
        </w:rPr>
        <w:tab/>
      </w:r>
      <w:r w:rsidRPr="00814093">
        <w:rPr>
          <w:sz w:val="24"/>
          <w:lang w:val="hu-HU"/>
        </w:rPr>
        <w:t>Tanulmány – „</w:t>
      </w:r>
      <w:proofErr w:type="spellStart"/>
      <w:r w:rsidR="000A3B0B">
        <w:fldChar w:fldCharType="begin"/>
      </w:r>
      <w:r w:rsidR="000A3B0B" w:rsidRPr="000A3B0B">
        <w:rPr>
          <w:lang w:val="hu-HU"/>
        </w:rPr>
        <w:instrText xml:space="preserve"> HYPERLINK "https://op.europa.eu/en/publication-detail/-/publication/8131cd3b-6e44-11ee-9220-01aa75ed71a1/language-en/format-PDF/source-search" </w:instrText>
      </w:r>
      <w:r w:rsidR="000A3B0B">
        <w:fldChar w:fldCharType="separate"/>
      </w:r>
      <w:r w:rsidRPr="004B4ACF">
        <w:rPr>
          <w:rStyle w:val="Hyperlink"/>
          <w:color w:val="auto"/>
          <w:sz w:val="24"/>
          <w:u w:val="none"/>
          <w:lang w:val="hu-HU"/>
        </w:rPr>
        <w:t>Transparency</w:t>
      </w:r>
      <w:proofErr w:type="spellEnd"/>
      <w:r w:rsidRPr="004B4ACF">
        <w:rPr>
          <w:rStyle w:val="Hyperlink"/>
          <w:color w:val="auto"/>
          <w:sz w:val="24"/>
          <w:u w:val="none"/>
          <w:lang w:val="hu-HU"/>
        </w:rPr>
        <w:t xml:space="preserve"> and </w:t>
      </w:r>
      <w:proofErr w:type="spellStart"/>
      <w:r w:rsidRPr="004B4ACF">
        <w:rPr>
          <w:rStyle w:val="Hyperlink"/>
          <w:color w:val="auto"/>
          <w:sz w:val="24"/>
          <w:u w:val="none"/>
          <w:lang w:val="hu-HU"/>
        </w:rPr>
        <w:t>accountability</w:t>
      </w:r>
      <w:proofErr w:type="spellEnd"/>
      <w:r w:rsidRPr="004B4ACF">
        <w:rPr>
          <w:rStyle w:val="Hyperlink"/>
          <w:color w:val="auto"/>
          <w:sz w:val="24"/>
          <w:u w:val="none"/>
          <w:lang w:val="hu-HU"/>
        </w:rPr>
        <w:t xml:space="preserve"> of EU </w:t>
      </w:r>
      <w:proofErr w:type="spellStart"/>
      <w:r w:rsidRPr="004B4ACF">
        <w:rPr>
          <w:rStyle w:val="Hyperlink"/>
          <w:color w:val="auto"/>
          <w:sz w:val="24"/>
          <w:u w:val="none"/>
          <w:lang w:val="hu-HU"/>
        </w:rPr>
        <w:t>funding</w:t>
      </w:r>
      <w:proofErr w:type="spellEnd"/>
      <w:r w:rsidRPr="004B4ACF">
        <w:rPr>
          <w:rStyle w:val="Hyperlink"/>
          <w:color w:val="auto"/>
          <w:sz w:val="24"/>
          <w:u w:val="none"/>
          <w:lang w:val="hu-HU"/>
        </w:rPr>
        <w:t xml:space="preserve"> </w:t>
      </w:r>
      <w:proofErr w:type="spellStart"/>
      <w:r w:rsidRPr="004B4ACF">
        <w:rPr>
          <w:rStyle w:val="Hyperlink"/>
          <w:color w:val="auto"/>
          <w:sz w:val="24"/>
          <w:u w:val="none"/>
          <w:lang w:val="hu-HU"/>
        </w:rPr>
        <w:t>for</w:t>
      </w:r>
      <w:proofErr w:type="spellEnd"/>
      <w:r w:rsidRPr="004B4ACF">
        <w:rPr>
          <w:rStyle w:val="Hyperlink"/>
          <w:color w:val="auto"/>
          <w:sz w:val="24"/>
          <w:u w:val="none"/>
          <w:lang w:val="hu-HU"/>
        </w:rPr>
        <w:t xml:space="preserve"> </w:t>
      </w:r>
      <w:proofErr w:type="spellStart"/>
      <w:r w:rsidRPr="004B4ACF">
        <w:rPr>
          <w:rStyle w:val="Hyperlink"/>
          <w:color w:val="auto"/>
          <w:sz w:val="24"/>
          <w:u w:val="none"/>
          <w:lang w:val="hu-HU"/>
        </w:rPr>
        <w:t>NGOs</w:t>
      </w:r>
      <w:proofErr w:type="spellEnd"/>
      <w:r w:rsidRPr="004B4ACF">
        <w:rPr>
          <w:rStyle w:val="Hyperlink"/>
          <w:color w:val="auto"/>
          <w:sz w:val="24"/>
          <w:u w:val="none"/>
          <w:lang w:val="hu-HU"/>
        </w:rPr>
        <w:t xml:space="preserve"> </w:t>
      </w:r>
      <w:proofErr w:type="spellStart"/>
      <w:r w:rsidRPr="004B4ACF">
        <w:rPr>
          <w:rStyle w:val="Hyperlink"/>
          <w:color w:val="auto"/>
          <w:sz w:val="24"/>
          <w:u w:val="none"/>
          <w:lang w:val="hu-HU"/>
        </w:rPr>
        <w:t>active</w:t>
      </w:r>
      <w:proofErr w:type="spellEnd"/>
      <w:r w:rsidRPr="004B4ACF">
        <w:rPr>
          <w:rStyle w:val="Hyperlink"/>
          <w:color w:val="auto"/>
          <w:sz w:val="24"/>
          <w:u w:val="none"/>
          <w:lang w:val="hu-HU"/>
        </w:rPr>
        <w:t xml:space="preserve"> in EU policy </w:t>
      </w:r>
      <w:proofErr w:type="spellStart"/>
      <w:r w:rsidRPr="004B4ACF">
        <w:rPr>
          <w:rStyle w:val="Hyperlink"/>
          <w:color w:val="auto"/>
          <w:sz w:val="24"/>
          <w:u w:val="none"/>
          <w:lang w:val="hu-HU"/>
        </w:rPr>
        <w:t>areas</w:t>
      </w:r>
      <w:proofErr w:type="spellEnd"/>
      <w:r w:rsidRPr="004B4ACF">
        <w:rPr>
          <w:rStyle w:val="Hyperlink"/>
          <w:color w:val="auto"/>
          <w:sz w:val="24"/>
          <w:u w:val="none"/>
          <w:lang w:val="hu-HU"/>
        </w:rPr>
        <w:t xml:space="preserve"> </w:t>
      </w:r>
      <w:proofErr w:type="spellStart"/>
      <w:r w:rsidRPr="004B4ACF">
        <w:rPr>
          <w:rStyle w:val="Hyperlink"/>
          <w:color w:val="auto"/>
          <w:sz w:val="24"/>
          <w:u w:val="none"/>
          <w:lang w:val="hu-HU"/>
        </w:rPr>
        <w:t>within</w:t>
      </w:r>
      <w:proofErr w:type="spellEnd"/>
      <w:r w:rsidRPr="004B4ACF">
        <w:rPr>
          <w:rStyle w:val="Hyperlink"/>
          <w:color w:val="auto"/>
          <w:sz w:val="24"/>
          <w:u w:val="none"/>
          <w:lang w:val="hu-HU"/>
        </w:rPr>
        <w:t xml:space="preserve"> EU </w:t>
      </w:r>
      <w:proofErr w:type="spellStart"/>
      <w:r w:rsidRPr="004B4ACF">
        <w:rPr>
          <w:rStyle w:val="Hyperlink"/>
          <w:color w:val="auto"/>
          <w:sz w:val="24"/>
          <w:u w:val="none"/>
          <w:lang w:val="hu-HU"/>
        </w:rPr>
        <w:t>territory</w:t>
      </w:r>
      <w:proofErr w:type="spellEnd"/>
      <w:r w:rsidR="000A3B0B">
        <w:rPr>
          <w:rStyle w:val="Hyperlink"/>
          <w:color w:val="auto"/>
          <w:sz w:val="24"/>
          <w:u w:val="none"/>
          <w:lang w:val="hu-HU"/>
        </w:rPr>
        <w:fldChar w:fldCharType="end"/>
      </w:r>
      <w:r w:rsidRPr="00814093">
        <w:rPr>
          <w:sz w:val="24"/>
          <w:lang w:val="hu-HU"/>
        </w:rPr>
        <w:t>”, Európai Parlament, Uniós Belső Politikák Főigazgatósága, D. Politikai Főosztály – Költségvet</w:t>
      </w:r>
      <w:r w:rsidRPr="003510C2">
        <w:rPr>
          <w:sz w:val="24"/>
          <w:lang w:val="hu-HU"/>
        </w:rPr>
        <w:t>ési ügyek, 2023. szeptember 28.</w:t>
      </w:r>
    </w:p>
  </w:footnote>
  <w:footnote w:id="7">
    <w:p w:rsidR="004E3A5F" w:rsidRPr="004B4ACF" w:rsidRDefault="004E3A5F" w:rsidP="003510C2">
      <w:pPr>
        <w:pStyle w:val="FootnoteText"/>
        <w:ind w:left="567" w:hanging="567"/>
        <w:rPr>
          <w:sz w:val="24"/>
          <w:u w:color="0000FF"/>
          <w:lang w:val="hu-HU"/>
        </w:rPr>
      </w:pPr>
      <w:r w:rsidRPr="003510C2">
        <w:rPr>
          <w:rStyle w:val="FootnoteReference"/>
          <w:sz w:val="24"/>
          <w:lang w:val="hu-HU"/>
        </w:rPr>
        <w:footnoteRef/>
      </w:r>
      <w:r w:rsidR="003510C2" w:rsidRPr="003510C2">
        <w:rPr>
          <w:sz w:val="24"/>
          <w:lang w:val="hu-HU"/>
        </w:rPr>
        <w:t xml:space="preserve"> </w:t>
      </w:r>
      <w:r w:rsidR="003510C2" w:rsidRPr="003510C2">
        <w:rPr>
          <w:sz w:val="24"/>
          <w:lang w:val="hu-HU"/>
        </w:rPr>
        <w:tab/>
      </w:r>
      <w:hyperlink r:id="rId5" w:history="1">
        <w:r w:rsidRPr="004B4ACF">
          <w:rPr>
            <w:rStyle w:val="Hyperlink"/>
            <w:color w:val="auto"/>
            <w:sz w:val="24"/>
            <w:u w:val="none"/>
            <w:lang w:val="hu-HU"/>
          </w:rPr>
          <w:t>HL C 342., 2022.9.6</w:t>
        </w:r>
        <w:proofErr w:type="gramStart"/>
        <w:r w:rsidRPr="004B4ACF">
          <w:rPr>
            <w:rStyle w:val="Hyperlink"/>
            <w:color w:val="auto"/>
            <w:sz w:val="24"/>
            <w:u w:val="none"/>
            <w:lang w:val="hu-HU"/>
          </w:rPr>
          <w:t>.,</w:t>
        </w:r>
        <w:proofErr w:type="gramEnd"/>
        <w:r w:rsidRPr="004B4ACF">
          <w:rPr>
            <w:rStyle w:val="Hyperlink"/>
            <w:color w:val="auto"/>
            <w:sz w:val="24"/>
            <w:u w:val="none"/>
            <w:lang w:val="hu-HU"/>
          </w:rPr>
          <w:t xml:space="preserve"> 225. o.</w:t>
        </w:r>
      </w:hyperlink>
    </w:p>
  </w:footnote>
  <w:footnote w:id="8">
    <w:p w:rsidR="004E3A5F" w:rsidRPr="00814093" w:rsidRDefault="004E3A5F" w:rsidP="003510C2">
      <w:pPr>
        <w:pStyle w:val="FootnoteText"/>
        <w:ind w:left="567" w:hanging="567"/>
        <w:rPr>
          <w:sz w:val="24"/>
          <w:lang w:val="hu-HU"/>
        </w:rPr>
      </w:pPr>
      <w:r w:rsidRPr="00814093">
        <w:rPr>
          <w:rStyle w:val="FootnoteReference"/>
          <w:sz w:val="24"/>
          <w:lang w:val="hu-HU"/>
        </w:rPr>
        <w:footnoteRef/>
      </w:r>
      <w:r w:rsidR="003510C2" w:rsidRPr="00814093">
        <w:rPr>
          <w:sz w:val="24"/>
          <w:lang w:val="hu-HU"/>
        </w:rPr>
        <w:t xml:space="preserve"> </w:t>
      </w:r>
      <w:r w:rsidR="003510C2" w:rsidRPr="00814093">
        <w:rPr>
          <w:sz w:val="24"/>
          <w:lang w:val="hu-HU"/>
        </w:rPr>
        <w:tab/>
      </w:r>
      <w:r w:rsidRPr="00814093">
        <w:rPr>
          <w:sz w:val="24"/>
          <w:lang w:val="hu-HU"/>
        </w:rPr>
        <w:t xml:space="preserve">Elfogadott szövegek, </w:t>
      </w:r>
      <w:hyperlink r:id="rId6" w:history="1">
        <w:r w:rsidRPr="004B4ACF">
          <w:rPr>
            <w:rStyle w:val="Hyperlink"/>
            <w:color w:val="auto"/>
            <w:sz w:val="24"/>
            <w:u w:val="none"/>
            <w:lang w:val="hu-HU"/>
          </w:rPr>
          <w:t>P9_</w:t>
        </w:r>
        <w:proofErr w:type="gramStart"/>
        <w:r w:rsidRPr="004B4ACF">
          <w:rPr>
            <w:rStyle w:val="Hyperlink"/>
            <w:color w:val="auto"/>
            <w:sz w:val="24"/>
            <w:u w:val="none"/>
            <w:lang w:val="hu-HU"/>
          </w:rPr>
          <w:t>TA(</w:t>
        </w:r>
        <w:proofErr w:type="gramEnd"/>
        <w:r w:rsidRPr="004B4ACF">
          <w:rPr>
            <w:rStyle w:val="Hyperlink"/>
            <w:color w:val="auto"/>
            <w:sz w:val="24"/>
            <w:u w:val="none"/>
            <w:lang w:val="hu-HU"/>
          </w:rPr>
          <w:t>2023)0137</w:t>
        </w:r>
      </w:hyperlink>
      <w:r w:rsidRPr="00814093">
        <w:rPr>
          <w:sz w:val="24"/>
          <w:lang w:val="hu-HU"/>
        </w:rPr>
        <w:t>.</w:t>
      </w:r>
    </w:p>
  </w:footnote>
  <w:footnote w:id="9">
    <w:p w:rsidR="004E3A5F" w:rsidRPr="00814093" w:rsidRDefault="004E3A5F" w:rsidP="003510C2">
      <w:pPr>
        <w:pStyle w:val="FootnoteText"/>
        <w:ind w:left="567" w:hanging="567"/>
        <w:rPr>
          <w:sz w:val="24"/>
          <w:lang w:val="hu-HU"/>
        </w:rPr>
      </w:pPr>
      <w:r w:rsidRPr="00814093">
        <w:rPr>
          <w:rStyle w:val="FootnoteReference"/>
          <w:sz w:val="24"/>
          <w:lang w:val="hu-HU"/>
        </w:rPr>
        <w:footnoteRef/>
      </w:r>
      <w:r w:rsidR="003510C2" w:rsidRPr="00814093">
        <w:rPr>
          <w:sz w:val="24"/>
          <w:lang w:val="hu-HU"/>
        </w:rPr>
        <w:t xml:space="preserve"> </w:t>
      </w:r>
      <w:r w:rsidR="003510C2" w:rsidRPr="00814093">
        <w:rPr>
          <w:sz w:val="24"/>
          <w:lang w:val="hu-HU"/>
        </w:rPr>
        <w:tab/>
      </w:r>
      <w:r w:rsidRPr="00814093">
        <w:rPr>
          <w:sz w:val="24"/>
          <w:lang w:val="hu-HU"/>
        </w:rPr>
        <w:t xml:space="preserve">Elfogadott szövegek, </w:t>
      </w:r>
      <w:hyperlink r:id="rId7" w:history="1">
        <w:r w:rsidRPr="004B4ACF">
          <w:rPr>
            <w:rStyle w:val="Hyperlink"/>
            <w:color w:val="auto"/>
            <w:sz w:val="24"/>
            <w:u w:val="none"/>
            <w:lang w:val="hu-HU"/>
          </w:rPr>
          <w:t>P9_</w:t>
        </w:r>
        <w:proofErr w:type="gramStart"/>
        <w:r w:rsidRPr="004B4ACF">
          <w:rPr>
            <w:rStyle w:val="Hyperlink"/>
            <w:color w:val="auto"/>
            <w:sz w:val="24"/>
            <w:u w:val="none"/>
            <w:lang w:val="hu-HU"/>
          </w:rPr>
          <w:t>TA(</w:t>
        </w:r>
        <w:proofErr w:type="gramEnd"/>
        <w:r w:rsidRPr="004B4ACF">
          <w:rPr>
            <w:rStyle w:val="Hyperlink"/>
            <w:color w:val="auto"/>
            <w:sz w:val="24"/>
            <w:u w:val="none"/>
            <w:lang w:val="hu-HU"/>
          </w:rPr>
          <w:t>2023)0138</w:t>
        </w:r>
      </w:hyperlink>
      <w:r w:rsidRPr="00814093">
        <w:rPr>
          <w:sz w:val="24"/>
          <w:lang w:val="hu-HU"/>
        </w:rPr>
        <w:t>.</w:t>
      </w:r>
    </w:p>
  </w:footnote>
  <w:footnote w:id="10">
    <w:p w:rsidR="004E3A5F" w:rsidRPr="00814093" w:rsidRDefault="004E3A5F" w:rsidP="003510C2">
      <w:pPr>
        <w:pStyle w:val="FootnoteText"/>
        <w:ind w:left="567" w:hanging="567"/>
        <w:rPr>
          <w:sz w:val="24"/>
          <w:lang w:val="hu-HU"/>
        </w:rPr>
      </w:pPr>
      <w:r w:rsidRPr="00814093">
        <w:rPr>
          <w:rStyle w:val="FootnoteReference"/>
          <w:sz w:val="24"/>
          <w:lang w:val="hu-HU"/>
        </w:rPr>
        <w:footnoteRef/>
      </w:r>
      <w:r w:rsidR="003510C2" w:rsidRPr="00814093">
        <w:rPr>
          <w:sz w:val="24"/>
          <w:lang w:val="hu-HU"/>
        </w:rPr>
        <w:t xml:space="preserve"> </w:t>
      </w:r>
      <w:r w:rsidR="003510C2" w:rsidRPr="00814093">
        <w:rPr>
          <w:sz w:val="24"/>
          <w:lang w:val="hu-HU"/>
        </w:rPr>
        <w:tab/>
      </w:r>
      <w:r w:rsidRPr="00814093">
        <w:rPr>
          <w:sz w:val="24"/>
          <w:lang w:val="hu-HU"/>
        </w:rPr>
        <w:t xml:space="preserve">Elfogadott szövegek, </w:t>
      </w:r>
      <w:hyperlink r:id="rId8" w:history="1">
        <w:r w:rsidRPr="004B4ACF">
          <w:rPr>
            <w:rStyle w:val="Hyperlink"/>
            <w:color w:val="auto"/>
            <w:sz w:val="24"/>
            <w:u w:val="none"/>
            <w:lang w:val="hu-HU"/>
          </w:rPr>
          <w:t>P9_</w:t>
        </w:r>
        <w:proofErr w:type="gramStart"/>
        <w:r w:rsidRPr="004B4ACF">
          <w:rPr>
            <w:rStyle w:val="Hyperlink"/>
            <w:color w:val="auto"/>
            <w:sz w:val="24"/>
            <w:u w:val="none"/>
            <w:lang w:val="hu-HU"/>
          </w:rPr>
          <w:t>TA(</w:t>
        </w:r>
        <w:proofErr w:type="gramEnd"/>
        <w:r w:rsidRPr="004B4ACF">
          <w:rPr>
            <w:rStyle w:val="Hyperlink"/>
            <w:color w:val="auto"/>
            <w:sz w:val="24"/>
            <w:u w:val="none"/>
            <w:lang w:val="hu-HU"/>
          </w:rPr>
          <w:t>2023)0292</w:t>
        </w:r>
      </w:hyperlink>
      <w:r w:rsidRPr="00814093">
        <w:rPr>
          <w:sz w:val="24"/>
          <w:lang w:val="hu-HU"/>
        </w:rPr>
        <w:t>.</w:t>
      </w:r>
    </w:p>
  </w:footnote>
  <w:footnote w:id="11">
    <w:p w:rsidR="004E3A5F" w:rsidRPr="003510C2" w:rsidRDefault="004E3A5F" w:rsidP="003510C2">
      <w:pPr>
        <w:pStyle w:val="FootnoteText"/>
        <w:ind w:left="567" w:hanging="567"/>
        <w:rPr>
          <w:sz w:val="24"/>
          <w:lang w:val="hu-HU"/>
        </w:rPr>
      </w:pPr>
      <w:r w:rsidRPr="00814093">
        <w:rPr>
          <w:rStyle w:val="FootnoteReference"/>
          <w:sz w:val="24"/>
          <w:lang w:val="hu-HU"/>
        </w:rPr>
        <w:footnoteRef/>
      </w:r>
      <w:r w:rsidR="003510C2" w:rsidRPr="00814093">
        <w:rPr>
          <w:sz w:val="24"/>
          <w:lang w:val="hu-HU"/>
        </w:rPr>
        <w:t xml:space="preserve"> </w:t>
      </w:r>
      <w:r w:rsidR="003510C2" w:rsidRPr="00814093">
        <w:rPr>
          <w:sz w:val="24"/>
          <w:lang w:val="hu-HU"/>
        </w:rPr>
        <w:tab/>
      </w:r>
      <w:r w:rsidRPr="00814093">
        <w:rPr>
          <w:sz w:val="24"/>
          <w:lang w:val="hu-HU"/>
        </w:rPr>
        <w:t>Európai Parlament „</w:t>
      </w:r>
      <w:hyperlink r:id="rId9" w:history="1">
        <w:r w:rsidRPr="004B4ACF">
          <w:rPr>
            <w:rStyle w:val="Hyperlink"/>
            <w:color w:val="auto"/>
            <w:sz w:val="24"/>
            <w:u w:val="none"/>
            <w:lang w:val="hu-HU"/>
          </w:rPr>
          <w:t xml:space="preserve">2021. évi </w:t>
        </w:r>
        <w:proofErr w:type="gramStart"/>
        <w:r w:rsidRPr="004B4ACF">
          <w:rPr>
            <w:rStyle w:val="Hyperlink"/>
            <w:color w:val="auto"/>
            <w:sz w:val="24"/>
            <w:u w:val="none"/>
            <w:lang w:val="hu-HU"/>
          </w:rPr>
          <w:t>mentesítés</w:t>
        </w:r>
        <w:proofErr w:type="gramEnd"/>
        <w:r w:rsidRPr="004B4ACF">
          <w:rPr>
            <w:rStyle w:val="Hyperlink"/>
            <w:color w:val="auto"/>
            <w:sz w:val="24"/>
            <w:u w:val="none"/>
            <w:lang w:val="hu-HU"/>
          </w:rPr>
          <w:t>: Az EU általános költségvetése – Európai Bizottság és végrehajtó ügynökségek</w:t>
        </w:r>
      </w:hyperlink>
      <w:r w:rsidRPr="00814093">
        <w:rPr>
          <w:sz w:val="24"/>
          <w:lang w:val="hu-HU"/>
        </w:rPr>
        <w:t>”, 202</w:t>
      </w:r>
      <w:r w:rsidRPr="003510C2">
        <w:rPr>
          <w:sz w:val="24"/>
          <w:lang w:val="hu-HU"/>
        </w:rPr>
        <w:t>3. május 10.</w:t>
      </w:r>
    </w:p>
  </w:footnote>
  <w:footnote w:id="12">
    <w:p w:rsidR="004E3A5F" w:rsidRPr="003510C2" w:rsidRDefault="004E3A5F" w:rsidP="003510C2">
      <w:pPr>
        <w:pStyle w:val="FootnoteText"/>
        <w:ind w:left="567" w:hanging="567"/>
        <w:rPr>
          <w:sz w:val="24"/>
          <w:lang w:val="hu-HU"/>
        </w:rPr>
      </w:pPr>
      <w:r w:rsidRPr="003510C2">
        <w:rPr>
          <w:rStyle w:val="FootnoteReference"/>
          <w:sz w:val="24"/>
          <w:lang w:val="hu-HU"/>
        </w:rPr>
        <w:footnoteRef/>
      </w:r>
      <w:r w:rsidR="003510C2" w:rsidRPr="003510C2">
        <w:rPr>
          <w:sz w:val="24"/>
          <w:lang w:val="hu-HU"/>
        </w:rPr>
        <w:t xml:space="preserve"> </w:t>
      </w:r>
      <w:r w:rsidR="003510C2" w:rsidRPr="003510C2">
        <w:rPr>
          <w:sz w:val="24"/>
          <w:lang w:val="hu-HU"/>
        </w:rPr>
        <w:tab/>
      </w:r>
      <w:r w:rsidRPr="003510C2">
        <w:rPr>
          <w:sz w:val="24"/>
          <w:lang w:val="hu-HU"/>
        </w:rPr>
        <w:t xml:space="preserve">A Bizottság és az Unió külügyi és biztonságpolitikai </w:t>
      </w:r>
      <w:proofErr w:type="spellStart"/>
      <w:r w:rsidRPr="003510C2">
        <w:rPr>
          <w:sz w:val="24"/>
          <w:lang w:val="hu-HU"/>
        </w:rPr>
        <w:t>főképviselője</w:t>
      </w:r>
      <w:proofErr w:type="spellEnd"/>
      <w:r w:rsidRPr="003510C2">
        <w:rPr>
          <w:sz w:val="24"/>
          <w:lang w:val="hu-HU"/>
        </w:rPr>
        <w:t xml:space="preserve"> „Az emberi jogokra és a demokráciára vonatkozó uniós cselekvési terv 2020–2024” című, 2020. március</w:t>
      </w:r>
      <w:r w:rsidR="00D02406">
        <w:rPr>
          <w:sz w:val="24"/>
          <w:lang w:val="hu-HU"/>
        </w:rPr>
        <w:t xml:space="preserve"> 25-i közös közleménye (JOIN(2020</w:t>
      </w:r>
      <w:r w:rsidRPr="003510C2">
        <w:rPr>
          <w:sz w:val="24"/>
          <w:lang w:val="hu-HU"/>
        </w:rPr>
        <w:t>)0005).</w:t>
      </w:r>
    </w:p>
  </w:footnote>
  <w:footnote w:id="13">
    <w:p w:rsidR="004E3A5F" w:rsidRPr="003510C2" w:rsidRDefault="004E3A5F" w:rsidP="003510C2">
      <w:pPr>
        <w:pStyle w:val="FootnoteText"/>
        <w:ind w:left="567" w:hanging="567"/>
        <w:rPr>
          <w:sz w:val="24"/>
          <w:lang w:val="hu-HU"/>
        </w:rPr>
      </w:pPr>
      <w:r w:rsidRPr="003510C2">
        <w:rPr>
          <w:rStyle w:val="FootnoteReference"/>
          <w:sz w:val="24"/>
          <w:lang w:val="hu-HU"/>
        </w:rPr>
        <w:footnoteRef/>
      </w:r>
      <w:r w:rsidR="003510C2" w:rsidRPr="003510C2">
        <w:rPr>
          <w:sz w:val="24"/>
          <w:lang w:val="hu-HU"/>
        </w:rPr>
        <w:t xml:space="preserve"> </w:t>
      </w:r>
      <w:r w:rsidR="003510C2" w:rsidRPr="003510C2">
        <w:rPr>
          <w:sz w:val="24"/>
          <w:lang w:val="hu-HU"/>
        </w:rPr>
        <w:tab/>
      </w:r>
      <w:r w:rsidRPr="003510C2">
        <w:rPr>
          <w:sz w:val="24"/>
          <w:lang w:val="hu-HU"/>
        </w:rPr>
        <w:t>Forrás: az EU Átláthatósági Nyilvántartása, a 2023. szeptember 22-én megtekintett adatok.</w:t>
      </w:r>
    </w:p>
  </w:footnote>
  <w:footnote w:id="14">
    <w:p w:rsidR="004E3A5F" w:rsidRPr="003510C2" w:rsidRDefault="004E3A5F" w:rsidP="003510C2">
      <w:pPr>
        <w:pStyle w:val="FootnoteText"/>
        <w:ind w:left="567" w:hanging="567"/>
        <w:rPr>
          <w:sz w:val="24"/>
          <w:lang w:val="hu-HU"/>
        </w:rPr>
      </w:pPr>
      <w:r w:rsidRPr="003510C2">
        <w:rPr>
          <w:rStyle w:val="FootnoteReference"/>
          <w:sz w:val="24"/>
          <w:lang w:val="hu-HU"/>
        </w:rPr>
        <w:footnoteRef/>
      </w:r>
      <w:r w:rsidR="003510C2" w:rsidRPr="003510C2">
        <w:rPr>
          <w:sz w:val="24"/>
          <w:lang w:val="hu-HU"/>
        </w:rPr>
        <w:t xml:space="preserve"> </w:t>
      </w:r>
      <w:r w:rsidR="003510C2" w:rsidRPr="003510C2">
        <w:rPr>
          <w:sz w:val="24"/>
          <w:lang w:val="hu-HU"/>
        </w:rPr>
        <w:tab/>
      </w:r>
      <w:r w:rsidRPr="003510C2">
        <w:rPr>
          <w:sz w:val="24"/>
          <w:lang w:val="hu-HU"/>
        </w:rPr>
        <w:t>Európai Parlament „</w:t>
      </w:r>
      <w:hyperlink r:id="rId10" w:history="1">
        <w:r w:rsidRPr="004B4ACF">
          <w:rPr>
            <w:rStyle w:val="Hyperlink"/>
            <w:color w:val="auto"/>
            <w:sz w:val="24"/>
            <w:u w:val="none"/>
            <w:lang w:val="hu-HU"/>
          </w:rPr>
          <w:t xml:space="preserve">2021. évi </w:t>
        </w:r>
        <w:proofErr w:type="gramStart"/>
        <w:r w:rsidRPr="004B4ACF">
          <w:rPr>
            <w:rStyle w:val="Hyperlink"/>
            <w:color w:val="auto"/>
            <w:sz w:val="24"/>
            <w:u w:val="none"/>
            <w:lang w:val="hu-HU"/>
          </w:rPr>
          <w:t>mentesítés</w:t>
        </w:r>
        <w:proofErr w:type="gramEnd"/>
        <w:r w:rsidRPr="004B4ACF">
          <w:rPr>
            <w:rStyle w:val="Hyperlink"/>
            <w:color w:val="auto"/>
            <w:sz w:val="24"/>
            <w:u w:val="none"/>
            <w:lang w:val="hu-HU"/>
          </w:rPr>
          <w:t>: Az EU általános költségvetése – Európai Bizottság és végrehajtó ügynökségek</w:t>
        </w:r>
      </w:hyperlink>
      <w:r w:rsidRPr="00814093">
        <w:rPr>
          <w:sz w:val="24"/>
          <w:lang w:val="hu-HU"/>
        </w:rPr>
        <w:t xml:space="preserve">”, </w:t>
      </w:r>
      <w:r w:rsidRPr="003510C2">
        <w:rPr>
          <w:sz w:val="24"/>
          <w:lang w:val="hu-HU"/>
        </w:rPr>
        <w:t>2023. május 10.</w:t>
      </w:r>
    </w:p>
  </w:footnote>
  <w:footnote w:id="15">
    <w:p w:rsidR="004E3A5F" w:rsidRPr="003510C2" w:rsidRDefault="004E3A5F" w:rsidP="003510C2">
      <w:pPr>
        <w:pStyle w:val="FootnoteText"/>
        <w:ind w:left="567" w:hanging="567"/>
        <w:rPr>
          <w:sz w:val="24"/>
          <w:lang w:val="hu-HU"/>
        </w:rPr>
      </w:pPr>
      <w:r w:rsidRPr="003510C2">
        <w:rPr>
          <w:rStyle w:val="FootnoteReference"/>
          <w:sz w:val="24"/>
          <w:lang w:val="hu-HU"/>
        </w:rPr>
        <w:footnoteRef/>
      </w:r>
      <w:r w:rsidR="003510C2" w:rsidRPr="003510C2">
        <w:rPr>
          <w:sz w:val="24"/>
          <w:lang w:val="hu-HU"/>
        </w:rPr>
        <w:t xml:space="preserve"> </w:t>
      </w:r>
      <w:r w:rsidR="003510C2" w:rsidRPr="003510C2">
        <w:rPr>
          <w:sz w:val="24"/>
          <w:lang w:val="hu-HU"/>
        </w:rPr>
        <w:tab/>
      </w:r>
      <w:r w:rsidRPr="003510C2">
        <w:rPr>
          <w:sz w:val="24"/>
          <w:lang w:val="hu-HU"/>
        </w:rPr>
        <w:t>Az Unió általános költségvetésére alkalmazandó pénzügyi szabályokról szóló európai parlamenti és tanácsi rendeletre irányuló 2022. május 16-i bizottsági javaslat (átdolgozás) 139. cikke (1) bekezdésének i) pontja és 139. cikke (1) bekezdése c) pontjának vi. alpontja (</w:t>
      </w:r>
      <w:proofErr w:type="gramStart"/>
      <w:r w:rsidRPr="003510C2">
        <w:rPr>
          <w:sz w:val="24"/>
          <w:lang w:val="hu-HU"/>
        </w:rPr>
        <w:t>COM(</w:t>
      </w:r>
      <w:proofErr w:type="gramEnd"/>
      <w:r w:rsidRPr="003510C2">
        <w:rPr>
          <w:sz w:val="24"/>
          <w:lang w:val="hu-HU"/>
        </w:rPr>
        <w:t>2022)0223).</w:t>
      </w:r>
    </w:p>
  </w:footnote>
  <w:footnote w:id="16">
    <w:p w:rsidR="004E3A5F" w:rsidRPr="003510C2" w:rsidRDefault="004E3A5F" w:rsidP="003510C2">
      <w:pPr>
        <w:pStyle w:val="FootnoteText"/>
        <w:ind w:left="567" w:hanging="567"/>
        <w:rPr>
          <w:sz w:val="24"/>
          <w:lang w:val="hu-HU"/>
        </w:rPr>
      </w:pPr>
      <w:r w:rsidRPr="003510C2">
        <w:rPr>
          <w:rStyle w:val="FootnoteReference"/>
          <w:sz w:val="24"/>
          <w:lang w:val="hu-HU"/>
        </w:rPr>
        <w:footnoteRef/>
      </w:r>
      <w:r w:rsidR="003510C2" w:rsidRPr="003510C2">
        <w:rPr>
          <w:sz w:val="24"/>
          <w:lang w:val="hu-HU"/>
        </w:rPr>
        <w:t xml:space="preserve"> </w:t>
      </w:r>
      <w:r w:rsidR="003510C2" w:rsidRPr="003510C2">
        <w:rPr>
          <w:sz w:val="24"/>
          <w:lang w:val="hu-HU"/>
        </w:rPr>
        <w:tab/>
      </w:r>
      <w:r w:rsidRPr="003510C2">
        <w:rPr>
          <w:sz w:val="24"/>
          <w:lang w:val="hu-HU"/>
        </w:rPr>
        <w:t>A Bíróság 2020. június 18-i ítélete, Európai Bizottság kontra Magyarország, C-78/18, ECLI</w:t>
      </w:r>
      <w:proofErr w:type="gramStart"/>
      <w:r w:rsidRPr="003510C2">
        <w:rPr>
          <w:sz w:val="24"/>
          <w:lang w:val="hu-HU"/>
        </w:rPr>
        <w:t>:EU</w:t>
      </w:r>
      <w:proofErr w:type="gramEnd"/>
      <w:r w:rsidRPr="003510C2">
        <w:rPr>
          <w:sz w:val="24"/>
          <w:lang w:val="hu-HU"/>
        </w:rPr>
        <w:t>:C:2020:476.</w:t>
      </w:r>
    </w:p>
  </w:footnote>
  <w:footnote w:id="17">
    <w:p w:rsidR="004E3A5F" w:rsidRPr="003510C2" w:rsidRDefault="004E3A5F" w:rsidP="003510C2">
      <w:pPr>
        <w:pStyle w:val="FootnoteText"/>
        <w:ind w:left="567" w:hanging="567"/>
        <w:rPr>
          <w:sz w:val="24"/>
          <w:u w:color="0000FF"/>
          <w:lang w:val="hu-HU"/>
        </w:rPr>
      </w:pPr>
      <w:r w:rsidRPr="003510C2">
        <w:rPr>
          <w:rStyle w:val="FootnoteReference"/>
          <w:sz w:val="24"/>
          <w:lang w:val="hu-HU"/>
        </w:rPr>
        <w:footnoteRef/>
      </w:r>
      <w:r w:rsidR="003510C2" w:rsidRPr="003510C2">
        <w:rPr>
          <w:sz w:val="24"/>
          <w:lang w:val="hu-HU"/>
        </w:rPr>
        <w:t xml:space="preserve"> </w:t>
      </w:r>
      <w:r w:rsidR="003510C2" w:rsidRPr="003510C2">
        <w:rPr>
          <w:sz w:val="24"/>
          <w:lang w:val="hu-HU"/>
        </w:rPr>
        <w:tab/>
      </w:r>
      <w:hyperlink r:id="rId11" w:history="1">
        <w:proofErr w:type="gramStart"/>
        <w:r w:rsidRPr="004B4ACF">
          <w:rPr>
            <w:rStyle w:val="Hyperlink"/>
            <w:color w:val="auto"/>
            <w:sz w:val="24"/>
            <w:u w:val="none"/>
            <w:lang w:val="hu-HU"/>
          </w:rPr>
          <w:t>Az Európai Parlament és a Tanács (EU) 2015/849 irányelve (2015. május 20.) a pénzügyi rendszerek pénzmosás vagy terrorizmusfinanszírozás céljára való felhasználásának megelőzéséről, a 648/2012/EU európai parlamenti és tanácsi rendelet módosításáról, valamint a 2005/60/EK európai parlamenti és tanácsi irányelv és a 2006/70/EK bizottsági irányelv hatályon kívül helyezéséről (HL L 141., 2015.6.5., 73. o.).</w:t>
        </w:r>
        <w:proofErr w:type="gramEnd"/>
      </w:hyperlink>
    </w:p>
  </w:footnote>
  <w:footnote w:id="18">
    <w:p w:rsidR="004E3A5F" w:rsidRPr="003510C2" w:rsidRDefault="004E3A5F" w:rsidP="003510C2">
      <w:pPr>
        <w:pStyle w:val="FootnoteText"/>
        <w:ind w:left="567" w:hanging="567"/>
        <w:rPr>
          <w:sz w:val="24"/>
          <w:lang w:val="hu-HU"/>
        </w:rPr>
      </w:pPr>
      <w:r w:rsidRPr="003510C2">
        <w:rPr>
          <w:rStyle w:val="FootnoteReference"/>
          <w:sz w:val="24"/>
          <w:lang w:val="hu-HU"/>
        </w:rPr>
        <w:footnoteRef/>
      </w:r>
      <w:r w:rsidR="003510C2" w:rsidRPr="003510C2">
        <w:rPr>
          <w:sz w:val="24"/>
          <w:lang w:val="hu-HU"/>
        </w:rPr>
        <w:t xml:space="preserve"> </w:t>
      </w:r>
      <w:r w:rsidR="003510C2" w:rsidRPr="003510C2">
        <w:rPr>
          <w:sz w:val="24"/>
          <w:lang w:val="hu-HU"/>
        </w:rPr>
        <w:tab/>
      </w:r>
      <w:r w:rsidRPr="003510C2">
        <w:rPr>
          <w:sz w:val="24"/>
          <w:lang w:val="hu-HU"/>
        </w:rPr>
        <w:t>Lásd: átláthatósági és elszámoltathatósági tanulmány, 24.3. ajánlás.</w:t>
      </w:r>
    </w:p>
  </w:footnote>
  <w:footnote w:id="19">
    <w:p w:rsidR="004E3A5F" w:rsidRPr="003510C2" w:rsidRDefault="004E3A5F" w:rsidP="003510C2">
      <w:pPr>
        <w:pStyle w:val="FootnoteText"/>
        <w:ind w:left="567" w:hanging="567"/>
        <w:rPr>
          <w:sz w:val="24"/>
          <w:lang w:val="hu-HU"/>
        </w:rPr>
      </w:pPr>
      <w:r w:rsidRPr="003510C2">
        <w:rPr>
          <w:rStyle w:val="FootnoteReference"/>
          <w:sz w:val="24"/>
          <w:lang w:val="hu-HU"/>
        </w:rPr>
        <w:footnoteRef/>
      </w:r>
      <w:r w:rsidR="003510C2" w:rsidRPr="003510C2">
        <w:rPr>
          <w:sz w:val="24"/>
          <w:lang w:val="hu-HU"/>
        </w:rPr>
        <w:t xml:space="preserve"> </w:t>
      </w:r>
      <w:r w:rsidR="003510C2" w:rsidRPr="003510C2">
        <w:rPr>
          <w:sz w:val="24"/>
          <w:lang w:val="hu-HU"/>
        </w:rPr>
        <w:tab/>
      </w:r>
      <w:r w:rsidRPr="003510C2">
        <w:rPr>
          <w:sz w:val="24"/>
          <w:lang w:val="hu-HU"/>
        </w:rPr>
        <w:t>Elfogadott szövegek,</w:t>
      </w:r>
      <w:r w:rsidRPr="00814093">
        <w:rPr>
          <w:sz w:val="24"/>
          <w:lang w:val="hu-HU"/>
        </w:rPr>
        <w:t xml:space="preserve"> </w:t>
      </w:r>
      <w:hyperlink r:id="rId12" w:history="1">
        <w:r w:rsidRPr="004B4ACF">
          <w:rPr>
            <w:rStyle w:val="Hyperlink"/>
            <w:color w:val="auto"/>
            <w:sz w:val="24"/>
            <w:u w:val="none"/>
            <w:lang w:val="hu-HU"/>
          </w:rPr>
          <w:t>P9_</w:t>
        </w:r>
        <w:proofErr w:type="gramStart"/>
        <w:r w:rsidRPr="004B4ACF">
          <w:rPr>
            <w:rStyle w:val="Hyperlink"/>
            <w:color w:val="auto"/>
            <w:sz w:val="24"/>
            <w:u w:val="none"/>
            <w:lang w:val="hu-HU"/>
          </w:rPr>
          <w:t>TA(</w:t>
        </w:r>
        <w:proofErr w:type="gramEnd"/>
        <w:r w:rsidRPr="004B4ACF">
          <w:rPr>
            <w:rStyle w:val="Hyperlink"/>
            <w:color w:val="auto"/>
            <w:sz w:val="24"/>
            <w:u w:val="none"/>
            <w:lang w:val="hu-HU"/>
          </w:rPr>
          <w:t>2023)0138</w:t>
        </w:r>
      </w:hyperlink>
      <w:r w:rsidRPr="00814093">
        <w:rPr>
          <w:sz w:val="24"/>
          <w:lang w:val="hu-HU"/>
        </w:rPr>
        <w:t>,</w:t>
      </w:r>
      <w:r w:rsidRPr="003510C2">
        <w:rPr>
          <w:sz w:val="24"/>
          <w:lang w:val="hu-HU"/>
        </w:rPr>
        <w:t xml:space="preserve"> 74. bekezdés.</w:t>
      </w:r>
    </w:p>
  </w:footnote>
  <w:footnote w:id="20">
    <w:p w:rsidR="004E3A5F" w:rsidRPr="003510C2" w:rsidRDefault="004E3A5F" w:rsidP="003510C2">
      <w:pPr>
        <w:pStyle w:val="FootnoteText"/>
        <w:ind w:left="567" w:hanging="567"/>
        <w:rPr>
          <w:sz w:val="24"/>
          <w:lang w:val="hu-HU"/>
        </w:rPr>
      </w:pPr>
      <w:r w:rsidRPr="003510C2">
        <w:rPr>
          <w:rStyle w:val="FootnoteReference"/>
          <w:sz w:val="24"/>
          <w:lang w:val="hu-HU"/>
        </w:rPr>
        <w:footnoteRef/>
      </w:r>
      <w:r w:rsidR="003510C2" w:rsidRPr="003510C2">
        <w:rPr>
          <w:sz w:val="24"/>
          <w:lang w:val="hu-HU"/>
        </w:rPr>
        <w:t xml:space="preserve"> </w:t>
      </w:r>
      <w:r w:rsidR="003510C2" w:rsidRPr="003510C2">
        <w:rPr>
          <w:sz w:val="24"/>
          <w:lang w:val="hu-HU"/>
        </w:rPr>
        <w:tab/>
      </w:r>
      <w:r w:rsidRPr="003510C2">
        <w:rPr>
          <w:sz w:val="24"/>
          <w:lang w:val="hu-HU"/>
        </w:rPr>
        <w:t>Elfogadott szövegek, P9_</w:t>
      </w:r>
      <w:proofErr w:type="gramStart"/>
      <w:r w:rsidRPr="003510C2">
        <w:rPr>
          <w:sz w:val="24"/>
          <w:lang w:val="hu-HU"/>
        </w:rPr>
        <w:t>TA(</w:t>
      </w:r>
      <w:proofErr w:type="gramEnd"/>
      <w:r w:rsidRPr="003510C2">
        <w:rPr>
          <w:sz w:val="24"/>
          <w:lang w:val="hu-HU"/>
        </w:rPr>
        <w:t>2023)0137.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10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10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10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6/2023"/>
    <w:docVar w:name="dvlangue" w:val="HU"/>
    <w:docVar w:name="dvnumam" w:val="0"/>
    <w:docVar w:name="dvpe" w:val="751.681"/>
    <w:docVar w:name="dvrapporteur" w:val="Előadó: "/>
    <w:docVar w:name="dvtitre" w:val="Az Európai Parlament 2024.  ...-i állásfoglalása az uniós költségvetésből finanszírozott nem kormányzati szervezetek átláthatóságáról és elszámoltathatóságáról(2023/2122(INI))"/>
  </w:docVars>
  <w:rsids>
    <w:rsidRoot w:val="00834BF7"/>
    <w:rsid w:val="00002272"/>
    <w:rsid w:val="00064002"/>
    <w:rsid w:val="000677B9"/>
    <w:rsid w:val="000831BA"/>
    <w:rsid w:val="000A3B0B"/>
    <w:rsid w:val="000A42CC"/>
    <w:rsid w:val="000E7DD9"/>
    <w:rsid w:val="0010095E"/>
    <w:rsid w:val="001212F4"/>
    <w:rsid w:val="00125B37"/>
    <w:rsid w:val="00187494"/>
    <w:rsid w:val="001F32AE"/>
    <w:rsid w:val="002767FF"/>
    <w:rsid w:val="002B18FE"/>
    <w:rsid w:val="002B5493"/>
    <w:rsid w:val="002E3806"/>
    <w:rsid w:val="00343214"/>
    <w:rsid w:val="003510C2"/>
    <w:rsid w:val="00361C00"/>
    <w:rsid w:val="00395FA1"/>
    <w:rsid w:val="003E15D4"/>
    <w:rsid w:val="00411CCE"/>
    <w:rsid w:val="0041666E"/>
    <w:rsid w:val="00421060"/>
    <w:rsid w:val="00471C19"/>
    <w:rsid w:val="004867E3"/>
    <w:rsid w:val="00494A28"/>
    <w:rsid w:val="004A46D2"/>
    <w:rsid w:val="004B4ACF"/>
    <w:rsid w:val="004C0004"/>
    <w:rsid w:val="004C5D52"/>
    <w:rsid w:val="004E3A5F"/>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4093"/>
    <w:rsid w:val="00817416"/>
    <w:rsid w:val="00834BF7"/>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7191"/>
    <w:rsid w:val="00C61C0C"/>
    <w:rsid w:val="00C941CB"/>
    <w:rsid w:val="00CC2357"/>
    <w:rsid w:val="00CF071A"/>
    <w:rsid w:val="00D02406"/>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345410"/>
  <w15:chartTrackingRefBased/>
  <w15:docId w15:val="{83AC26D1-8A7A-42DE-AA66-9BF9C010F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number,SUPERS,Footnote Reference Superscript,ftref,(Ref. de nota al pie),fr,-E Fußnotenzeichen,(Diplomarbeit FZ),(Diplomarbeit FZ)1,(Diplomarbeit FZ)2,(Diplomarbeit FZ)3,(Diplomarbeit FZ)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E3A5F"/>
    <w:pPr>
      <w:spacing w:before="480" w:after="240"/>
    </w:pPr>
    <w:rPr>
      <w:snapToGrid w:val="0"/>
      <w:lang w:eastAsia="en-US"/>
    </w:rPr>
  </w:style>
  <w:style w:type="paragraph" w:customStyle="1" w:styleId="NormalHanging12a">
    <w:name w:val="NormalHanging12a"/>
    <w:basedOn w:val="Normal"/>
    <w:link w:val="NormalHanging12aChar"/>
    <w:rsid w:val="004E3A5F"/>
    <w:pPr>
      <w:widowControl/>
      <w:spacing w:after="240"/>
      <w:ind w:left="567" w:hanging="567"/>
    </w:pPr>
    <w:rPr>
      <w:snapToGrid w:val="0"/>
      <w:lang w:eastAsia="en-US"/>
    </w:rPr>
  </w:style>
  <w:style w:type="character" w:customStyle="1" w:styleId="BoldItalic">
    <w:name w:val="BoldItalic"/>
    <w:uiPriority w:val="1"/>
    <w:rsid w:val="004E3A5F"/>
    <w:rPr>
      <w:b/>
      <w:i/>
      <w:u w:val="none"/>
    </w:rPr>
  </w:style>
  <w:style w:type="character" w:customStyle="1" w:styleId="Italic">
    <w:name w:val="Italic"/>
    <w:uiPriority w:val="1"/>
    <w:rsid w:val="004E3A5F"/>
    <w:rPr>
      <w:i/>
    </w:rPr>
  </w:style>
  <w:style w:type="character" w:styleId="Hyperlink">
    <w:name w:val="Hyperlink"/>
    <w:basedOn w:val="DefaultParagraphFont"/>
    <w:unhideWhenUsed/>
    <w:rsid w:val="004E3A5F"/>
    <w:rPr>
      <w:color w:val="0000FF"/>
      <w:u w:val="single"/>
    </w:rPr>
  </w:style>
  <w:style w:type="character" w:customStyle="1" w:styleId="NormalHanging12aChar">
    <w:name w:val="NormalHanging12a Char"/>
    <w:basedOn w:val="DefaultParagraphFont"/>
    <w:link w:val="NormalHanging12a"/>
    <w:rsid w:val="004E3A5F"/>
    <w:rPr>
      <w:snapToGrid w:val="0"/>
      <w:sz w:val="24"/>
      <w:lang w:val="hu-HU" w:eastAsia="en-US"/>
    </w:rPr>
  </w:style>
  <w:style w:type="paragraph" w:styleId="BalloonText">
    <w:name w:val="Balloon Text"/>
    <w:basedOn w:val="Normal"/>
    <w:link w:val="BalloonTextChar"/>
    <w:rsid w:val="004A46D2"/>
    <w:rPr>
      <w:rFonts w:ascii="Segoe UI" w:hAnsi="Segoe UI" w:cs="Segoe UI"/>
      <w:sz w:val="18"/>
      <w:szCs w:val="18"/>
    </w:rPr>
  </w:style>
  <w:style w:type="character" w:customStyle="1" w:styleId="BalloonTextChar">
    <w:name w:val="Balloon Text Char"/>
    <w:basedOn w:val="DefaultParagraphFont"/>
    <w:link w:val="BalloonText"/>
    <w:rsid w:val="004A46D2"/>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doceo/document/TA-9-2023-0292_HU.html" TargetMode="External"/><Relationship Id="rId3" Type="http://schemas.openxmlformats.org/officeDocument/2006/relationships/hyperlink" Target="https://eur-lex.europa.eu/legal-content/HU/TXT/?uri=uriserv:OJ.L_.2021.231.01.0159.01.HUN" TargetMode="External"/><Relationship Id="rId7" Type="http://schemas.openxmlformats.org/officeDocument/2006/relationships/hyperlink" Target="https://www.europarl.europa.eu/doceo/document/TA-9-2023-0138_HU.html" TargetMode="External"/><Relationship Id="rId12" Type="http://schemas.openxmlformats.org/officeDocument/2006/relationships/hyperlink" Target="https://www.europarl.europa.eu/doceo/document/TA-9-2023-0138_HU.html" TargetMode="External"/><Relationship Id="rId2" Type="http://schemas.openxmlformats.org/officeDocument/2006/relationships/hyperlink" Target="https://eur-lex.europa.eu/legal-content/HU/TXT/?uri=uriserv:OJ.L_.2021.435.01.0187.01.HUN" TargetMode="External"/><Relationship Id="rId1" Type="http://schemas.openxmlformats.org/officeDocument/2006/relationships/hyperlink" Target="https://eur-lex.europa.eu/legal-content/HU/TXT/?uri=uriserv:OJ.L_.2018.193.01.0001.01.HUN" TargetMode="External"/><Relationship Id="rId6" Type="http://schemas.openxmlformats.org/officeDocument/2006/relationships/hyperlink" Target="https://www.europarl.europa.eu/doceo/document/TA-9-2023-0137_HU.html" TargetMode="External"/><Relationship Id="rId11" Type="http://schemas.openxmlformats.org/officeDocument/2006/relationships/hyperlink" Target="http://data.europa.eu/eli/dir/2015/849/oj" TargetMode="External"/><Relationship Id="rId5" Type="http://schemas.openxmlformats.org/officeDocument/2006/relationships/hyperlink" Target="https://eur-lex.europa.eu/legal-content/HU/TXT/?uri=uriserv:OJ.C_.2022.342.01.0225.01.HUN" TargetMode="External"/><Relationship Id="rId10" Type="http://schemas.openxmlformats.org/officeDocument/2006/relationships/hyperlink" Target="https://www.europarl.europa.eu/doceo/document/TA-9-2023-0137_HU.html" TargetMode="External"/><Relationship Id="rId4" Type="http://schemas.openxmlformats.org/officeDocument/2006/relationships/hyperlink" Target="https://op.europa.eu/en/publication-detail/-/publication/ae43c18c-2b71-4aab-9cc8-7e1d1534487b" TargetMode="External"/><Relationship Id="rId9" Type="http://schemas.openxmlformats.org/officeDocument/2006/relationships/hyperlink" Target="https://www.europarl.europa.eu/doceo/document/TA-9-2023-0137_HU.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6F654B-6678-4BEA-B865-440785F51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5796</Words>
  <Characters>42763</Characters>
  <Application>Microsoft Office Word</Application>
  <DocSecurity>0</DocSecurity>
  <Lines>356</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SEMEDO Teresa_RELEC</cp:lastModifiedBy>
  <cp:revision>2</cp:revision>
  <cp:lastPrinted>2004-11-19T15:42:00Z</cp:lastPrinted>
  <dcterms:created xsi:type="dcterms:W3CDTF">2024-07-15T12:23:00Z</dcterms:created>
  <dcterms:modified xsi:type="dcterms:W3CDTF">2024-07-15T12:23:00Z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A9-0446/2023</vt:lpwstr>
  </property>
  <property fmtid="{D5CDD505-2E9C-101B-9397-08002B2CF9AE}" pid="4" name="&lt;Type&gt;">
    <vt:lpwstr>RR</vt:lpwstr>
  </property>
</Properties>
</file>