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81EB2" w:rsidTr="0010095E">
        <w:trPr>
          <w:trHeight w:hRule="exact" w:val="1418"/>
        </w:trPr>
        <w:tc>
          <w:tcPr>
            <w:tcW w:w="6804" w:type="dxa"/>
            <w:shd w:val="clear" w:color="auto" w:fill="auto"/>
            <w:vAlign w:val="center"/>
          </w:tcPr>
          <w:p w:rsidR="00751A4A" w:rsidRPr="00481EB2" w:rsidRDefault="00B75F04" w:rsidP="0010095E">
            <w:pPr>
              <w:pStyle w:val="EPName"/>
            </w:pPr>
            <w:r w:rsidRPr="00481EB2">
              <w:t>Evropski parlament</w:t>
            </w:r>
          </w:p>
          <w:p w:rsidR="00751A4A" w:rsidRPr="00481EB2" w:rsidRDefault="00817416" w:rsidP="00756632">
            <w:pPr>
              <w:pStyle w:val="EPTerm"/>
              <w:rPr>
                <w:rStyle w:val="HideTWBExt"/>
                <w:noProof w:val="0"/>
                <w:vanish w:val="0"/>
                <w:color w:val="auto"/>
              </w:rPr>
            </w:pPr>
            <w:r w:rsidRPr="00481EB2">
              <w:t>2019-2024</w:t>
            </w:r>
          </w:p>
        </w:tc>
        <w:tc>
          <w:tcPr>
            <w:tcW w:w="2268" w:type="dxa"/>
            <w:shd w:val="clear" w:color="auto" w:fill="auto"/>
          </w:tcPr>
          <w:p w:rsidR="00751A4A" w:rsidRPr="00481EB2" w:rsidRDefault="00187494" w:rsidP="0010095E">
            <w:pPr>
              <w:pStyle w:val="EPLogo"/>
            </w:pPr>
            <w:r w:rsidRPr="00481EB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81EB2" w:rsidRDefault="00D058B8" w:rsidP="004C5D52">
      <w:pPr>
        <w:pStyle w:val="LineTop"/>
      </w:pPr>
    </w:p>
    <w:p w:rsidR="00680577" w:rsidRPr="00481EB2" w:rsidRDefault="00B75F04" w:rsidP="00680577">
      <w:pPr>
        <w:pStyle w:val="EPBodyTA1"/>
      </w:pPr>
      <w:r w:rsidRPr="00481EB2">
        <w:t>SPREJETA BESEDILA</w:t>
      </w:r>
    </w:p>
    <w:p w:rsidR="00D058B8" w:rsidRPr="00481EB2" w:rsidRDefault="00D058B8" w:rsidP="00D058B8">
      <w:pPr>
        <w:pStyle w:val="LineBottom"/>
      </w:pPr>
    </w:p>
    <w:p w:rsidR="00B75F04" w:rsidRPr="00481EB2" w:rsidRDefault="00B75F04" w:rsidP="00B75F04">
      <w:pPr>
        <w:pStyle w:val="ATHeading1"/>
      </w:pPr>
      <w:bookmarkStart w:id="0" w:name="TANumber"/>
      <w:r w:rsidRPr="00481EB2">
        <w:t>P9_TA(2024)</w:t>
      </w:r>
      <w:bookmarkEnd w:id="0"/>
      <w:r w:rsidR="005A0321">
        <w:t>0036</w:t>
      </w:r>
    </w:p>
    <w:p w:rsidR="00B75F04" w:rsidRPr="00481EB2" w:rsidRDefault="00B75F04" w:rsidP="00B75F04">
      <w:pPr>
        <w:pStyle w:val="ATHeading2"/>
      </w:pPr>
      <w:bookmarkStart w:id="1" w:name="title"/>
      <w:r w:rsidRPr="00481EB2">
        <w:t>Preglednost in odgovornost nevladnih organizacij, ki se financirajo iz proračuna EU</w:t>
      </w:r>
      <w:bookmarkEnd w:id="1"/>
    </w:p>
    <w:p w:rsidR="00B75F04" w:rsidRPr="00481EB2" w:rsidRDefault="00B75F04" w:rsidP="00B75F04">
      <w:pPr>
        <w:rPr>
          <w:i/>
          <w:vanish/>
        </w:rPr>
      </w:pPr>
      <w:r w:rsidRPr="00481EB2">
        <w:rPr>
          <w:i/>
        </w:rPr>
        <w:fldChar w:fldCharType="begin"/>
      </w:r>
      <w:r w:rsidRPr="00481EB2">
        <w:rPr>
          <w:i/>
        </w:rPr>
        <w:instrText xml:space="preserve"> TC"(</w:instrText>
      </w:r>
      <w:bookmarkStart w:id="2" w:name="DocNumber"/>
      <w:r w:rsidRPr="00481EB2">
        <w:rPr>
          <w:i/>
        </w:rPr>
        <w:instrText>A9-0446/2023</w:instrText>
      </w:r>
      <w:bookmarkEnd w:id="2"/>
      <w:r w:rsidRPr="00481EB2">
        <w:rPr>
          <w:i/>
        </w:rPr>
        <w:instrText xml:space="preserve"> - Poročevalec: </w:instrText>
      </w:r>
      <w:proofErr w:type="spellStart"/>
      <w:r w:rsidRPr="00481EB2">
        <w:rPr>
          <w:i/>
        </w:rPr>
        <w:instrText>Markus</w:instrText>
      </w:r>
      <w:proofErr w:type="spellEnd"/>
      <w:r w:rsidRPr="00481EB2">
        <w:rPr>
          <w:i/>
        </w:rPr>
        <w:instrText xml:space="preserve"> </w:instrText>
      </w:r>
      <w:proofErr w:type="spellStart"/>
      <w:r w:rsidRPr="00481EB2">
        <w:rPr>
          <w:i/>
        </w:rPr>
        <w:instrText>Pieper</w:instrText>
      </w:r>
      <w:proofErr w:type="spellEnd"/>
      <w:r w:rsidRPr="00481EB2">
        <w:rPr>
          <w:i/>
        </w:rPr>
        <w:instrText xml:space="preserve">)"\l3 \n&gt; \* MERGEFORMAT </w:instrText>
      </w:r>
      <w:r w:rsidRPr="00481EB2">
        <w:rPr>
          <w:i/>
        </w:rPr>
        <w:fldChar w:fldCharType="end"/>
      </w:r>
    </w:p>
    <w:p w:rsidR="00B75F04" w:rsidRPr="00481EB2" w:rsidRDefault="00B75F04" w:rsidP="00B75F04">
      <w:pPr>
        <w:rPr>
          <w:vanish/>
        </w:rPr>
      </w:pPr>
      <w:bookmarkStart w:id="3" w:name="Commission"/>
      <w:r w:rsidRPr="00481EB2">
        <w:rPr>
          <w:vanish/>
        </w:rPr>
        <w:t>Odbor za proračunski nadzor</w:t>
      </w:r>
      <w:bookmarkEnd w:id="3"/>
    </w:p>
    <w:p w:rsidR="00B75F04" w:rsidRPr="00481EB2" w:rsidRDefault="00B75F04" w:rsidP="00B75F04">
      <w:pPr>
        <w:rPr>
          <w:vanish/>
        </w:rPr>
      </w:pPr>
      <w:bookmarkStart w:id="4" w:name="PE"/>
      <w:r w:rsidRPr="00481EB2">
        <w:rPr>
          <w:vanish/>
        </w:rPr>
        <w:t>PE751.681</w:t>
      </w:r>
      <w:bookmarkEnd w:id="4"/>
    </w:p>
    <w:p w:rsidR="00B75F04" w:rsidRPr="00481EB2" w:rsidRDefault="00B75F04" w:rsidP="00B75F04">
      <w:pPr>
        <w:pStyle w:val="ATHeading3"/>
      </w:pPr>
      <w:bookmarkStart w:id="5" w:name="Sujet"/>
      <w:r w:rsidRPr="00481EB2">
        <w:t xml:space="preserve">Resolucija Evropskega parlamenta z dne </w:t>
      </w:r>
      <w:r w:rsidR="005A0321">
        <w:t xml:space="preserve">17. </w:t>
      </w:r>
      <w:r w:rsidR="00035931">
        <w:t>januarja</w:t>
      </w:r>
      <w:r w:rsidRPr="00481EB2">
        <w:t xml:space="preserve"> 2024 o preglednosti in odgovornosti nevladnih organizacij, ki se financirajo iz proračuna EU</w:t>
      </w:r>
      <w:bookmarkEnd w:id="5"/>
      <w:r w:rsidRPr="00481EB2">
        <w:t xml:space="preserve"> </w:t>
      </w:r>
      <w:bookmarkStart w:id="6" w:name="References"/>
      <w:r w:rsidRPr="00481EB2">
        <w:t>(2023/2122(INI))</w:t>
      </w:r>
      <w:bookmarkEnd w:id="6"/>
    </w:p>
    <w:p w:rsidR="007E4F5F" w:rsidRPr="00481EB2" w:rsidRDefault="007E4F5F" w:rsidP="007E4F5F">
      <w:pPr>
        <w:pStyle w:val="EPComma"/>
      </w:pPr>
      <w:bookmarkStart w:id="7" w:name="TextBodyBegin"/>
      <w:bookmarkEnd w:id="7"/>
      <w:r w:rsidRPr="00481EB2">
        <w:rPr>
          <w:rStyle w:val="Italic"/>
        </w:rPr>
        <w:t>Evropski parlament</w:t>
      </w:r>
      <w:r w:rsidRPr="00481EB2">
        <w:t>,</w:t>
      </w:r>
    </w:p>
    <w:p w:rsidR="007E4F5F" w:rsidRPr="00481EB2" w:rsidRDefault="007E4F5F" w:rsidP="007E4F5F">
      <w:pPr>
        <w:pStyle w:val="NormalHanging12a"/>
        <w:widowControl w:val="0"/>
      </w:pPr>
      <w:r w:rsidRPr="00481EB2">
        <w:t>–</w:t>
      </w:r>
      <w:r w:rsidRPr="00481EB2">
        <w:tab/>
        <w:t>ob upoštevanju Pogodbe o Evropski uniji, zlasti členov 2, 3, 5 in 11(2) ter njenega Protokola št. 2,</w:t>
      </w:r>
    </w:p>
    <w:p w:rsidR="007E4F5F" w:rsidRPr="00481EB2" w:rsidRDefault="007E4F5F" w:rsidP="007E4F5F">
      <w:pPr>
        <w:pStyle w:val="NormalHanging12a"/>
        <w:widowControl w:val="0"/>
      </w:pPr>
      <w:r w:rsidRPr="00481EB2">
        <w:t>–</w:t>
      </w:r>
      <w:r w:rsidRPr="00481EB2">
        <w:tab/>
        <w:t>ob upoštevanju Pogodbe o delovanju Evropske unije, zlasti členov 322(1a) in 325(4),</w:t>
      </w:r>
    </w:p>
    <w:p w:rsidR="007E4F5F" w:rsidRPr="00481EB2" w:rsidRDefault="007E4F5F" w:rsidP="007E4F5F">
      <w:pPr>
        <w:pStyle w:val="NormalHanging12a"/>
        <w:widowControl w:val="0"/>
      </w:pPr>
      <w:r w:rsidRPr="00481EB2">
        <w:t>–</w:t>
      </w:r>
      <w:r w:rsidRPr="00481EB2">
        <w:tab/>
        <w:t xml:space="preserve">ob upoštevanju Uredbe (EU, </w:t>
      </w:r>
      <w:proofErr w:type="spellStart"/>
      <w:r w:rsidRPr="00481EB2">
        <w:t>Euratom</w:t>
      </w:r>
      <w:proofErr w:type="spellEnd"/>
      <w:r w:rsidRPr="00481EB2">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481EB2">
        <w:t>Euratom</w:t>
      </w:r>
      <w:proofErr w:type="spellEnd"/>
      <w:r w:rsidRPr="00481EB2">
        <w:t>) št. 966/2012</w:t>
      </w:r>
      <w:r w:rsidRPr="00481EB2">
        <w:rPr>
          <w:rStyle w:val="FootnoteReference"/>
        </w:rPr>
        <w:footnoteReference w:id="1"/>
      </w:r>
      <w:r w:rsidRPr="00481EB2">
        <w:t xml:space="preserve"> (v nadaljnjem besedilu: finančna uredba),</w:t>
      </w:r>
    </w:p>
    <w:p w:rsidR="007E4F5F" w:rsidRPr="00481EB2" w:rsidRDefault="007E4F5F" w:rsidP="007E4F5F">
      <w:pPr>
        <w:pStyle w:val="NormalHanging12a"/>
        <w:widowControl w:val="0"/>
      </w:pPr>
      <w:r w:rsidRPr="00481EB2">
        <w:t>–</w:t>
      </w:r>
      <w:r w:rsidRPr="00481EB2">
        <w:tab/>
        <w:t>ob upoštevanju predloga Komisije za uredbo Evropskega parlamenta in Sveta z dne 16. maja 2022 o finančnih pravilih, ki se uporabljajo za splošni proračun Unije (COM(2022)0223),</w:t>
      </w:r>
    </w:p>
    <w:p w:rsidR="007E4F5F" w:rsidRPr="00481EB2" w:rsidRDefault="007E4F5F" w:rsidP="007E4F5F">
      <w:pPr>
        <w:pStyle w:val="NormalHanging12a"/>
        <w:widowControl w:val="0"/>
      </w:pPr>
      <w:r w:rsidRPr="00481EB2">
        <w:t>–</w:t>
      </w:r>
      <w:r w:rsidRPr="00481EB2">
        <w:tab/>
        <w:t>ob upoštevanju poročila Odbora za proračun in Odbora za proračunski nadzor z dne 4. maja 2023 o predlogu uredbe Evropskega parlamenta in Sveta o finančnih pravilih, ki se uporabljajo za splošni proračun Unije,</w:t>
      </w:r>
    </w:p>
    <w:p w:rsidR="007E4F5F" w:rsidRPr="00481EB2" w:rsidRDefault="007E4F5F" w:rsidP="007E4F5F">
      <w:pPr>
        <w:pStyle w:val="NormalHanging12a"/>
        <w:widowControl w:val="0"/>
      </w:pPr>
      <w:r w:rsidRPr="00481EB2">
        <w:t>–</w:t>
      </w:r>
      <w:r w:rsidRPr="00481EB2">
        <w:tab/>
        <w:t>ob upoštevanju Uredbe (EU) 2021/2116 Evropskega parlamenta in Sveta z dne 2. decembra 2021 o financiranju, upravljanju in spremljanju skupne kmetijske politike ter razveljavitvi Uredbe (EU) št. 1306/2013</w:t>
      </w:r>
      <w:r w:rsidRPr="00481EB2">
        <w:rPr>
          <w:rStyle w:val="FootnoteReference"/>
        </w:rPr>
        <w:footnoteReference w:id="2"/>
      </w:r>
      <w:r w:rsidRPr="00481EB2">
        <w:t>,</w:t>
      </w:r>
    </w:p>
    <w:p w:rsidR="007E4F5F" w:rsidRPr="00481EB2" w:rsidRDefault="007E4F5F" w:rsidP="007E4F5F">
      <w:pPr>
        <w:pStyle w:val="NormalHanging12a"/>
        <w:widowControl w:val="0"/>
      </w:pPr>
      <w:r w:rsidRPr="00481EB2">
        <w:t>–</w:t>
      </w:r>
      <w:r w:rsidRPr="00481EB2">
        <w:tab/>
        <w:t xml:space="preserve">ob upoštevanju Uredbe (EU) 2021/1060 Evropskega parlamenta in Sveta z dne </w:t>
      </w:r>
      <w:r w:rsidRPr="00481EB2">
        <w:lastRenderedPageBreak/>
        <w:t>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r w:rsidRPr="00481EB2">
        <w:rPr>
          <w:rStyle w:val="FootnoteReference"/>
        </w:rPr>
        <w:footnoteReference w:id="3"/>
      </w:r>
      <w:r w:rsidRPr="00481EB2">
        <w:t>,</w:t>
      </w:r>
    </w:p>
    <w:p w:rsidR="007E4F5F" w:rsidRPr="00481EB2" w:rsidRDefault="007E4F5F" w:rsidP="007E4F5F">
      <w:pPr>
        <w:pStyle w:val="NormalHanging12a"/>
        <w:widowControl w:val="0"/>
      </w:pPr>
      <w:r w:rsidRPr="00481EB2">
        <w:t>–</w:t>
      </w:r>
      <w:r w:rsidRPr="00481EB2">
        <w:tab/>
        <w:t>ob upoštevanju sporočila Komisije z dne 3. decembra 2020 o akcijskem načrtu za evropsko demokracijo (COM(2020)0790),</w:t>
      </w:r>
    </w:p>
    <w:p w:rsidR="007E4F5F" w:rsidRPr="00481EB2" w:rsidRDefault="007E4F5F" w:rsidP="007E4F5F">
      <w:pPr>
        <w:pStyle w:val="NormalHanging12a"/>
        <w:widowControl w:val="0"/>
      </w:pPr>
      <w:r w:rsidRPr="00481EB2">
        <w:t>–</w:t>
      </w:r>
      <w:r w:rsidRPr="00481EB2">
        <w:tab/>
        <w:t>ob upoštevanju posebnega poročila št. 35/2018 Evropskega računskega sodišča (ERS) z dne 18. decembra 2018 z naslovom Preglednost sredstev EU, ki jih izvršujejo nevladne organizacije: potrebna so večja prizadevanja,</w:t>
      </w:r>
    </w:p>
    <w:p w:rsidR="007E4F5F" w:rsidRPr="00481EB2" w:rsidRDefault="007E4F5F" w:rsidP="007E4F5F">
      <w:pPr>
        <w:pStyle w:val="NormalHanging12a"/>
        <w:widowControl w:val="0"/>
      </w:pPr>
      <w:r w:rsidRPr="00481EB2">
        <w:t>–</w:t>
      </w:r>
      <w:r w:rsidRPr="00481EB2">
        <w:tab/>
        <w:t xml:space="preserve">ob upoštevanju študije z naslovom </w:t>
      </w:r>
      <w:proofErr w:type="spellStart"/>
      <w:r w:rsidRPr="00481EB2">
        <w:t>Financing</w:t>
      </w:r>
      <w:proofErr w:type="spellEnd"/>
      <w:r w:rsidRPr="00481EB2">
        <w:t xml:space="preserve"> </w:t>
      </w:r>
      <w:proofErr w:type="spellStart"/>
      <w:r w:rsidRPr="00481EB2">
        <w:t>of</w:t>
      </w:r>
      <w:proofErr w:type="spellEnd"/>
      <w:r w:rsidRPr="00481EB2">
        <w:t xml:space="preserve"> non-</w:t>
      </w:r>
      <w:proofErr w:type="spellStart"/>
      <w:r w:rsidRPr="00481EB2">
        <w:t>governmental</w:t>
      </w:r>
      <w:proofErr w:type="spellEnd"/>
      <w:r w:rsidRPr="00481EB2">
        <w:t xml:space="preserve"> </w:t>
      </w:r>
      <w:proofErr w:type="spellStart"/>
      <w:r w:rsidRPr="00481EB2">
        <w:t>organisations</w:t>
      </w:r>
      <w:proofErr w:type="spellEnd"/>
      <w:r w:rsidRPr="00481EB2">
        <w:t xml:space="preserve"> (</w:t>
      </w:r>
      <w:proofErr w:type="spellStart"/>
      <w:r w:rsidRPr="00481EB2">
        <w:t>NGOs</w:t>
      </w:r>
      <w:proofErr w:type="spellEnd"/>
      <w:r w:rsidRPr="00481EB2">
        <w:t xml:space="preserve">) </w:t>
      </w:r>
      <w:proofErr w:type="spellStart"/>
      <w:r w:rsidRPr="00481EB2">
        <w:t>from</w:t>
      </w:r>
      <w:proofErr w:type="spellEnd"/>
      <w:r w:rsidRPr="00481EB2">
        <w:t xml:space="preserve"> the EU </w:t>
      </w:r>
      <w:proofErr w:type="spellStart"/>
      <w:r w:rsidRPr="00481EB2">
        <w:t>Budget</w:t>
      </w:r>
      <w:proofErr w:type="spellEnd"/>
      <w:r w:rsidRPr="00481EB2">
        <w:t xml:space="preserve"> (Financiranje nevladnih organizacij (NVO) iz proračuna EU), ki jo je 25. novembra 2010 objavil Generalni direktorat za notranjo politiko Unije</w:t>
      </w:r>
      <w:r w:rsidRPr="00481EB2">
        <w:rPr>
          <w:rStyle w:val="FootnoteReference"/>
        </w:rPr>
        <w:footnoteReference w:id="4"/>
      </w:r>
      <w:r w:rsidRPr="00481EB2">
        <w:t>,</w:t>
      </w:r>
    </w:p>
    <w:p w:rsidR="007E4F5F" w:rsidRPr="00481EB2" w:rsidRDefault="007E4F5F" w:rsidP="007E4F5F">
      <w:pPr>
        <w:pStyle w:val="NormalHanging12a"/>
        <w:widowControl w:val="0"/>
      </w:pPr>
      <w:r w:rsidRPr="00481EB2">
        <w:t>–</w:t>
      </w:r>
      <w:r w:rsidRPr="00481EB2">
        <w:tab/>
        <w:t xml:space="preserve">ob upoštevanju študije z naslovom </w:t>
      </w:r>
      <w:proofErr w:type="spellStart"/>
      <w:r w:rsidRPr="00481EB2">
        <w:t>Democratic</w:t>
      </w:r>
      <w:proofErr w:type="spellEnd"/>
      <w:r w:rsidRPr="00481EB2">
        <w:t xml:space="preserve"> </w:t>
      </w:r>
      <w:proofErr w:type="spellStart"/>
      <w:r w:rsidRPr="00481EB2">
        <w:t>accountability</w:t>
      </w:r>
      <w:proofErr w:type="spellEnd"/>
      <w:r w:rsidRPr="00481EB2">
        <w:t xml:space="preserve"> and </w:t>
      </w:r>
      <w:proofErr w:type="spellStart"/>
      <w:r w:rsidRPr="00481EB2">
        <w:t>Budgetary</w:t>
      </w:r>
      <w:proofErr w:type="spellEnd"/>
      <w:r w:rsidRPr="00481EB2">
        <w:t xml:space="preserve"> </w:t>
      </w:r>
      <w:proofErr w:type="spellStart"/>
      <w:r w:rsidRPr="00481EB2">
        <w:t>Control</w:t>
      </w:r>
      <w:proofErr w:type="spellEnd"/>
      <w:r w:rsidRPr="00481EB2">
        <w:t xml:space="preserve"> </w:t>
      </w:r>
      <w:proofErr w:type="spellStart"/>
      <w:r w:rsidRPr="00481EB2">
        <w:t>of</w:t>
      </w:r>
      <w:proofErr w:type="spellEnd"/>
      <w:r w:rsidRPr="00481EB2">
        <w:t xml:space="preserve"> non-</w:t>
      </w:r>
      <w:proofErr w:type="spellStart"/>
      <w:r w:rsidRPr="00481EB2">
        <w:t>governmental</w:t>
      </w:r>
      <w:proofErr w:type="spellEnd"/>
      <w:r w:rsidRPr="00481EB2">
        <w:t xml:space="preserve"> </w:t>
      </w:r>
      <w:proofErr w:type="spellStart"/>
      <w:r w:rsidRPr="00481EB2">
        <w:t>organisations</w:t>
      </w:r>
      <w:proofErr w:type="spellEnd"/>
      <w:r w:rsidRPr="00481EB2">
        <w:t xml:space="preserve"> </w:t>
      </w:r>
      <w:proofErr w:type="spellStart"/>
      <w:r w:rsidRPr="00481EB2">
        <w:t>funded</w:t>
      </w:r>
      <w:proofErr w:type="spellEnd"/>
      <w:r w:rsidRPr="00481EB2">
        <w:t xml:space="preserve"> </w:t>
      </w:r>
      <w:proofErr w:type="spellStart"/>
      <w:r w:rsidRPr="00481EB2">
        <w:t>by</w:t>
      </w:r>
      <w:proofErr w:type="spellEnd"/>
      <w:r w:rsidRPr="00481EB2">
        <w:t xml:space="preserve"> the EU </w:t>
      </w:r>
      <w:proofErr w:type="spellStart"/>
      <w:r w:rsidRPr="00481EB2">
        <w:t>Budget</w:t>
      </w:r>
      <w:proofErr w:type="spellEnd"/>
      <w:r w:rsidRPr="00481EB2">
        <w:t xml:space="preserve"> (Demokratična odgovornost in proračunski nadzor nevladnih organizacij, ki se financirajo iz proračuna EU), ki jo je 24. januarja 2017 objavil Generalni direktorat za notranjo politiko Unije</w:t>
      </w:r>
      <w:r w:rsidRPr="00481EB2">
        <w:rPr>
          <w:rStyle w:val="FootnoteReference"/>
        </w:rPr>
        <w:footnoteReference w:id="5"/>
      </w:r>
      <w:r w:rsidRPr="00481EB2">
        <w:t>, in njene poznejše posodobitve z dne 21. januarja 2019,</w:t>
      </w:r>
    </w:p>
    <w:p w:rsidR="007E4F5F" w:rsidRPr="00481EB2" w:rsidRDefault="007E4F5F" w:rsidP="007E4F5F">
      <w:pPr>
        <w:pStyle w:val="NormalHanging12a"/>
        <w:widowControl w:val="0"/>
      </w:pPr>
      <w:r w:rsidRPr="00481EB2">
        <w:t>–</w:t>
      </w:r>
      <w:r w:rsidRPr="00481EB2">
        <w:tab/>
        <w:t xml:space="preserve">ob upoštevanju študije z naslovom </w:t>
      </w:r>
      <w:proofErr w:type="spellStart"/>
      <w:r w:rsidRPr="00481EB2">
        <w:t>Transparency</w:t>
      </w:r>
      <w:proofErr w:type="spellEnd"/>
      <w:r w:rsidRPr="00481EB2">
        <w:t xml:space="preserve"> and </w:t>
      </w:r>
      <w:proofErr w:type="spellStart"/>
      <w:r w:rsidRPr="00481EB2">
        <w:t>accountability</w:t>
      </w:r>
      <w:proofErr w:type="spellEnd"/>
      <w:r w:rsidRPr="00481EB2">
        <w:t xml:space="preserve"> </w:t>
      </w:r>
      <w:proofErr w:type="spellStart"/>
      <w:r w:rsidRPr="00481EB2">
        <w:t>of</w:t>
      </w:r>
      <w:proofErr w:type="spellEnd"/>
      <w:r w:rsidRPr="00481EB2">
        <w:t xml:space="preserve"> EU </w:t>
      </w:r>
      <w:proofErr w:type="spellStart"/>
      <w:r w:rsidRPr="00481EB2">
        <w:t>funding</w:t>
      </w:r>
      <w:proofErr w:type="spellEnd"/>
      <w:r w:rsidRPr="00481EB2">
        <w:t xml:space="preserve"> </w:t>
      </w:r>
      <w:proofErr w:type="spellStart"/>
      <w:r w:rsidRPr="00481EB2">
        <w:t>for</w:t>
      </w:r>
      <w:proofErr w:type="spellEnd"/>
      <w:r w:rsidRPr="00481EB2">
        <w:t xml:space="preserve"> </w:t>
      </w:r>
      <w:proofErr w:type="spellStart"/>
      <w:r w:rsidRPr="00481EB2">
        <w:t>NGOs</w:t>
      </w:r>
      <w:proofErr w:type="spellEnd"/>
      <w:r w:rsidRPr="00481EB2">
        <w:t xml:space="preserve"> </w:t>
      </w:r>
      <w:proofErr w:type="spellStart"/>
      <w:r w:rsidRPr="00481EB2">
        <w:t>active</w:t>
      </w:r>
      <w:proofErr w:type="spellEnd"/>
      <w:r w:rsidRPr="00481EB2">
        <w:t xml:space="preserve"> in EU </w:t>
      </w:r>
      <w:proofErr w:type="spellStart"/>
      <w:r w:rsidRPr="00481EB2">
        <w:t>policy</w:t>
      </w:r>
      <w:proofErr w:type="spellEnd"/>
      <w:r w:rsidRPr="00481EB2">
        <w:t xml:space="preserve"> </w:t>
      </w:r>
      <w:proofErr w:type="spellStart"/>
      <w:r w:rsidRPr="00481EB2">
        <w:t>areas</w:t>
      </w:r>
      <w:proofErr w:type="spellEnd"/>
      <w:r w:rsidRPr="00481EB2">
        <w:t xml:space="preserve"> </w:t>
      </w:r>
      <w:proofErr w:type="spellStart"/>
      <w:r w:rsidRPr="00481EB2">
        <w:t>within</w:t>
      </w:r>
      <w:proofErr w:type="spellEnd"/>
      <w:r w:rsidRPr="00481EB2">
        <w:t xml:space="preserve"> EU </w:t>
      </w:r>
      <w:proofErr w:type="spellStart"/>
      <w:r w:rsidRPr="00481EB2">
        <w:t>territory</w:t>
      </w:r>
      <w:proofErr w:type="spellEnd"/>
      <w:r w:rsidRPr="00481EB2">
        <w:t xml:space="preserve"> (Preglednost in odgovornost financiranja EU za nevladne organizacije, dejavne na področjih politike EU na ozemlju EU), ki jo je 28. septembra 2023 objavil Generalni direktorat za notranjo politiko Unije</w:t>
      </w:r>
      <w:r w:rsidRPr="00481EB2">
        <w:rPr>
          <w:rStyle w:val="FootnoteReference"/>
        </w:rPr>
        <w:footnoteReference w:id="6"/>
      </w:r>
      <w:r w:rsidRPr="00481EB2">
        <w:t xml:space="preserve"> (v nadaljnjem besedilu: študija o preglednosti in odgovornosti),</w:t>
      </w:r>
    </w:p>
    <w:p w:rsidR="007E4F5F" w:rsidRPr="00481EB2" w:rsidRDefault="007E4F5F" w:rsidP="007E4F5F">
      <w:pPr>
        <w:pStyle w:val="NormalHanging12a"/>
        <w:widowControl w:val="0"/>
      </w:pPr>
      <w:r w:rsidRPr="00481EB2">
        <w:t>–</w:t>
      </w:r>
      <w:r w:rsidRPr="00481EB2">
        <w:tab/>
        <w:t>ob upoštevanju operativnih smernic Komisije za prejemnike sredstev EU o uporabi emblema EU v okviru programov EU 2021–2027, objavljenih marca 2021,</w:t>
      </w:r>
    </w:p>
    <w:p w:rsidR="007E4F5F" w:rsidRPr="00481EB2" w:rsidRDefault="007E4F5F" w:rsidP="007E4F5F">
      <w:pPr>
        <w:pStyle w:val="NormalHanging12a"/>
        <w:widowControl w:val="0"/>
      </w:pPr>
      <w:r w:rsidRPr="00481EB2">
        <w:t>–</w:t>
      </w:r>
      <w:r w:rsidRPr="00481EB2">
        <w:tab/>
        <w:t xml:space="preserve">ob upoštevanju svoje resolucije z dne 17. februarja 2022 s priporočili Komisiji o statutu </w:t>
      </w:r>
      <w:r w:rsidRPr="00481EB2">
        <w:lastRenderedPageBreak/>
        <w:t>za evropska čezmejna združenja in neprofitne organizacije</w:t>
      </w:r>
      <w:r w:rsidRPr="00481EB2">
        <w:rPr>
          <w:rStyle w:val="FootnoteReference"/>
        </w:rPr>
        <w:footnoteReference w:id="7"/>
      </w:r>
      <w:r w:rsidRPr="00481EB2">
        <w:t>,</w:t>
      </w:r>
    </w:p>
    <w:p w:rsidR="007E4F5F" w:rsidRPr="00481EB2" w:rsidRDefault="007E4F5F" w:rsidP="007E4F5F">
      <w:pPr>
        <w:pStyle w:val="NormalHanging12a"/>
        <w:widowControl w:val="0"/>
      </w:pPr>
      <w:r w:rsidRPr="00481EB2">
        <w:t>–</w:t>
      </w:r>
      <w:r w:rsidRPr="00481EB2">
        <w:tab/>
        <w:t>ob upoštevanju svoje resolucije z dne 10. maja 2023 s pripombami, ki so del sklepa o razrešnici glede izvrševanja splošnega proračuna Evropske unije za proračunsko leto 2021, oddelek III – Komisija in izvajalske agencije</w:t>
      </w:r>
      <w:r w:rsidRPr="00481EB2">
        <w:rPr>
          <w:rStyle w:val="FootnoteReference"/>
        </w:rPr>
        <w:footnoteReference w:id="8"/>
      </w:r>
      <w:r w:rsidRPr="00481EB2">
        <w:t>,</w:t>
      </w:r>
    </w:p>
    <w:p w:rsidR="007E4F5F" w:rsidRPr="00481EB2" w:rsidRDefault="007E4F5F" w:rsidP="007E4F5F">
      <w:pPr>
        <w:pStyle w:val="NormalHanging12a"/>
        <w:widowControl w:val="0"/>
      </w:pPr>
      <w:r w:rsidRPr="00481EB2">
        <w:t>–</w:t>
      </w:r>
      <w:r w:rsidRPr="00481EB2">
        <w:tab/>
        <w:t>ob upoštevanju svoje resolucije z dne 10. maja 2023 s pripombami, ki so del sklepa o razrešnici glede izvrševanja splošnega proračuna Evropske unije za proračunsko leto 2021, oddelek I – Evropski parlament</w:t>
      </w:r>
      <w:r w:rsidRPr="00481EB2">
        <w:rPr>
          <w:rStyle w:val="FootnoteReference"/>
        </w:rPr>
        <w:footnoteReference w:id="9"/>
      </w:r>
      <w:r w:rsidRPr="00481EB2">
        <w:t>,</w:t>
      </w:r>
    </w:p>
    <w:p w:rsidR="007E4F5F" w:rsidRPr="00481EB2" w:rsidRDefault="007E4F5F" w:rsidP="007E4F5F">
      <w:pPr>
        <w:pStyle w:val="NormalHanging12a"/>
        <w:widowControl w:val="0"/>
      </w:pPr>
      <w:r w:rsidRPr="00481EB2">
        <w:t>–</w:t>
      </w:r>
      <w:r w:rsidRPr="00481EB2">
        <w:tab/>
        <w:t>ob upoštevanju svoje resolucije z dne 13. julija 2023 o priporočilih za reformo pravil Evropskega parlamenta o preglednosti, integriteti, odgovornosti in boju proti korupciji</w:t>
      </w:r>
      <w:r w:rsidRPr="00481EB2">
        <w:rPr>
          <w:rStyle w:val="FootnoteReference"/>
        </w:rPr>
        <w:footnoteReference w:id="10"/>
      </w:r>
      <w:r w:rsidRPr="00481EB2">
        <w:t>,</w:t>
      </w:r>
    </w:p>
    <w:p w:rsidR="007E4F5F" w:rsidRPr="00481EB2" w:rsidRDefault="007E4F5F" w:rsidP="007E4F5F">
      <w:pPr>
        <w:pStyle w:val="NormalHanging12a"/>
        <w:widowControl w:val="0"/>
        <w:rPr>
          <w:b/>
          <w:i/>
        </w:rPr>
      </w:pPr>
      <w:r w:rsidRPr="00481EB2">
        <w:t>–</w:t>
      </w:r>
      <w:r w:rsidRPr="00481EB2">
        <w:rPr>
          <w:b/>
          <w:i/>
        </w:rPr>
        <w:tab/>
      </w:r>
      <w:r w:rsidRPr="00481EB2">
        <w:t>ob upoštevanju Razrešnice za leto 2021: splošni proračun EU – Komisija in izvajalske agencije</w:t>
      </w:r>
      <w:r w:rsidRPr="00481EB2">
        <w:rPr>
          <w:vertAlign w:val="superscript"/>
        </w:rPr>
        <w:footnoteReference w:id="11"/>
      </w:r>
      <w:r w:rsidRPr="00481EB2">
        <w:t>,</w:t>
      </w:r>
    </w:p>
    <w:p w:rsidR="007E4F5F" w:rsidRPr="00481EB2" w:rsidRDefault="007E4F5F" w:rsidP="007E4F5F">
      <w:pPr>
        <w:pStyle w:val="NormalHanging12a"/>
      </w:pPr>
      <w:r w:rsidRPr="00481EB2">
        <w:t>–</w:t>
      </w:r>
      <w:r w:rsidRPr="00481EB2">
        <w:tab/>
        <w:t>ob upoštevanju mnenj Odbora za zunanje zadeve in Odbora za državljanske svoboščine, pravosodje in notranje zadeve,</w:t>
      </w:r>
    </w:p>
    <w:p w:rsidR="007E4F5F" w:rsidRPr="00481EB2" w:rsidRDefault="007E4F5F" w:rsidP="007E4F5F">
      <w:pPr>
        <w:pStyle w:val="NormalHanging12a"/>
        <w:widowControl w:val="0"/>
      </w:pPr>
      <w:r w:rsidRPr="00481EB2">
        <w:t>–</w:t>
      </w:r>
      <w:r w:rsidRPr="00481EB2">
        <w:tab/>
        <w:t>ob upoštevanju člena 54 Poslovnika,</w:t>
      </w:r>
    </w:p>
    <w:p w:rsidR="007E4F5F" w:rsidRPr="00481EB2" w:rsidRDefault="007E4F5F" w:rsidP="007E4F5F">
      <w:pPr>
        <w:pStyle w:val="NormalHanging12a"/>
        <w:widowControl w:val="0"/>
      </w:pPr>
      <w:r w:rsidRPr="00481EB2">
        <w:t>–</w:t>
      </w:r>
      <w:r w:rsidRPr="00481EB2">
        <w:tab/>
        <w:t>ob upoštevanju poročila Odbora za proračunski nadzor (A9</w:t>
      </w:r>
      <w:r w:rsidRPr="00481EB2">
        <w:noBreakHyphen/>
        <w:t>0446/2023),</w:t>
      </w:r>
    </w:p>
    <w:p w:rsidR="007E4F5F" w:rsidRPr="00481EB2" w:rsidRDefault="007E4F5F" w:rsidP="007E4F5F">
      <w:pPr>
        <w:pStyle w:val="NormalHanging12a"/>
        <w:widowControl w:val="0"/>
      </w:pPr>
      <w:r w:rsidRPr="00481EB2">
        <w:t>A.</w:t>
      </w:r>
      <w:r w:rsidRPr="00481EB2">
        <w:tab/>
        <w:t>ker je EU oblikovala mehanizme preglednosti in odgovornosti, da bi poskrbela, da se sredstva EU, dodeljena upravičencem, vključno z nevladnimi organizacijami, uporabljajo uspešno, učinkovito in v skladu z vrednotami, politikami in finančnimi pravili EU, med drugim določenimi v finančni uredbi, ki preglednost opredeljuje kot eno od vodilnih proračunskih načel Unije in v skladu s katero mora Komisija na ustrezen način in pravočasno dati na razpolago informacije o sredstvih EU;</w:t>
      </w:r>
    </w:p>
    <w:p w:rsidR="007E4F5F" w:rsidRPr="00481EB2" w:rsidRDefault="007E4F5F" w:rsidP="007E4F5F">
      <w:pPr>
        <w:pStyle w:val="NormalHanging12a"/>
        <w:widowControl w:val="0"/>
        <w:rPr>
          <w:b/>
          <w:i/>
        </w:rPr>
      </w:pPr>
      <w:r w:rsidRPr="00481EB2">
        <w:t>B.</w:t>
      </w:r>
      <w:r w:rsidRPr="00481EB2">
        <w:tab/>
        <w:t>ker je EU ena največjih finančnih podpornic civilnodružbenih organizacij</w:t>
      </w:r>
      <w:r w:rsidRPr="00481EB2">
        <w:rPr>
          <w:vertAlign w:val="superscript"/>
        </w:rPr>
        <w:footnoteReference w:id="12"/>
      </w:r>
      <w:r w:rsidRPr="00481EB2">
        <w:t>;</w:t>
      </w:r>
    </w:p>
    <w:p w:rsidR="007E4F5F" w:rsidRPr="00481EB2" w:rsidRDefault="007E4F5F" w:rsidP="007E4F5F">
      <w:pPr>
        <w:pStyle w:val="NormalHanging12a"/>
        <w:widowControl w:val="0"/>
      </w:pPr>
      <w:r w:rsidRPr="00481EB2">
        <w:t>C.</w:t>
      </w:r>
      <w:r w:rsidRPr="00481EB2">
        <w:tab/>
        <w:t xml:space="preserve">ker civilna družba zajema vse od skromnih dejavnosti v skupnostih do nevladnih organizacij; ker spekter nevladnih organizacij, ki prejemajo finančna sredstva EU, obsega zelo različne strukture, načine delovanja, vire financiranja in področja delovanja, kar se kaže v raznolikosti projektov, ki se financirajo s sredstvi EU; ker pogodbi o EU od institucij in držav članic EU zahtevata, da vzdržujejo odprt, pregleden in reden dialog s predstavniki združenj in civilne družbe; ker bi morale EU in njene države članice ustrezno financirati programe za zaščito in spodbujanje pravic in vrednot, določenih v pogodbah o EU; ker imajo nevladne organizacije in organizacije civilne družbe pomembno vlogo pri izvajanju teh programov; ker javni organi v nekaterih primerih oddajo naloge v zunanje izvajanje nevladnim organizacijam in organizacijam </w:t>
      </w:r>
      <w:r w:rsidRPr="00481EB2">
        <w:lastRenderedPageBreak/>
        <w:t>civilne družbe; ker Komisija sredstva EU upravlja neposredno ali posredno ali z deljenim upravljanjem; ker Komisija v skladu z načelom subsidiarnosti spremlja in poroča o sredstvih, ki so neposredno dodeljena upravičencem, vključno z nevladnimi organizacijami;</w:t>
      </w:r>
    </w:p>
    <w:p w:rsidR="007E4F5F" w:rsidRPr="00481EB2" w:rsidRDefault="005A0321" w:rsidP="007E4F5F">
      <w:pPr>
        <w:pStyle w:val="NormalHanging12a"/>
        <w:widowControl w:val="0"/>
      </w:pPr>
      <w:r>
        <w:t>D</w:t>
      </w:r>
      <w:r w:rsidR="007E4F5F" w:rsidRPr="00481EB2">
        <w:t>.</w:t>
      </w:r>
      <w:r w:rsidR="007E4F5F" w:rsidRPr="00481EB2">
        <w:tab/>
        <w:t>ker je sistem finančne preglednosti Komisije glavni vir javno dostopnih podatkov za obsežne analize nepovratnih sredstev in pogodb, ki jih neposredno upravlja Komisija; ker bi bilo treba jasno razlikovati med javno preglednostjo in preglednostjo za namene legitimnega proračunskega nadzora, saj nevladne organizacije delujejo v občutljivih okoliščinah in obravnavajo občutljiva vprašanja;</w:t>
      </w:r>
    </w:p>
    <w:p w:rsidR="007E4F5F" w:rsidRPr="00481EB2" w:rsidRDefault="005A0321" w:rsidP="007E4F5F">
      <w:pPr>
        <w:pStyle w:val="NormalHanging12a"/>
        <w:widowControl w:val="0"/>
      </w:pPr>
      <w:r>
        <w:t>E</w:t>
      </w:r>
      <w:r w:rsidR="007E4F5F" w:rsidRPr="00481EB2">
        <w:t>.</w:t>
      </w:r>
      <w:r w:rsidR="007E4F5F" w:rsidRPr="00481EB2">
        <w:tab/>
        <w:t>ker analiza podatkov iz sistema finančne preglednosti kaže, da so finančne zaveze EU do nevladnih organizacij, če se izključijo programi EU na področju izobraževanja in raziskav, leta 2022 za vse programe in sklade EU v neposrednem upravljanju znašale vsaj 2,6 milijarde EUR;</w:t>
      </w:r>
    </w:p>
    <w:p w:rsidR="007E4F5F" w:rsidRPr="00481EB2" w:rsidRDefault="005A0321" w:rsidP="007E4F5F">
      <w:pPr>
        <w:pStyle w:val="NormalHanging12a"/>
        <w:widowControl w:val="0"/>
      </w:pPr>
      <w:r>
        <w:t>F</w:t>
      </w:r>
      <w:r w:rsidR="007E4F5F" w:rsidRPr="00481EB2">
        <w:t>.</w:t>
      </w:r>
      <w:r w:rsidR="007E4F5F" w:rsidRPr="00481EB2">
        <w:tab/>
        <w:t>ker bi se morale zahteve EU glede preglednosti in odgovornosti ter njene kontrole uporabljati za vse zastopnike interesov, ki prejemajo sredstva EU; ker je v registru za preglednost EU v kategorijo „Nevladne organizacije, platforme in mreže ter podobne organizacije“ vpisanih 3377 subjektov</w:t>
      </w:r>
      <w:r w:rsidR="007E4F5F" w:rsidRPr="00481EB2">
        <w:rPr>
          <w:vertAlign w:val="superscript"/>
        </w:rPr>
        <w:footnoteReference w:id="13"/>
      </w:r>
      <w:r w:rsidR="007E4F5F" w:rsidRPr="00481EB2">
        <w:t>; ker mora biti narava zahtev in nadzora v skladu s kategorizacijo iz registra za preglednost, da se upoštevajo vse oblike pravnih subjektov in ne le nevladne organizacije; ker zahtev in kontrol EU ni nujno povezovati le z registrom za preglednost, saj nekateri subjekti, ki prejemajo sredstva EU, nemara raje ne bi bili vključeni v ta register, da ne bi bil ogrožen njihov obstoj;</w:t>
      </w:r>
    </w:p>
    <w:p w:rsidR="007E4F5F" w:rsidRPr="00481EB2" w:rsidRDefault="005A0321" w:rsidP="007E4F5F">
      <w:pPr>
        <w:pStyle w:val="NormalHanging12a"/>
        <w:widowControl w:val="0"/>
      </w:pPr>
      <w:r>
        <w:t>G</w:t>
      </w:r>
      <w:r w:rsidR="007E4F5F" w:rsidRPr="00481EB2">
        <w:t>.</w:t>
      </w:r>
      <w:r w:rsidR="007E4F5F" w:rsidRPr="00481EB2">
        <w:tab/>
        <w:t>ker bi se morale zahteve EU glede preglednosti in odgovornosti ter njene kontrole uporabljati za vse upravičence do sredstev EU, vključno z nevladnimi organizacijami, ki morajo voditi natančne in pregledne finančne evidence o uporabi sredstev EU ter o viru finančnih sredstev, ki jih uporabljajo za svoje delovanje, saj za ukrepe, ki jih sprejmejo, za svoje vire financiranja, vključno s sredstvi EU, in odločitve, ki jih sprejemajo v imenu svojih deležnikov odgovarjajo svojim članom, donatorjem, partnerjem in upravičencem; ker države članice določijo pravno podlago za nevladne organizacije, katerih status je registriran na nacionalni ravni;</w:t>
      </w:r>
    </w:p>
    <w:p w:rsidR="007E4F5F" w:rsidRPr="00481EB2" w:rsidRDefault="005A0321" w:rsidP="007E4F5F">
      <w:pPr>
        <w:pStyle w:val="NormalHanging12a"/>
        <w:widowControl w:val="0"/>
      </w:pPr>
      <w:r>
        <w:t>H</w:t>
      </w:r>
      <w:r w:rsidR="007E4F5F" w:rsidRPr="00481EB2">
        <w:t>.</w:t>
      </w:r>
      <w:r w:rsidR="007E4F5F" w:rsidRPr="00481EB2">
        <w:tab/>
        <w:t>ker se vse bolj širi izkoriščanje sredstev EU, ki je v nasprotju s pravili, načeli in vrednotami EU; ker si posamezniki in navidezne organizacije, ki so najpogosteje pod tujim vplivom, prizadevajo pridobiti finančno podporo EU in spoštovanje, ki ne glede na znesek pride z njo, v resnici pa sredstva EU uporabljajo za dejavnosti, ki spodkopavajo temeljna načela in vrednote EU ter našo zavezanost demokraciji;</w:t>
      </w:r>
    </w:p>
    <w:p w:rsidR="007E4F5F" w:rsidRPr="00481EB2" w:rsidRDefault="005A0321" w:rsidP="007E4F5F">
      <w:pPr>
        <w:pStyle w:val="NormalHanging12a"/>
        <w:widowControl w:val="0"/>
      </w:pPr>
      <w:r>
        <w:t>I</w:t>
      </w:r>
      <w:r w:rsidR="007E4F5F" w:rsidRPr="00481EB2">
        <w:t>.</w:t>
      </w:r>
      <w:r w:rsidR="007E4F5F" w:rsidRPr="00481EB2">
        <w:tab/>
        <w:t>ker je Komisija odgovorna za zagotavljanje izvrševanja proračuna EU ter za spoštovanje predpisov in vrednot EU; ker morajo v zvezi s tem vse predhodne in naknadne kontrole zagotavljati, da bodo sredstva EU prejeli le nevladne organizacije in subjekti, ki delujejo v skladu s pravili, načeli in vrednotami EU;</w:t>
      </w:r>
    </w:p>
    <w:p w:rsidR="007E4F5F" w:rsidRPr="00481EB2" w:rsidRDefault="005A0321" w:rsidP="007E4F5F">
      <w:pPr>
        <w:pStyle w:val="NormalHanging12a"/>
        <w:widowControl w:val="0"/>
      </w:pPr>
      <w:r>
        <w:t>J</w:t>
      </w:r>
      <w:r w:rsidR="007E4F5F" w:rsidRPr="00481EB2">
        <w:t>.</w:t>
      </w:r>
      <w:r w:rsidR="007E4F5F" w:rsidRPr="00481EB2">
        <w:tab/>
        <w:t xml:space="preserve">ker razrešnica glede izvrševanja splošnega proračuna EU za leto 2021 in Komisija poudarjata globoko zaskrbljenost glede financiranja projektov, ki jih izvajajo oziroma so v njihovo izvajanje vključene nevladne organizacije, povezane z radikalnimi verskimi in političnimi organizacijami; poziva Komisijo, naj zagotovi, da se bodo s </w:t>
      </w:r>
      <w:r w:rsidR="007E4F5F" w:rsidRPr="00481EB2">
        <w:lastRenderedPageBreak/>
        <w:t>sredstvi EU financirale le organizacije, ki dosledno spoštujejo vse vrednote Unije, in nujno poziva Komisijo, naj vzpostavi mehanizme, s katerimi se vnaprej jasno opredelijo nevladne organizacije, ki delujejo na ozemlju Unije in v tujini ter so priznale povezave z mrežami verskih fundamentalistov in izvajajo program, ki spodkopava vrednote Unije</w:t>
      </w:r>
      <w:r w:rsidR="007E4F5F" w:rsidRPr="00481EB2">
        <w:rPr>
          <w:vertAlign w:val="superscript"/>
        </w:rPr>
        <w:footnoteReference w:id="14"/>
      </w:r>
      <w:r w:rsidR="007E4F5F" w:rsidRPr="00481EB2">
        <w:t>;</w:t>
      </w:r>
    </w:p>
    <w:p w:rsidR="007E4F5F" w:rsidRPr="00481EB2" w:rsidRDefault="005A0321" w:rsidP="007E4F5F">
      <w:pPr>
        <w:pStyle w:val="NormalHanging12a"/>
        <w:widowControl w:val="0"/>
      </w:pPr>
      <w:r>
        <w:t>K</w:t>
      </w:r>
      <w:r w:rsidR="007E4F5F" w:rsidRPr="00481EB2">
        <w:t>.</w:t>
      </w:r>
      <w:r w:rsidR="007E4F5F" w:rsidRPr="00481EB2">
        <w:tab/>
        <w:t>ker bi morali za vse nevladne organizacije, ki prejemajo finančna sredstva EU, veljati enaki visoki standardi odgovornosti in enaka pravila o preglednosti, ne glede na to, ali delujejo v Evropski uniji ali zunaj nje;</w:t>
      </w:r>
    </w:p>
    <w:p w:rsidR="007E4F5F" w:rsidRPr="00481EB2" w:rsidRDefault="005A0321" w:rsidP="007E4F5F">
      <w:pPr>
        <w:pStyle w:val="NormalHanging12a"/>
        <w:widowControl w:val="0"/>
      </w:pPr>
      <w:r>
        <w:t>L</w:t>
      </w:r>
      <w:r w:rsidR="007E4F5F" w:rsidRPr="00481EB2">
        <w:t>.</w:t>
      </w:r>
      <w:r w:rsidR="007E4F5F" w:rsidRPr="00481EB2">
        <w:tab/>
        <w:t>ker nekateri pomisleki, navedeni v nadaljevanju, temeljijo na nekaterih ugotovitvah študije o preglednosti in odgovornosti, ki obravnava nadaljnje slabosti v zvezi s preglednostjo, kar zadeva informacije o uporabi sredstev EU s strani Komisije, držav članic in upravičencev, vključno z nevladnimi organizacijami;</w:t>
      </w:r>
    </w:p>
    <w:p w:rsidR="007E4F5F" w:rsidRPr="00481EB2" w:rsidRDefault="007E4F5F" w:rsidP="007E4F5F">
      <w:pPr>
        <w:pStyle w:val="NormalHanging12a"/>
        <w:widowControl w:val="0"/>
        <w:rPr>
          <w:rStyle w:val="BoldItalic"/>
        </w:rPr>
      </w:pPr>
      <w:r w:rsidRPr="00481EB2">
        <w:rPr>
          <w:rStyle w:val="BoldItalic"/>
        </w:rPr>
        <w:t>Splošne opombe</w:t>
      </w:r>
    </w:p>
    <w:p w:rsidR="007E4F5F" w:rsidRPr="00481EB2" w:rsidRDefault="007E4F5F" w:rsidP="007E4F5F">
      <w:pPr>
        <w:pStyle w:val="NormalHanging12a"/>
        <w:widowControl w:val="0"/>
      </w:pPr>
      <w:r w:rsidRPr="00481EB2">
        <w:t>1.</w:t>
      </w:r>
      <w:r w:rsidRPr="00481EB2">
        <w:tab/>
        <w:t>pozdravlja ključno vlogo nevladnih organizacij pri zastopanju civilne družbe ter spodbujanju in varovanju pravic in vrednot, zapisanih v Pogodbah, ter temeljnih pravic iz Listine EU o temeljnih pravicah; poudarja, da bi morale biti do financiranja EU upravičene le nevladne organizacije, ki delujejo ob spoštovanju teh pravic in vrednot; poziva vse deležnike, naj načela in vrednote EU pogosteje postavljajo v središče financiranja EU, in priznava raznolikost nevladnih organizacij, kar zadeva njihovo velikost, vire in osebje;</w:t>
      </w:r>
    </w:p>
    <w:p w:rsidR="007E4F5F" w:rsidRPr="00481EB2" w:rsidRDefault="007E4F5F" w:rsidP="007E4F5F">
      <w:pPr>
        <w:pStyle w:val="NormalHanging12a"/>
        <w:widowControl w:val="0"/>
      </w:pPr>
      <w:r w:rsidRPr="00481EB2">
        <w:t xml:space="preserve">2. </w:t>
      </w:r>
      <w:r w:rsidRPr="00481EB2">
        <w:tab/>
        <w:t>poudarja zlasti vlogo upravičencev, vključno z nevladnimi organizacijami, pri izvrševanju proračuna EU in obveznost, da v tej vlogi nastopajo tako, da v celoti spoštujejo finančna pravila in načela EU za zaščito njenih finančnih interesov; opozarja, da morajo nevladne organizacije, ki delujejo na ozemlju EU, spoštovati nacionalno pravo, ki se uporablja v vseh državah članicah, ki jih zadeva njihova dejavnost, ter pravo Unije in mednarodno pravo; ponovno poudarja, da sta preglednost in odgovornost EU bistveni za krepitev ugodnega in pravičnega evropskega sistema, ki temelji na demokraciji, temeljnih svoboščinah, vključevanju in raznolikosti;</w:t>
      </w:r>
    </w:p>
    <w:p w:rsidR="007E4F5F" w:rsidRPr="00481EB2" w:rsidRDefault="007E4F5F" w:rsidP="007E4F5F">
      <w:pPr>
        <w:pStyle w:val="NormalHanging12a"/>
        <w:widowControl w:val="0"/>
      </w:pPr>
      <w:r w:rsidRPr="00481EB2">
        <w:t>3.</w:t>
      </w:r>
      <w:r w:rsidRPr="00481EB2">
        <w:tab/>
        <w:t>poudarja, da se nevladne organizacije opirajo na javno finančno podporo in na zasebne donacije, in sicer tako, da se te medsebojno ne izključujejo; opozarja, da je sposobnost poiskati, zagotoviti in porabiti sredstva, ki niso sredstva EU ali javna sredstva na nacionalni ali lokalni ravni, bistvena za obstoj in delovanje nevladnih organizacij;</w:t>
      </w:r>
    </w:p>
    <w:p w:rsidR="007E4F5F" w:rsidRPr="00481EB2" w:rsidRDefault="007E4F5F" w:rsidP="007E4F5F">
      <w:pPr>
        <w:pStyle w:val="NormalHanging12a"/>
        <w:widowControl w:val="0"/>
      </w:pPr>
      <w:r w:rsidRPr="00481EB2">
        <w:t>4.</w:t>
      </w:r>
      <w:r w:rsidRPr="00481EB2">
        <w:tab/>
        <w:t>poudarja, da si organizacije civilne družbe zaslužijo kar največje spoštovanje in hvaležnost za delo, ki ga opravljajo vsak dan; priznava delo, ki ga vsak dan opravljajo civilnodružbene organizacije po vsej Evropi in po svetu, ter potrjuje, da si te nevladne organizacije zaslužijo vso pohvalo in podporo; poudarja pomen zadovoljevanja finančnih in drugih potreb teh organizacij;</w:t>
      </w:r>
    </w:p>
    <w:p w:rsidR="007E4F5F" w:rsidRPr="00481EB2" w:rsidRDefault="007E4F5F" w:rsidP="007E4F5F">
      <w:pPr>
        <w:pStyle w:val="NormalHanging12a"/>
        <w:widowControl w:val="0"/>
      </w:pPr>
      <w:r w:rsidRPr="00481EB2">
        <w:t>5.</w:t>
      </w:r>
      <w:r w:rsidRPr="00481EB2">
        <w:tab/>
        <w:t xml:space="preserve">izreka pohvalo nevladnim organizacijam v državah članicah EU in drugih državah za njihovo ključno vlogo pri obrambi pravne države in demokratičnih vrednot, v boju proti korupciji ter pri spodbujanju človekovih pravic in demokracije; ponovno poudarja, da nevladne organizacije v državah z avtoritarnimi ali nedemokratičnimi režimi pogosto </w:t>
      </w:r>
      <w:r w:rsidRPr="00481EB2">
        <w:lastRenderedPageBreak/>
        <w:t xml:space="preserve">predstavljajo zadnji okop demokracije, ki jo avtoritarni režimi po vsem svetu poskušajo utišati, tudi s sprejeto zakonodajo in </w:t>
      </w:r>
      <w:proofErr w:type="spellStart"/>
      <w:r w:rsidRPr="00481EB2">
        <w:t>diskriminatornimi</w:t>
      </w:r>
      <w:proofErr w:type="spellEnd"/>
      <w:r w:rsidRPr="00481EB2">
        <w:t xml:space="preserve"> obveznostmi, zato potrebujejo podporo in zaščito; poziva Komisijo, naj v zvezi s tem razmisli o zaščitnih klavzulah in mehanizmih; poudarja, da je pomembno zagotoviti ustrezno in pregledno financiranje EU za nevladne organizacije in subjekte, ki delujejo na teh področjih;</w:t>
      </w:r>
    </w:p>
    <w:p w:rsidR="007E4F5F" w:rsidRPr="00481EB2" w:rsidRDefault="007E4F5F" w:rsidP="007E4F5F">
      <w:pPr>
        <w:pStyle w:val="NormalHanging12a"/>
        <w:widowControl w:val="0"/>
      </w:pPr>
      <w:r w:rsidRPr="00481EB2">
        <w:t>6.</w:t>
      </w:r>
      <w:r w:rsidRPr="00481EB2">
        <w:tab/>
        <w:t xml:space="preserve">pozdravlja dejavnosti nevladnih organizacij na konfliktnih območjih pri zagotavljanju, da humanitarna pomoč hitro in učinkovito doseže civilno prebivalstvo in tiste, ki jo potrebujejo; priznava pomen nevladnih organizacij pri zagotavljanju, da EU kot največja </w:t>
      </w:r>
      <w:proofErr w:type="spellStart"/>
      <w:r w:rsidRPr="00481EB2">
        <w:t>donatorka</w:t>
      </w:r>
      <w:proofErr w:type="spellEnd"/>
      <w:r w:rsidRPr="00481EB2">
        <w:t xml:space="preserve"> razvojne pomoči na svetu še naprej prispeva k spodbujanju stabilnosti, premagovanju revščine in spodbujanju svetovnega razvoja;</w:t>
      </w:r>
    </w:p>
    <w:p w:rsidR="007E4F5F" w:rsidRPr="00481EB2" w:rsidRDefault="007E4F5F" w:rsidP="007E4F5F">
      <w:pPr>
        <w:pStyle w:val="NormalHanging12a"/>
        <w:widowControl w:val="0"/>
      </w:pPr>
      <w:r w:rsidRPr="00481EB2">
        <w:t>7.</w:t>
      </w:r>
      <w:r w:rsidRPr="00481EB2">
        <w:tab/>
        <w:t>poudarja, da utegnejo zakonodajni postopki v praksi zanemariti glasove lokalnih, regionalnih in nacionalnih nevladnih organizacij; meni, da imajo majhne nevladne organizacije pogosto težave pri dostopu do sredstev EU zaradi zapletenih upravnih postopkov; poziva Komisijo, naj dodatno poenostavi in racionalizira postopke, da bi manjšim nevladnim organizacijam, tudi na lokalni ravni, omogočila, da zaprosijo za sredstva EU in jih izkoristijo; poudarja, da se prednostne naloge in potrebe manjših nevladnih organizacij pogosto ne upoštevajo ali so deležne manjše pozornosti, čeprav pogosto najbolje poznajo razmere in opravijo ogromno dela; poudarja, da bi bilo treba v največji možni meri spoštovati delo malih organizacij in da bi morale imeti lažji dostop do finančnih sredstev EU, saj so pomemben element, ki krepi raznolikost in raznovrstnost v Evropi in zunaj nje; priznava, da imajo nevladne organizacije v Evropi ključno podporno vlogo pri dopolnjevanju javnih storitev;</w:t>
      </w:r>
    </w:p>
    <w:p w:rsidR="007E4F5F" w:rsidRPr="00481EB2" w:rsidRDefault="007E4F5F" w:rsidP="007E4F5F">
      <w:pPr>
        <w:pStyle w:val="NormalHanging12a"/>
        <w:widowControl w:val="0"/>
      </w:pPr>
      <w:r w:rsidRPr="00481EB2">
        <w:t>8.</w:t>
      </w:r>
      <w:r w:rsidRPr="00481EB2">
        <w:tab/>
        <w:t xml:space="preserve">ostaja zelo zaskrbljen zaradi groženj nevladnim organizacijam in neupravičenih napadov nanje v nekaterih državah članicah, tudi s predlogi in sprejemanjem zakonodaje, ki nevladnim organizacijam nalaga </w:t>
      </w:r>
      <w:proofErr w:type="spellStart"/>
      <w:r w:rsidRPr="00481EB2">
        <w:t>diskriminatorne</w:t>
      </w:r>
      <w:proofErr w:type="spellEnd"/>
      <w:r w:rsidRPr="00481EB2">
        <w:t xml:space="preserve"> obveznosti, ki omejujejo ali prepovedujejo njihove dejavnosti, ter z ustrahovanjem in nadlegovanjem njihovega osebja na spletu in zunaj njega, negativnimi javnimi izjavami in kampanjami blatenja, verbalnimi grožnjami ter pravnimi in fizičnimi napadi; poudarja, da se nekatere nevladne organizacije soočajo tudi s pretiranim upravnim nadzorom ali revizijami, politično motiviranim zmanjšanjem financiranja ter prestrogimi zakonskimi zahtevami za njihovo ustanovitev in registracijo; vztraja, da je treba nevladne organizacije zaščititi ter da bi morale prejemati ustrezno financiranje in podporo;</w:t>
      </w:r>
    </w:p>
    <w:p w:rsidR="007E4F5F" w:rsidRPr="00481EB2" w:rsidRDefault="007E4F5F" w:rsidP="007E4F5F">
      <w:pPr>
        <w:pStyle w:val="NormalHanging12a"/>
        <w:widowControl w:val="0"/>
      </w:pPr>
      <w:r w:rsidRPr="00481EB2">
        <w:t>9.</w:t>
      </w:r>
      <w:r w:rsidRPr="00481EB2">
        <w:tab/>
        <w:t>je prepričan, da sta preglednost in odgovornost bistveni, da lahko nevladne organizacije in drugi pridobitni in nepridobitni subjekti predstavijo svoje dragoceno delo, dobijo priznanje zanj in krepijo svojo verodostojnost; meni, da bi se morale posebne določbe uporabljati za nevladne organizacije, ki delujejo v celoti v skladu z vrednotami in finančnimi pravili EU ter ob polnem spoštovanju Listine EU o temeljnih pravicah, pri čemer delujejo v demokratično prikrajšanih okoljih; meni, da je treba evropskim državljanom zagotoviti, da EU natančno ve, kako se porabljajo vsa sredstva EU; je zato zaskrbljen, ker kljub obstoječim zahtevam glede preglednosti primanjkuje informacij, podatkov in nadzora o tem, kdo oziroma kaj prejema sredstva EU; opozarja, da bi morale biti zahteve glede preglednosti in odgovornosti vedno skladne z mednarodnim pravom in pravom človekovih pravic, zlasti v zvezi z uveljavljanjem državljanskih svoboščin, pri čemer bi morale ostati nujno potrebne in sorazmerne s specifičnimi zastavljenimi cilji;</w:t>
      </w:r>
    </w:p>
    <w:p w:rsidR="007E4F5F" w:rsidRPr="00481EB2" w:rsidRDefault="007E4F5F" w:rsidP="007E4F5F">
      <w:pPr>
        <w:pStyle w:val="NormalHanging12a"/>
        <w:widowControl w:val="0"/>
        <w:rPr>
          <w:snapToGrid/>
        </w:rPr>
      </w:pPr>
      <w:r w:rsidRPr="00481EB2">
        <w:t>10.</w:t>
      </w:r>
      <w:r w:rsidRPr="00481EB2">
        <w:tab/>
        <w:t xml:space="preserve">opozarja, da se preglednost in odgovornost ne bi smela uporabljati za omejevanje </w:t>
      </w:r>
      <w:r w:rsidRPr="00481EB2">
        <w:lastRenderedPageBreak/>
        <w:t>prostora za neodvisno civilno družbo ali za utišanje kritičnih glasov;</w:t>
      </w:r>
    </w:p>
    <w:p w:rsidR="007E4F5F" w:rsidRPr="00481EB2" w:rsidRDefault="007E4F5F" w:rsidP="007E4F5F">
      <w:pPr>
        <w:pStyle w:val="NormalHanging12a"/>
        <w:widowControl w:val="0"/>
      </w:pPr>
      <w:r w:rsidRPr="00481EB2">
        <w:t>11.</w:t>
      </w:r>
      <w:r w:rsidRPr="00481EB2">
        <w:tab/>
        <w:t>poudarja, da je izjemno pomembno zagotoviti, da obveznosti EU glede preglednosti in odgovornosti ne bodo ogrozile končnih upravičencev do sredstev EU; meni, da bi bilo treba v ustrezno utemeljenih primerih, zlasti za nevladne organizacije, ki delujejo v državah, v katerih vladajo avtoritarni režimi, ali s priznanimi težavami glede pravne države, ki negativno vplivajo na nevladne organizacije, in omejenim državljanskim prostorom, kadar bi lahko javno razširjanje informacij o identiteti ali delu teh nevladnih organizacij privedlo do povračilnih ukrepov, kar bi ogrozilo obstoj teh nevladnih organizacij ter varnost njihovega osebja, izjemoma ustrezno uporabljati zahteve glede javne preglednosti;</w:t>
      </w:r>
    </w:p>
    <w:p w:rsidR="007E4F5F" w:rsidRPr="00481EB2" w:rsidRDefault="007E4F5F" w:rsidP="007E4F5F">
      <w:pPr>
        <w:pStyle w:val="NormalHanging12a"/>
        <w:widowControl w:val="0"/>
      </w:pPr>
      <w:r w:rsidRPr="00481EB2">
        <w:t>12.</w:t>
      </w:r>
      <w:r w:rsidRPr="00481EB2">
        <w:tab/>
        <w:t>meni, da je bilo mogoče preprečiti nekatere domnevne primere korupcije, ki so povzročili nezadovoljstvo javnosti, kot na primer Katargate, in sicer z doslednim spoštovanjem obstoječih zahtev po preglednosti in obveznostjo vpletenih subjektov, tudi nevladnih organizacij, da razkrijejo svoje vire financiranja in notranjo strukturo; ugotavlja, da so v nekaterih primerih vpleteni subjekti imeli koristi od financiranja EU;</w:t>
      </w:r>
    </w:p>
    <w:p w:rsidR="007E4F5F" w:rsidRPr="00481EB2" w:rsidRDefault="007E4F5F" w:rsidP="007E4F5F">
      <w:pPr>
        <w:pStyle w:val="NormalHanging12a"/>
        <w:widowControl w:val="0"/>
      </w:pPr>
      <w:r w:rsidRPr="00481EB2">
        <w:t>13.</w:t>
      </w:r>
      <w:r w:rsidRPr="00481EB2">
        <w:tab/>
        <w:t>obsoja povečano izkoriščanje sredstev EU v nasprotju z načeli in vrednotami EU, zlasti kadar uporaba sredstev in prenosi drugim organizacijam niso popolnoma sledljivi; opozarja na nevarnost, da bi se sredstva EU na koncu porabila v koruptivnih krogih ter da bi bila izpostavljena goljufijam in nepravilnostim, tujemu vmešavanju ali infiltraciji; poudarja, kako pomembna je „preglednost končnega upravičenca“ do sredstev proračuna EU;</w:t>
      </w:r>
    </w:p>
    <w:p w:rsidR="007E4F5F" w:rsidRPr="00481EB2" w:rsidRDefault="007E4F5F" w:rsidP="007E4F5F">
      <w:pPr>
        <w:pStyle w:val="NormalHanging12a"/>
        <w:widowControl w:val="0"/>
        <w:rPr>
          <w:b/>
          <w:i/>
        </w:rPr>
      </w:pPr>
      <w:r w:rsidRPr="00481EB2">
        <w:rPr>
          <w:b/>
          <w:i/>
        </w:rPr>
        <w:t>Nevladne organizacije in subjekti v okviru proračunskega nadzora</w:t>
      </w:r>
    </w:p>
    <w:p w:rsidR="007E4F5F" w:rsidRPr="00481EB2" w:rsidRDefault="007E4F5F" w:rsidP="007E4F5F">
      <w:pPr>
        <w:pStyle w:val="NormalHanging12a"/>
        <w:widowControl w:val="0"/>
      </w:pPr>
      <w:r w:rsidRPr="00481EB2">
        <w:t>14.</w:t>
      </w:r>
      <w:r w:rsidRPr="00481EB2">
        <w:tab/>
        <w:t>ponovno poudarja, da sta za nevladne organizacije temeljnega pomena zaupanje in podpora javnosti; priznava, da izrazi, ki se uporabljajo za opis teh organizacij, dopuščajo različne pravne in javne razlage, ki se med državami članicami razlikujejo;</w:t>
      </w:r>
    </w:p>
    <w:p w:rsidR="007E4F5F" w:rsidRPr="00481EB2" w:rsidRDefault="007E4F5F" w:rsidP="007E4F5F">
      <w:pPr>
        <w:pStyle w:val="NormalHanging12a"/>
        <w:widowControl w:val="0"/>
      </w:pPr>
      <w:r w:rsidRPr="00481EB2">
        <w:t>15.</w:t>
      </w:r>
      <w:r w:rsidRPr="00481EB2">
        <w:tab/>
        <w:t xml:space="preserve">poudarja, da je izraz „nevladna organizacija“ širok krovni izraz, ki zajema različne vrste subjektov: od velikih mednarodnih organizacij do majhnih regionalnih ali lokalnih organizacij, od organizacij, ki jih večinoma vodijo zaposleni, do tistih, ki jih večinoma sestavljajo prostovoljci; poudarja, da se lahko tudi vsebina, ki jo obravnavajo nevladne organizacije, in način izvajanja zelo razlikujeta; se zaveda, da je zaradi te raznolikosti težko oblikovati skupno opredelitev nevladnih organizacij v EU; kljub temu poudarja prednosti vzpostavitve usklajenega pristopa po vsej EU, tudi z usklajeno opredelitvijo, katere dodana vrednost je večja preglednost, odgovornost, predvidljivost in zaupanje javnosti; zato spodbuja </w:t>
      </w:r>
      <w:proofErr w:type="spellStart"/>
      <w:r w:rsidRPr="00481EB2">
        <w:t>sozakonodajalca</w:t>
      </w:r>
      <w:proofErr w:type="spellEnd"/>
      <w:r w:rsidRPr="00481EB2">
        <w:t>, naj dosežeta dogovor o usklajenem pristopu do nevladnih organizacij in ustreznih subjektov na ravni EU, kar bi znatno pripomoglo k evropskim postopkom proračunskega nadzora, zlasti v primeru čezmejnih združenj; ponovno poudarja, da je izjemno pomembno zagotoviti preglednost in odgovornost za vse subjekte, ki se jim dodelijo sredstva EU; priznava, da bi bilo koristno uvesti harmoniziran pristop k vprašanju, kaj so ti subjekti v odnosu do EU in njenih organov v različnih okvirih;</w:t>
      </w:r>
    </w:p>
    <w:p w:rsidR="007E4F5F" w:rsidRPr="00481EB2" w:rsidRDefault="007E4F5F" w:rsidP="007E4F5F">
      <w:pPr>
        <w:pStyle w:val="NormalHanging12a"/>
        <w:widowControl w:val="0"/>
      </w:pPr>
      <w:r w:rsidRPr="00481EB2">
        <w:t>16.</w:t>
      </w:r>
      <w:r w:rsidRPr="00481EB2">
        <w:tab/>
        <w:t xml:space="preserve">je seznanjen s predlogom Komisije, naj se v predlog za prenovitev finančne uredbe za leto 2022 vključi skupna opredelitev nevladnih organizacij; opozarja, da je Parlament v svojem mandatu zahteval dodatno jasnost glede opredelitve nevladne organizacije, zlasti glede stopnje formalnega obstoja, preglednosti in odgovornosti članov ali </w:t>
      </w:r>
      <w:r w:rsidRPr="00481EB2">
        <w:lastRenderedPageBreak/>
        <w:t>ustanoviteljev; spodbuja Komisijo, naj opravi poglobljeno posvetovanje o opredelitvi nevladne organizacije, v katerem bodo sodelovali uradniki držav članic in predstavniki nevladnih organizacij, pri čemer naj upošteva tudi metodologijo, ki je bila uporabljena pri opredelitvi pojma „mala in srednja podjetja“ (MSP);</w:t>
      </w:r>
    </w:p>
    <w:p w:rsidR="007E4F5F" w:rsidRPr="00481EB2" w:rsidRDefault="007E4F5F" w:rsidP="007E4F5F">
      <w:pPr>
        <w:pStyle w:val="NormalHanging12a"/>
        <w:widowControl w:val="0"/>
      </w:pPr>
      <w:r w:rsidRPr="00481EB2">
        <w:t>17.</w:t>
      </w:r>
      <w:r w:rsidRPr="00481EB2">
        <w:tab/>
        <w:t>meni, da država in Komisija ne bi smeli 100-odstotno financirati nevladne organizacije, da bi jo obravnavali kot takšno;</w:t>
      </w:r>
    </w:p>
    <w:p w:rsidR="007E4F5F" w:rsidRPr="00481EB2" w:rsidRDefault="00035931" w:rsidP="007E4F5F">
      <w:pPr>
        <w:pStyle w:val="NormalHanging12a"/>
        <w:widowControl w:val="0"/>
      </w:pPr>
      <w:r>
        <w:t>18.</w:t>
      </w:r>
      <w:r>
        <w:tab/>
      </w:r>
      <w:r w:rsidR="007E4F5F" w:rsidRPr="00481EB2">
        <w:t xml:space="preserve">ugotavlja, da Komisija izraza „nevladne organizacije“ in „neprofitne organizacije“ uporablja brez jasnega razlikovanja v sistemu finančne preglednosti; obžaluje, da zaradi tega prihaja do negotovosti pri dodeljevanju in spremljanju sredstev EU in da bi to lahko privedlo do napačnega razumevanja obsega financiranja za nevladne organizacije in subjekte; ugotavlja, da pogosto zastavljena vprašanja v sistemu finančne preglednosti vsebujejo opredelitev nevladnih organizacij, katerih nepridobitni status je bistven element in ga je treba potrditi; obžaluje, da je to nejasno razlikovanje mogoče, saj doslej ni bilo usklajenega pristopa EU k nevladnim organizacijam in je bila za sistem finančne preglednosti uporabljena le </w:t>
      </w:r>
      <w:proofErr w:type="spellStart"/>
      <w:r w:rsidR="007E4F5F" w:rsidRPr="00481EB2">
        <w:t>samorazvrstitev</w:t>
      </w:r>
      <w:proofErr w:type="spellEnd"/>
      <w:r w:rsidR="007E4F5F" w:rsidRPr="00481EB2">
        <w:t xml:space="preserve"> subjektov, ki temelji izključno na pravilih, ki se lahko med državami članicami razlikujejo; nadalje poziva, naj sistem finančne preglednosti zagotovi ustrezno kategorizacijo različnih vrst nevladnih organizacij ali neprofitnih organizacij, da bi se izognili situacijam, v katerih je razlikovanje med nekaterimi vrstami organizacij majhno ali ga sploh ni in v katerih bi se univerze, raziskovalni inštituti, prostovoljne organizacije in druge nevladne organizacije v podatkovni zbirki sistema finančne preglednosti štele za enake;</w:t>
      </w:r>
    </w:p>
    <w:p w:rsidR="007E4F5F" w:rsidRPr="00481EB2" w:rsidRDefault="007E4F5F" w:rsidP="007E4F5F">
      <w:pPr>
        <w:pStyle w:val="NormalHanging12a"/>
        <w:widowControl w:val="0"/>
        <w:rPr>
          <w:b/>
          <w:i/>
        </w:rPr>
      </w:pPr>
      <w:r w:rsidRPr="00481EB2">
        <w:rPr>
          <w:b/>
          <w:i/>
        </w:rPr>
        <w:t>Za večjo preglednost in odgovornost EU v zvezi s sredstvi EU</w:t>
      </w:r>
    </w:p>
    <w:p w:rsidR="007E4F5F" w:rsidRPr="00481EB2" w:rsidRDefault="007E4F5F" w:rsidP="007E4F5F">
      <w:pPr>
        <w:pStyle w:val="NormalHanging12a"/>
        <w:widowControl w:val="0"/>
      </w:pPr>
      <w:r w:rsidRPr="00481EB2">
        <w:t>19.</w:t>
      </w:r>
      <w:r w:rsidRPr="00481EB2">
        <w:tab/>
        <w:t>meni, da je treba goljufije, nasprotja interesov, dvojno financiranje, korupcijo in pranje denarja ali poneverbo preprečiti in obravnavati v vseh primerih in za vse upravičence, ne glede na njihovo naravo in pravni status; je zaskrbljen zaradi nezadostnih podatkov, ki so organu za podelitev razrešnice na voljo o takih primerih; želi spomniti, da za vse prosilce in upravičence do sredstev EU, vključno z nevladnimi organizacijami, veljajo finančna pravila EU;</w:t>
      </w:r>
    </w:p>
    <w:p w:rsidR="007E4F5F" w:rsidRPr="00481EB2" w:rsidRDefault="007E4F5F" w:rsidP="007E4F5F">
      <w:pPr>
        <w:pStyle w:val="NormalHanging12a"/>
        <w:widowControl w:val="0"/>
      </w:pPr>
      <w:r w:rsidRPr="00481EB2">
        <w:t>20.</w:t>
      </w:r>
      <w:r w:rsidRPr="00481EB2">
        <w:tab/>
        <w:t>poudarja, da je sistem za zgodnje odkrivanje in izključitev (EDES) pomemben instrument za zaščito finančnih interesov Unije, saj zagotavlja zaščito na več ravneh z zgodnjim odkrivanjem oseb ali subjektov, ki predstavljajo tveganja, ki ogrožajo finančne interese Unije; pozdravlja predlog Komisije za prenovitev finančne uredbe, ki vključuje razširitev sistema EDES na deljeno upravljanje in dodaja nove razloge za izključitev</w:t>
      </w:r>
      <w:r w:rsidRPr="00481EB2">
        <w:rPr>
          <w:rStyle w:val="FootnoteReference"/>
        </w:rPr>
        <w:footnoteReference w:id="15"/>
      </w:r>
      <w:r w:rsidRPr="00481EB2">
        <w:t>; poziva Komisijo, naj zagotovi, da bo sistem EDES v celoti operativen, da bo na podlagi finančne uredbe omogočil učinkovito izključitev upravičencev, vključno z nevladnimi organizacijami, iz nadaljnjega dostopa do sredstev EU;</w:t>
      </w:r>
    </w:p>
    <w:p w:rsidR="007E4F5F" w:rsidRPr="00481EB2" w:rsidRDefault="007E4F5F" w:rsidP="007E4F5F">
      <w:pPr>
        <w:pStyle w:val="NormalHanging12a"/>
        <w:widowControl w:val="0"/>
      </w:pPr>
      <w:r w:rsidRPr="00481EB2">
        <w:t>21.</w:t>
      </w:r>
      <w:r w:rsidRPr="00481EB2">
        <w:tab/>
        <w:t xml:space="preserve">je zaskrbljen, da so lahko zahteve za preglednost nezadostne, posebno kadar sredstva potujejo vzdolž verige in se uporabljajo za sofinanciranje skupnih projektov z drugimi donatorji; meni, da je problematično, da sistem finančne preglednosti zagotavlja le informacije o nepovratnih sredstvih, ki jih neposredno dodeli Komisija v okviru neposrednega upravljanja, ne vsebuje pa podrobnosti o sredstvih, ki se posredno </w:t>
      </w:r>
      <w:r w:rsidRPr="00481EB2">
        <w:lastRenderedPageBreak/>
        <w:t>prejmejo od upravičencev in partnerjev, ki so v pravnem razmerju s Komisijo;</w:t>
      </w:r>
    </w:p>
    <w:p w:rsidR="007E4F5F" w:rsidRPr="00481EB2" w:rsidRDefault="007E4F5F" w:rsidP="007E4F5F">
      <w:pPr>
        <w:pStyle w:val="NormalHanging12a"/>
        <w:widowControl w:val="0"/>
      </w:pPr>
      <w:r w:rsidRPr="00481EB2">
        <w:t>22.</w:t>
      </w:r>
      <w:r w:rsidRPr="00481EB2">
        <w:tab/>
        <w:t>poudarja, da vse države članice ne zagotavljajo enake ravni informacij o nepovratnih sredstvih in da obstoječa podatkovna zbirka EU ni dovolj dosledna in skladna; poziva Komisijo, naj poveča preglednost in odgovornost v primerih deljenega in posrednega upravljanja s preverjanjem prerazporeditve sredstev in njihove porabe do končnih prejemnikov, v skladu s predlogom za prenovitev finančne uredbe;</w:t>
      </w:r>
    </w:p>
    <w:p w:rsidR="007E4F5F" w:rsidRPr="00481EB2" w:rsidRDefault="007E4F5F" w:rsidP="007E4F5F">
      <w:pPr>
        <w:pStyle w:val="NormalHanging12a"/>
        <w:widowControl w:val="0"/>
      </w:pPr>
      <w:r w:rsidRPr="00481EB2">
        <w:t>23.</w:t>
      </w:r>
      <w:r w:rsidRPr="00481EB2">
        <w:tab/>
        <w:t>poziva Komisijo, naj sorazmerno okrepi mehanizme predhodnega nadzora, vključno z ustreznimi naključnimi pregledi; meni, da pri naknadnem nadzoru porabe sredstev EU obstajajo resne pomanjkljivosti, in poziva Komisijo, naj v sodelovanju z državami članicami pripravi poglobljeno analizo z jasnimi predlogi za okrepitev njihove kakovosti, količine in pravilnosti, pri čemer naj jo podpre uveljavljena in centralizirana projektna skupina za proračunski nadzor znotraj Komisije za vse zastopnike interesov, ki bo imela jasna pooblastila, preiskovalne zmogljivosti in vire;</w:t>
      </w:r>
    </w:p>
    <w:p w:rsidR="007E4F5F" w:rsidRPr="00481EB2" w:rsidRDefault="007E4F5F" w:rsidP="007E4F5F">
      <w:pPr>
        <w:pStyle w:val="NormalHanging12a"/>
        <w:widowControl w:val="0"/>
      </w:pPr>
      <w:r w:rsidRPr="00481EB2">
        <w:t>24.</w:t>
      </w:r>
      <w:r w:rsidRPr="00481EB2">
        <w:tab/>
        <w:t xml:space="preserve">priznava pomen preglednosti vseh vidikov dejavnosti, ki jih financira EU, da se zagotovi odgovorna poraba sredstev; se zaveda pomislekov glede morebitnega tujega vmešavanja v oblikovanje politik EU in da vzpostavljeni sistem akterjem ne more v celoti preprečiti, da bi ustanovili upravičence do sredstev in/ali </w:t>
      </w:r>
      <w:proofErr w:type="spellStart"/>
      <w:r w:rsidRPr="00481EB2">
        <w:t>kooptiranja</w:t>
      </w:r>
      <w:proofErr w:type="spellEnd"/>
      <w:r w:rsidRPr="00481EB2">
        <w:t>, vključno z nevladnimi organizacijami, da bi spodbujali lažne diskurze, tudi z dezinformacijami, kot naj bi se dogajalo v primeru Katargate; meni, da obstoječi pomisleki ne bi smeli voditi v stigmatizacijo vseh nevladnih organizacij, saj večina teh organizacij spoštuje in spodbuja demokratična načela in vrednote EU; poudarja, da se proračun EU ne sme uporabljati za lobiranje proti demokratičnim načelom in vrednotam EU;</w:t>
      </w:r>
    </w:p>
    <w:p w:rsidR="007E4F5F" w:rsidRPr="00481EB2" w:rsidRDefault="007E4F5F" w:rsidP="007E4F5F">
      <w:pPr>
        <w:pStyle w:val="NormalHanging12a"/>
        <w:widowControl w:val="0"/>
      </w:pPr>
      <w:r w:rsidRPr="00481EB2">
        <w:t>25.</w:t>
      </w:r>
      <w:r w:rsidRPr="00481EB2">
        <w:tab/>
        <w:t>poziva Komisijo, naj od upravičencev, vključno z nevladnimi organizacijami, ki prejemajo sredstva EU, zahteva, da objavijo podrobnosti o vseh sredstvih, prejetih iz drugih virov v zvezi s projekti, ki jih je sofinancirala EU, v petletnem obdobju, ob tem pa ohrani načelo zaupnosti, zlasti, v ustrezno utemeljenih primerih, upravičencev, vključno z nevladnimi organizacijami, ki se soočajo z resnimi grožnjami povračilnih ukrepov; poudarja, da je financiranje nevladnih organizacij iz držav zunaj EU lahko legitimen vir financiranja, vendar poudarja, da so brez jasnih pravil o preglednosti v zvezi z načelom zaupnosti takšne možnosti financiranja dovzetne za zlorabe in neprimeren vpliv akterjev iz tretjih držav; poziva institucije EU, naj izboljšajo izvajanje svojih standardov preglednosti, vključno z obveznim poročanjem o dejavnostih lobiranja;</w:t>
      </w:r>
    </w:p>
    <w:p w:rsidR="007E4F5F" w:rsidRPr="00481EB2" w:rsidRDefault="007E4F5F" w:rsidP="007E4F5F">
      <w:pPr>
        <w:pStyle w:val="NormalHanging12a"/>
        <w:widowControl w:val="0"/>
      </w:pPr>
      <w:r w:rsidRPr="00481EB2">
        <w:t>26.</w:t>
      </w:r>
      <w:r w:rsidRPr="00481EB2">
        <w:tab/>
        <w:t>spodbuja države članice, naj sprejmejo nacionalne zakone o lobiranju in registru preglednosti, ki bi morali zahtevati tudi razkritje donatorjev, tudi mednarodnih, in virov financiranja, z enakimi zahtevami glede preglednosti za vse zastopnike interesov, ne glede na njihovo naravo in pravni status;</w:t>
      </w:r>
    </w:p>
    <w:p w:rsidR="007E4F5F" w:rsidRPr="00481EB2" w:rsidRDefault="007E4F5F" w:rsidP="007E4F5F">
      <w:pPr>
        <w:pStyle w:val="NormalHanging12a"/>
        <w:widowControl w:val="0"/>
      </w:pPr>
      <w:r w:rsidRPr="00481EB2">
        <w:t>27.</w:t>
      </w:r>
      <w:r w:rsidRPr="00481EB2">
        <w:tab/>
        <w:t>želi spomniti, da so države članice odgovorne za registracijo, nadzor in poročanje o primerih odkrivanja goljufij, zlorabe sredstev ali pranja denarja, obsodb ali tekočih preiskav; meni, da so nacionalne uprave, ki so bližje terenu, prva učinkovita raven nadzora in spremljanja organizacij, ki delujejo v nasprotju s pravili in vrednotami EU, da bi okrepili prizadevanja za preprečevanje in odkrivanje goljufij in zlorabe sredstev ter boj proti njima;</w:t>
      </w:r>
    </w:p>
    <w:p w:rsidR="007E4F5F" w:rsidRPr="00481EB2" w:rsidRDefault="007E4F5F" w:rsidP="007E4F5F">
      <w:pPr>
        <w:pStyle w:val="NormalHanging12a"/>
        <w:widowControl w:val="0"/>
        <w:rPr>
          <w:snapToGrid/>
        </w:rPr>
      </w:pPr>
      <w:r w:rsidRPr="00481EB2">
        <w:t>28.</w:t>
      </w:r>
      <w:r w:rsidRPr="00481EB2">
        <w:tab/>
        <w:t xml:space="preserve">poziva nacionalne organe, naj okrepijo svoje sisteme preglednosti in odgovornosti, da bi </w:t>
      </w:r>
      <w:r w:rsidRPr="00481EB2">
        <w:lastRenderedPageBreak/>
        <w:t>identificirali vse organizacije ali subjekte, ki delujejo v nasprotju s pravili in vrednotami EU, ter sprejmejo pravne in upravne ukrepe, ki bodo olajšali ukrepanje na ravni EU ter poskrbeli, da bo Komisija zadevne subjekte lažje in hitreje vključila v svoje sisteme; poziva Komisijo, naj v sistem EDES vključi vse zastopnike interesov, ki kršijo pravila in vrednote EU, ter jih v skladu s finančno uredbo, ki se uporablja za proračun EU, ustrezno izključi iz financiranja EU;</w:t>
      </w:r>
    </w:p>
    <w:p w:rsidR="007E4F5F" w:rsidRPr="00481EB2" w:rsidRDefault="007E4F5F" w:rsidP="007E4F5F">
      <w:pPr>
        <w:pStyle w:val="NormalHanging12a"/>
        <w:widowControl w:val="0"/>
      </w:pPr>
      <w:r w:rsidRPr="00481EB2">
        <w:t>29.</w:t>
      </w:r>
      <w:r w:rsidRPr="00481EB2">
        <w:tab/>
        <w:t>meni, da državam članicam ne bi smeli prepustiti možnosti proste presoje, da bi lahko nevladnim organizacijam naložile usodno omejevalne zahteve in obveznosti; opozarja, da je Komisija začela postopek za ugotavljanje kršitev zoper Madžarsko, ko je leta 2017 uvedla zakon o tujem vmešavanju, in da je Sodišče Evropske unije v sodbi z dne 18. junija 2020</w:t>
      </w:r>
      <w:r w:rsidRPr="00481EB2">
        <w:rPr>
          <w:rStyle w:val="FootnoteReference"/>
        </w:rPr>
        <w:footnoteReference w:id="16"/>
      </w:r>
      <w:r w:rsidRPr="00481EB2">
        <w:t xml:space="preserve"> (Evropska komisija/Madžarska) navedlo, da je kršena pravica do svobode združevanja in s tem pravo EU, če sistematične obveznosti organizacij civilne družbe znatno otežujejo ukrepanje in delovanje organizacij, za katere veljajo;</w:t>
      </w:r>
    </w:p>
    <w:p w:rsidR="007E4F5F" w:rsidRPr="00481EB2" w:rsidRDefault="007E4F5F" w:rsidP="007E4F5F">
      <w:pPr>
        <w:pStyle w:val="NormalHanging12a"/>
        <w:widowControl w:val="0"/>
      </w:pPr>
      <w:r w:rsidRPr="00481EB2">
        <w:t>30.</w:t>
      </w:r>
      <w:r w:rsidRPr="00481EB2">
        <w:tab/>
        <w:t>obžaluje objavo podatkov v sistemu finančne preglednosti z zamudo od šest do 18 mesecev in vpliv teh zamud na preglednost; poziva Komisijo, naj informacije o nepovratnih sredstvih EU, dodeljenih nevladnim organizacijam in subjektom, objavi najpozneje šest mesecev po datumu dodelitve, kar velja tudi za sredstva iz drugih virov, ob hkratnem upoštevanju načela zaupnosti v ustrezno upravičenem primeru upravičencev, tudi nevladnih organizacij, ki se spoprijemajo z resnimi grožnjami; poziva Komisijo, naj razvije in uvede orodja za potrjevanje podatkov, tako da bo postopek preverjanja veljavnosti podatkov v sistemu finančne preglednosti samodejen, neprekinjen in hitrejši ter da bo porabljenih manj virov;</w:t>
      </w:r>
    </w:p>
    <w:p w:rsidR="007E4F5F" w:rsidRPr="00481EB2" w:rsidRDefault="007E4F5F" w:rsidP="007E4F5F">
      <w:pPr>
        <w:pStyle w:val="NormalHanging12a"/>
        <w:widowControl w:val="0"/>
      </w:pPr>
      <w:r w:rsidRPr="00481EB2">
        <w:t>31.</w:t>
      </w:r>
      <w:r w:rsidRPr="00481EB2">
        <w:tab/>
        <w:t>obžaluje, da informacijski sistemi Komisije niso uporabniku prijazni in uporabljajo različna pravila za identifikacijo upravičencev do projektov in nepovratnih sredstev, zaradi česar se podatki razlikujejo, posledično pa je težko uskladiti informacije z različnih javno dostopnih portalov in podatkovnih zbirk Komisije; priporoča, naj Komisija določi harmonizirana pravila ter standardizira ureditev in funkcionalnosti podatkovnih zbirk posameznih programov, pri čemer naj upošteva različna okolja in področja ukrepanja nevladnih organizacij ter jim ne nalaga dodatnih nepotrebnih obremenitev;</w:t>
      </w:r>
    </w:p>
    <w:p w:rsidR="007E4F5F" w:rsidRPr="00481EB2" w:rsidRDefault="007E4F5F" w:rsidP="007E4F5F">
      <w:pPr>
        <w:pStyle w:val="NormalHanging12a"/>
        <w:widowControl w:val="0"/>
      </w:pPr>
      <w:r w:rsidRPr="00481EB2">
        <w:t>32.</w:t>
      </w:r>
      <w:r w:rsidRPr="00481EB2">
        <w:tab/>
        <w:t>poziva Komisijo, naj uporablja skupno edinstveno entiteto, kot je edinstvena identifikacijska koda udeleženca, in ključe za identifikacijo projektov v vseh portalih in zbirkah podatkov, tudi na spletnih mestih upravičencev, ob tem pa ohrani načelo zaupnosti, zlasti v ustrezno utemeljenih primerih upravičencev, vključno z nevladnimi organizacijami, ki se srečujejo z resnimi grožnjami povračilnih ukrepov, da bi olajšala usklajevanje javno dostopnih informacij, ki jih zagotavljajo različni sistemi in spletna mesta; poziva jo, naj vsem upravičencem do nepovratnih sredstev, tudi nevladnim organizacijam, priskrbi kodo, s katero bo mogoče iz sistema finančne preglednosti neposredno izvleči podatke o financiranju za obdobje petih let in ki bo vključevala povezave z ustreznimi vnosi projektov v zbirkah podatkov programov Komisije;</w:t>
      </w:r>
    </w:p>
    <w:p w:rsidR="007E4F5F" w:rsidRPr="00481EB2" w:rsidRDefault="007E4F5F" w:rsidP="007E4F5F">
      <w:pPr>
        <w:pStyle w:val="NormalHanging12a"/>
        <w:widowControl w:val="0"/>
      </w:pPr>
      <w:r w:rsidRPr="00481EB2">
        <w:t>33.</w:t>
      </w:r>
      <w:r w:rsidRPr="00481EB2">
        <w:tab/>
        <w:t xml:space="preserve">opaža znatne nedoslednosti pri vsebini in obsegu informacij, prikazanih na spletnih mestih projektov, tudi glede razporejanja sredstev med partnerji in povezave z ustreznimi zbirkami podatkov Komisije; poziva k bolj proaktivnemu pristopu k javni </w:t>
      </w:r>
      <w:r w:rsidRPr="00481EB2">
        <w:lastRenderedPageBreak/>
        <w:t>preglednosti in tesnejšemu sodelovanju s proračunskimi organi EU, ki bo presegal sedanje minimalne zahteve za financiranje z nepovratnimi sredstvi EU; poziva Komisijo, naj okrepi sistem za zavezanost vseh prosilcev, tudi nevladnih organizacij, Listini EU o temeljnih pravicah, ko zaprosijo za sredstva EU; poziva, naj bodo informacije o nepovratnih sredstvih iz EU in drugih virov na spletnih mestih, ki jih financira EU, predstavljene jasneje in bolj sistematično;</w:t>
      </w:r>
    </w:p>
    <w:p w:rsidR="007E4F5F" w:rsidRPr="00481EB2" w:rsidRDefault="007E4F5F" w:rsidP="007E4F5F">
      <w:pPr>
        <w:pStyle w:val="NormalHanging12a"/>
        <w:widowControl w:val="0"/>
      </w:pPr>
      <w:r w:rsidRPr="00481EB2">
        <w:t>34.</w:t>
      </w:r>
      <w:r w:rsidRPr="00481EB2">
        <w:tab/>
        <w:t>poziva, naj se končni lastniki podjetij vpišejo v osrednje registre v državah EU, ki bodo dostopni osebam z „zakonitim interesom“, kot so preiskovalni novinarji, zadevni državljani in nevladne organizacije;</w:t>
      </w:r>
    </w:p>
    <w:p w:rsidR="007E4F5F" w:rsidRPr="00481EB2" w:rsidRDefault="007E4F5F" w:rsidP="007E4F5F">
      <w:pPr>
        <w:pStyle w:val="NormalHanging12a"/>
        <w:widowControl w:val="0"/>
      </w:pPr>
      <w:r w:rsidRPr="00481EB2">
        <w:t>35.</w:t>
      </w:r>
      <w:r w:rsidRPr="00481EB2">
        <w:tab/>
        <w:t xml:space="preserve">ugotavlja, da je treba kljub uvedbi sistema </w:t>
      </w:r>
      <w:proofErr w:type="spellStart"/>
      <w:r w:rsidRPr="00481EB2">
        <w:t>eGrants</w:t>
      </w:r>
      <w:proofErr w:type="spellEnd"/>
      <w:r w:rsidRPr="00481EB2">
        <w:t xml:space="preserve"> kot skupnega orodja za upravljanje nepovratnih sredstev in sistema za registracijo vlagateljev pri vseh službah Komisije, s katero sta se izboljšali kakovost in popolnost podatkov v sistemu finančne preglednosti, za večjo zanesljivost teh podatkov storiti še več; je zaskrbljen, ker obstoječi portali in sistemi Komisije za preglednost še vedno niso dovolj dosledni; nadalje poziva Komisijo, naj okrepi svoje delo v zvezi z racionalizacijo podatkovnih zbirk za uporabniku prijaznejši sistem finančne preglednosti, ki bo povezan z registrom za preglednost in združljiv s posebnimi podatkovnimi zbirkami programov; poudarja, da bi moral vsebovati končna plačila, kar bi omogočilo identifikacijo upravičencev, tudi nevladnih organizacij, po kategorijah, vključno z opredelitvijo nevladnih organizacij in ustreznih subjektov v skladu s finančno uredbo; prosi Komisijo, naj do konca leta 2024 pripravi predlog za nadaljnje upravne ukrepe;</w:t>
      </w:r>
    </w:p>
    <w:p w:rsidR="007E4F5F" w:rsidRPr="00481EB2" w:rsidRDefault="007E4F5F" w:rsidP="007E4F5F">
      <w:pPr>
        <w:pStyle w:val="NormalHanging12a"/>
        <w:widowControl w:val="0"/>
      </w:pPr>
      <w:r w:rsidRPr="00481EB2">
        <w:t>36.</w:t>
      </w:r>
      <w:r w:rsidRPr="00481EB2">
        <w:tab/>
        <w:t>ugotavlja, da se v nekaterih primerih sedež neprofitne organizacije nahaja v eni državi, dejavnosti upravičenca pa potekajo v drugi; poziva neprofitne organizacije, naj sprejmejo ustrezne ukrepe za upoštevanje sredstev in storitev, zagotovljenih na lokacijah, ki niso njihova matična jurisdikcija;</w:t>
      </w:r>
    </w:p>
    <w:p w:rsidR="007E4F5F" w:rsidRPr="00481EB2" w:rsidRDefault="007E4F5F" w:rsidP="007E4F5F">
      <w:pPr>
        <w:pStyle w:val="NormalHanging12a"/>
        <w:widowControl w:val="0"/>
      </w:pPr>
      <w:r w:rsidRPr="00481EB2">
        <w:t>37.</w:t>
      </w:r>
      <w:r w:rsidRPr="00481EB2">
        <w:tab/>
        <w:t xml:space="preserve">pozdravlja predlog Komisije, da se na podlagi člena 36 finančne uredbe vzpostavi centraliziran in </w:t>
      </w:r>
      <w:proofErr w:type="spellStart"/>
      <w:r w:rsidRPr="00481EB2">
        <w:t>interoperabilen</w:t>
      </w:r>
      <w:proofErr w:type="spellEnd"/>
      <w:r w:rsidRPr="00481EB2">
        <w:t xml:space="preserve"> informacijski sistem za podatkovno rudarjenje in ocenjevanje tveganja, da bi izboljšali učinkovitost notranjega nadzora nad izvrševanjem proračuna; poudarja, da ta sistem ne sme vsebovati le podatkov o prejemnikih, temveč tudi podatke o dejanskih lastnikih v skladu z Direktivo (EU) 2015/849</w:t>
      </w:r>
      <w:r w:rsidRPr="00481EB2">
        <w:rPr>
          <w:rStyle w:val="FootnoteReference"/>
        </w:rPr>
        <w:footnoteReference w:id="17"/>
      </w:r>
      <w:r w:rsidRPr="00481EB2">
        <w:t>; poziva, naj ta sistem vključuje kazalnike tveganja na podlagi podatkov iz sistema za zgodnje odkrivanje in izključitev v vseh načinih upravljanja;</w:t>
      </w:r>
    </w:p>
    <w:p w:rsidR="007E4F5F" w:rsidRPr="00481EB2" w:rsidRDefault="007E4F5F" w:rsidP="007E4F5F">
      <w:pPr>
        <w:pStyle w:val="NormalHanging12a"/>
        <w:widowControl w:val="0"/>
      </w:pPr>
      <w:r w:rsidRPr="00481EB2">
        <w:t>38.</w:t>
      </w:r>
      <w:r w:rsidRPr="00481EB2">
        <w:tab/>
        <w:t>obžaluje, da bi lahko soobstoj obveznosti poročanja in računovodske prakse na nacionalni ravni in ravni EU povzročil nesorazmerno upravno breme za upravičence, tudi nevladne organizacije; poziva Komisijo, naj poskrbi za skladnost obveznosti poročanja na ravni EU in nacionalni ravni, da bi olajšala spremljanje izpolnjevanja obveznosti;</w:t>
      </w:r>
    </w:p>
    <w:p w:rsidR="007E4F5F" w:rsidRPr="00481EB2" w:rsidRDefault="007E4F5F" w:rsidP="007E4F5F">
      <w:pPr>
        <w:pStyle w:val="NormalHanging12a"/>
        <w:widowControl w:val="0"/>
      </w:pPr>
      <w:r w:rsidRPr="00481EB2">
        <w:t>39.</w:t>
      </w:r>
      <w:r w:rsidRPr="00481EB2">
        <w:tab/>
        <w:t xml:space="preserve">poudarja pomen preglednosti in identifikacije končnih prejemnikov sredstev EU; poziva Komisijo, naj razvije usklajen sistem spremljanja, s katerim bi zmanjšali birokracijo, </w:t>
      </w:r>
      <w:r w:rsidRPr="00481EB2">
        <w:lastRenderedPageBreak/>
        <w:t>izboljšali učinkovitost in opredelili končne upravičence; priporoča, naj Komisija sistematično, standardizirano in usklajeno spremlja sredstva EU vse do končnih upravičencev na vseh platformah za obveščanje in preglednost na ravni EU; poleg tega poziva k okrepljenemu dialogu med Komisijo in upravičenci do sredstev EU, vključno z nevladnimi organizacijami, o tem, kako zmanjšati pretirane obremenitve;</w:t>
      </w:r>
    </w:p>
    <w:p w:rsidR="007E4F5F" w:rsidRPr="00481EB2" w:rsidRDefault="007E4F5F" w:rsidP="007E4F5F">
      <w:pPr>
        <w:pStyle w:val="NormalHanging12a"/>
        <w:widowControl w:val="0"/>
      </w:pPr>
      <w:r w:rsidRPr="00481EB2">
        <w:t>40.</w:t>
      </w:r>
      <w:r w:rsidRPr="00481EB2">
        <w:tab/>
        <w:t>je zaskrbljen, ker se določbe o prepoznavnosti programov EU ne spoštujejo v celoti; poziva Komisijo, naj svojim službam naroči, naj prekinejo sporazume ali zmanjšajo plačila upravičencem, ki ne spoštujejo svojih pogodbenih obveznosti glede prepoznavnosti;</w:t>
      </w:r>
    </w:p>
    <w:p w:rsidR="007E4F5F" w:rsidRPr="00481EB2" w:rsidRDefault="007E4F5F" w:rsidP="007E4F5F">
      <w:pPr>
        <w:pStyle w:val="NormalHanging12a"/>
        <w:widowControl w:val="0"/>
      </w:pPr>
      <w:r w:rsidRPr="00481EB2">
        <w:t>41.</w:t>
      </w:r>
      <w:r w:rsidRPr="00481EB2">
        <w:tab/>
        <w:t>poziva Komisijo, naj vsem svojim programskim uradnikom in agencijam EU zagotovi usposabljanje o finančni uredbi in proračunu EU; poziva Komisijo, naj vsem upravičencem do sredstev EU, tudi nevladnim organizacijam, zagotovi usposabljanje o poročanju in finančnih pravilih, ter zahteva, da je organ za podelitev razrešnice ustrezno obveščen o teh usposabljanjih, vključno z njihovo vsebino, udeleženci in povezanimi stroški; poziva Komisijo, naj poenostavi postopke za pridobitev nepovratnih sredstev in izbirne postopke ter zagotovi enotnost pristopa in preglednost postopka, zmanjšanje upravnega bremena in redno prilagajanje teh pravil spreminjajočim se okoliščinam in pridobljenim izkušnjam;</w:t>
      </w:r>
    </w:p>
    <w:p w:rsidR="007E4F5F" w:rsidRPr="00481EB2" w:rsidRDefault="007E4F5F" w:rsidP="007E4F5F">
      <w:pPr>
        <w:pStyle w:val="NormalHanging12a"/>
        <w:widowControl w:val="0"/>
      </w:pPr>
      <w:r w:rsidRPr="00481EB2">
        <w:t>42.</w:t>
      </w:r>
      <w:r w:rsidRPr="00481EB2">
        <w:tab/>
        <w:t>je seznanjen z ugotovitvijo Evropskega računskega sodišča iz leta 2018, da dodeljevanje posredovanih nepovratnih sredstev Komisiji ne omogoča ustreznega spremljanja porabe sredstev EU; poziva, naj bodo zneski, ki se zagotovijo nevladnim organizacijam kot tretjim stranem v obliki posredovanih nepovratnih sredstev, jasno prepoznavni v sistemu finančne preglednosti ter letnem finančnem poročilu Komisije in njenem poročilu o odgovornosti;</w:t>
      </w:r>
    </w:p>
    <w:p w:rsidR="007E4F5F" w:rsidRPr="00481EB2" w:rsidRDefault="007E4F5F" w:rsidP="007E4F5F">
      <w:pPr>
        <w:pStyle w:val="NormalHanging12a"/>
        <w:widowControl w:val="0"/>
      </w:pPr>
      <w:r w:rsidRPr="00481EB2">
        <w:t>43.</w:t>
      </w:r>
      <w:r w:rsidRPr="00481EB2">
        <w:tab/>
        <w:t xml:space="preserve">vse institucije EU poziva, naj zagotovijo veliko strožje izvajanje, izvrševanje in spoštovanje določb o registru EU za preglednost; poziva, naj se več sredstev dodeli sekretariatu registra za preglednost, da bo lahko vsem prosilcem in </w:t>
      </w:r>
      <w:proofErr w:type="spellStart"/>
      <w:r w:rsidRPr="00481EB2">
        <w:t>registrirancem</w:t>
      </w:r>
      <w:proofErr w:type="spellEnd"/>
      <w:r w:rsidRPr="00481EB2">
        <w:t>, zlasti malim subjektom in nevladnim organizacijam, nudil podporo v celotnem postopku registracije ter natančneje preverjal informacije, ki jih predložijo; poziva zlasti, naj se v vse sekretariate odborov in ustrezne upravne enote vključi pooblaščenec za preglednost; opozarja, da bi bilo treba v skladu s smernicami o uporabi registra za preglednost spremembe predloženih podatkov sporočiti takoj, ko nastanejo, v vsakem primeru pa v treh mesecih; vztraja, da bi bilo treba v registru za preglednosti zabeležiti tudi vse spremembe v upravi ali vodstvu registriranih subjektov; zahteva, da je podatkovna zbirka za preglednost dostopna samo določenim pooblaščenim osebam in na zahtevo proračunskemu organu, da se prepreči razširjanje informacij, ki bi lahko ogrozile posameznikovo življenje ali osebno varnost ali obstoj nevladne organizacije;</w:t>
      </w:r>
    </w:p>
    <w:p w:rsidR="007E4F5F" w:rsidRPr="00481EB2" w:rsidRDefault="007E4F5F" w:rsidP="007E4F5F">
      <w:pPr>
        <w:pStyle w:val="NormalHanging12a"/>
        <w:widowControl w:val="0"/>
      </w:pPr>
      <w:r w:rsidRPr="00481EB2">
        <w:t>44.</w:t>
      </w:r>
      <w:r w:rsidRPr="00481EB2">
        <w:tab/>
        <w:t>obžaluje, da za različne vrste organizacij v registru za preglednost veljajo različne zahteve glede razkritja; poziva Komisijo, naj za vse vrste organizacij, vpisane v register za preglednost, uvede enake zahteve glede razkritja; opozarja, da je treba od vseh zahtevati zlasti, da razkrijejo svoje prihodke in vse zneske, porabljene za lobiranje</w:t>
      </w:r>
      <w:r w:rsidRPr="00481EB2">
        <w:rPr>
          <w:rStyle w:val="FootnoteReference"/>
        </w:rPr>
        <w:footnoteReference w:id="18"/>
      </w:r>
      <w:r w:rsidRPr="00481EB2">
        <w:t>;</w:t>
      </w:r>
    </w:p>
    <w:p w:rsidR="007E4F5F" w:rsidRPr="00481EB2" w:rsidRDefault="007E4F5F" w:rsidP="007E4F5F">
      <w:pPr>
        <w:pStyle w:val="NormalHanging12a"/>
        <w:widowControl w:val="0"/>
      </w:pPr>
      <w:r w:rsidRPr="00481EB2">
        <w:t>45.</w:t>
      </w:r>
      <w:r w:rsidRPr="00481EB2">
        <w:tab/>
        <w:t>opozarja na priporočila iz svoje resolucije o razrešnici za leto 2021</w:t>
      </w:r>
      <w:r w:rsidRPr="00481EB2">
        <w:rPr>
          <w:rStyle w:val="FootnoteReference"/>
        </w:rPr>
        <w:footnoteReference w:id="19"/>
      </w:r>
      <w:r w:rsidRPr="00481EB2">
        <w:t xml:space="preserve">, v katerih je pozval </w:t>
      </w:r>
      <w:r w:rsidRPr="00481EB2">
        <w:lastRenderedPageBreak/>
        <w:t>k reviziji registra za preglednost EU in z njim povezanih smernic, da bi se od vpisanih organizacij zahtevalo razkritje podrobnosti o vseh virih financiranja, vključno z deleži v drugih podjetjih, ter omogočilo sledenje sredstvom EU od neposrednega prejemnika do končnega upravičenca, kadar potujejo vzdolž verige, tudi kadar se sredstva enega upravičenca, tudi nevladne organizacije, prenesejo na drugega, ob hkratnem upoštevanju načela o zaupnosti v primeru nevladnih organizacij, ki se srečujejo z resnimi grožnjami;</w:t>
      </w:r>
    </w:p>
    <w:p w:rsidR="007E4F5F" w:rsidRPr="00481EB2" w:rsidRDefault="007E4F5F" w:rsidP="007E4F5F">
      <w:pPr>
        <w:pStyle w:val="NormalHanging12a"/>
        <w:widowControl w:val="0"/>
      </w:pPr>
      <w:r w:rsidRPr="00481EB2">
        <w:t>46.</w:t>
      </w:r>
      <w:r w:rsidRPr="00481EB2">
        <w:tab/>
        <w:t xml:space="preserve">poziva vse nevladne organizacije in subjekte, ki so zavezani popolni preglednosti in odgovornosti, Listini EU ter spodbujanju demokratičnih vrednot in vrednot EU, naj ob </w:t>
      </w:r>
      <w:proofErr w:type="spellStart"/>
      <w:r w:rsidRPr="00481EB2">
        <w:t>zaprositvi</w:t>
      </w:r>
      <w:proofErr w:type="spellEnd"/>
      <w:r w:rsidRPr="00481EB2">
        <w:t xml:space="preserve"> za sredstva EU zahtevajo vključitev v register za preglednost;</w:t>
      </w:r>
    </w:p>
    <w:p w:rsidR="007E4F5F" w:rsidRDefault="007E4F5F" w:rsidP="007E4F5F">
      <w:pPr>
        <w:pStyle w:val="NormalHanging12a"/>
        <w:widowControl w:val="0"/>
      </w:pPr>
      <w:r w:rsidRPr="00481EB2">
        <w:t>47.</w:t>
      </w:r>
      <w:r w:rsidRPr="00481EB2">
        <w:tab/>
        <w:t>poziva k strogemu izvrševanju pravil glede dostopa do Parlamenta in vabil v parlamentarne odbore, ki so pogojena z vpisom vsake organizacije v register za preglednost, kar bo opravil novi pooblaščenec za preglednost, zaposlen v sekretariatu vsakega odbora;</w:t>
      </w:r>
    </w:p>
    <w:p w:rsidR="005A0321" w:rsidRPr="00481EB2" w:rsidRDefault="005A0321" w:rsidP="007E4F5F">
      <w:pPr>
        <w:pStyle w:val="NormalHanging12a"/>
        <w:widowControl w:val="0"/>
      </w:pPr>
      <w:r>
        <w:t>48.</w:t>
      </w:r>
      <w:r>
        <w:tab/>
      </w:r>
      <w:r w:rsidRPr="005A0321">
        <w:t>poziva, naj vsi upravičenci, tudi nevladne organizacije, ki jih financira EU, v skladu s podobnimi obveznostmi poslancev Evropskega parlamenta na spletu objavijo vsa srečanja s poslanci Evropskega parlamenta, njihovimi pomočniki ali predstavniki drugih institucij, organov ali agencij EU, kadar ta srečanja zadevajo tekoče zakonodajne dokumente EU ali financiranje EU, ki ga ti upravičenci prejemajo ali zanj prosijo; poziva ustrezne institucije in organe EU, naj zagotovijo potrebna orodja za objavo teh srečanj, hkrati pa dovolijo upravičene izjeme;</w:t>
      </w:r>
    </w:p>
    <w:p w:rsidR="007E4F5F" w:rsidRPr="00481EB2" w:rsidRDefault="005A0321" w:rsidP="007E4F5F">
      <w:pPr>
        <w:pStyle w:val="NormalHanging12a"/>
        <w:widowControl w:val="0"/>
      </w:pPr>
      <w:r w:rsidRPr="00481EB2">
        <w:t>4</w:t>
      </w:r>
      <w:r>
        <w:t>9</w:t>
      </w:r>
      <w:r w:rsidR="007E4F5F" w:rsidRPr="00481EB2">
        <w:t>.</w:t>
      </w:r>
      <w:r w:rsidR="007E4F5F" w:rsidRPr="00481EB2">
        <w:tab/>
        <w:t xml:space="preserve">meni, da je sprejetje uredbe o nevladnih organizacijah </w:t>
      </w:r>
      <w:proofErr w:type="spellStart"/>
      <w:r w:rsidR="007E4F5F" w:rsidRPr="00481EB2">
        <w:t>diskriminatoren</w:t>
      </w:r>
      <w:proofErr w:type="spellEnd"/>
      <w:r w:rsidR="007E4F5F" w:rsidRPr="00481EB2">
        <w:t xml:space="preserve"> ukrep, ki je uperjen proti nevladnim organizacijam, ne pa tudi drugim prejemnikom sredstev EU; meni, da so vprašanja, kot so pojav vrtljivih vrat, preglednost financiranja in donacij, boj proti pranju denarja, omejevanje tujega vmešavanja, neodvisnost od političnega in gospodarskega vpliva ter </w:t>
      </w:r>
      <w:proofErr w:type="spellStart"/>
      <w:r w:rsidR="007E4F5F" w:rsidRPr="00481EB2">
        <w:t>žvižgaštvo</w:t>
      </w:r>
      <w:proofErr w:type="spellEnd"/>
      <w:r w:rsidR="007E4F5F" w:rsidRPr="00481EB2">
        <w:t>, pomembna za vse subjekte, ki prejemajo sredstva EU, in se ne bi smela uporabljati za omejevanje prostora za ukrepanje nevladnih organizacij;</w:t>
      </w:r>
    </w:p>
    <w:p w:rsidR="007E4F5F" w:rsidRPr="00481EB2" w:rsidRDefault="005A0321" w:rsidP="007E4F5F">
      <w:pPr>
        <w:pStyle w:val="NormalHanging12a"/>
        <w:widowControl w:val="0"/>
      </w:pPr>
      <w:r>
        <w:t>50</w:t>
      </w:r>
      <w:r w:rsidR="007E4F5F" w:rsidRPr="00481EB2">
        <w:t>.</w:t>
      </w:r>
      <w:r w:rsidR="007E4F5F" w:rsidRPr="00481EB2">
        <w:tab/>
        <w:t>ponavlja poziv iz resolucije o podelitvi razrešnice Komisiji za leto 2021</w:t>
      </w:r>
      <w:r w:rsidR="007E4F5F" w:rsidRPr="00481EB2">
        <w:rPr>
          <w:rStyle w:val="FootnoteReference"/>
        </w:rPr>
        <w:footnoteReference w:id="20"/>
      </w:r>
      <w:r w:rsidR="007E4F5F" w:rsidRPr="00481EB2">
        <w:t>, naj se zagotovi, da bodo vsi upravičenci do financiranja EU, tudi nevladne organizacije, ki so zlorabili ali poneverili sredstva EU ali sodelovali v dejavnostih, ki so v nasprotju z vrednotami EU iz člena 2 Pogodbe o Evropski uniji in Listine EU, vključno s spodbujanjem terorizma, sovražnim govorom, podpiranjem ali poveličevanjem nasilja, političnim in verskim ekstremizmom ter širjenjem dezinformacij pod krinko namerno ponarejenih znanstvenih podatkov, navedeni v sistemu EDES in naj se jim onemogoči dostop do institucij in programov financiranja EU v okviru neposrednega in deljenega upravljanja; poziva Komisijo in države članice, naj zagotovijo izvajanje in objavo izboljšanega seznama za izključitev, kot je priporočil Parlament in v skladu s sporazumom o finančni uredbi; pričakuje, da bo Komisija o izvajanju tega priporočila poročala v začetku leta 2025;</w:t>
      </w:r>
    </w:p>
    <w:p w:rsidR="007E4F5F" w:rsidRPr="00481EB2" w:rsidRDefault="005A0321" w:rsidP="007E4F5F">
      <w:pPr>
        <w:pStyle w:val="NormalHanging12a"/>
        <w:widowControl w:val="0"/>
      </w:pPr>
      <w:r w:rsidRPr="00481EB2">
        <w:t>5</w:t>
      </w:r>
      <w:r>
        <w:t>1</w:t>
      </w:r>
      <w:r w:rsidR="007E4F5F" w:rsidRPr="00481EB2">
        <w:t>.</w:t>
      </w:r>
      <w:r w:rsidR="007E4F5F" w:rsidRPr="00481EB2">
        <w:tab/>
        <w:t xml:space="preserve">poziva Komisijo in Evropsko računsko sodišče, naj ugotovitve in revizijske sklepe v zvezi s pregledi upravičencev, tudi nevladnih organizacij, na kraju samem, ki temeljijo na oceni tveganja, ter njihove rezultate sistematično predložita Parlamentu kot organu </w:t>
      </w:r>
      <w:r w:rsidR="007E4F5F" w:rsidRPr="00481EB2">
        <w:lastRenderedPageBreak/>
        <w:t>za podelitev razrešnice; spodbuja okrepljeno sodelovanje z Evropskim uradom za boj proti goljufijam (OLAF) in Evropskim računskim sodiščem; poziva Komisijo, naj izboljša zlasti status dostopa za Evropski urad za boj proti goljufijam, da bi lahko v skladu z veljavnimi predpisi pridobil informacije o finančnih kršitvah posameznih upravičencev, jih preiskal ter naložil ustrezne sankcije (npr. Začasna ustavitev plačil prek sistema EDES) v primeru goljufij, korupcije in drugih nepravilnosti v zvezi s sredstvi EU;</w:t>
      </w:r>
    </w:p>
    <w:p w:rsidR="007E4F5F" w:rsidRPr="00481EB2" w:rsidRDefault="005A0321" w:rsidP="007E4F5F">
      <w:pPr>
        <w:pStyle w:val="NormalHanging12a"/>
        <w:widowControl w:val="0"/>
      </w:pPr>
      <w:r w:rsidRPr="00481EB2">
        <w:t>5</w:t>
      </w:r>
      <w:r>
        <w:t>2</w:t>
      </w:r>
      <w:r w:rsidR="007E4F5F" w:rsidRPr="00481EB2">
        <w:t>.</w:t>
      </w:r>
      <w:r w:rsidR="007E4F5F" w:rsidRPr="00481EB2">
        <w:tab/>
        <w:t>opozarja, da so nevladne organizacije podvržene enaki stopnji nadzora in preiskav kot vsi drugi prejemniki sredstev EU, ki pokrivajo vse strani odhodkov, in sicer v okviru mandatov urada OLAF in Evropskega javnega tožilstva;</w:t>
      </w:r>
    </w:p>
    <w:p w:rsidR="007E4F5F" w:rsidRPr="00481EB2" w:rsidRDefault="007E4F5F" w:rsidP="007E4F5F">
      <w:pPr>
        <w:pStyle w:val="NormalHanging12a"/>
        <w:widowControl w:val="0"/>
        <w:jc w:val="center"/>
      </w:pPr>
      <w:r w:rsidRPr="00481EB2">
        <w:t>°</w:t>
      </w:r>
    </w:p>
    <w:p w:rsidR="007E4F5F" w:rsidRPr="00481EB2" w:rsidRDefault="007E4F5F" w:rsidP="007E4F5F">
      <w:pPr>
        <w:pStyle w:val="NormalHanging12a"/>
        <w:widowControl w:val="0"/>
        <w:jc w:val="center"/>
      </w:pPr>
      <w:r w:rsidRPr="00481EB2">
        <w:t>°</w:t>
      </w:r>
      <w:r w:rsidRPr="00481EB2">
        <w:tab/>
        <w:t>°</w:t>
      </w:r>
    </w:p>
    <w:p w:rsidR="00E365E1" w:rsidRPr="00481EB2" w:rsidRDefault="007E4F5F" w:rsidP="00035931">
      <w:pPr>
        <w:pStyle w:val="NormalHanging12a"/>
        <w:widowControl w:val="0"/>
      </w:pPr>
      <w:r w:rsidRPr="00481EB2">
        <w:t>5</w:t>
      </w:r>
      <w:r w:rsidR="005A0321">
        <w:t>3</w:t>
      </w:r>
      <w:r w:rsidRPr="00481EB2">
        <w:t>.</w:t>
      </w:r>
      <w:r w:rsidRPr="00481EB2">
        <w:tab/>
        <w:t>naroči svoji predsednici, naj to resolucijo posreduje Svetu, Komisiji in Evropskemu računskemu sodišču.</w:t>
      </w:r>
    </w:p>
    <w:sectPr w:rsidR="00E365E1" w:rsidRPr="00481EB2" w:rsidSect="00481EB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5F04" w:rsidRPr="00481EB2" w:rsidRDefault="00B75F04">
      <w:r w:rsidRPr="00481EB2">
        <w:separator/>
      </w:r>
    </w:p>
  </w:endnote>
  <w:endnote w:type="continuationSeparator" w:id="0">
    <w:p w:rsidR="00B75F04" w:rsidRPr="00481EB2" w:rsidRDefault="00B75F04">
      <w:r w:rsidRPr="00481E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1EB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1EB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1EB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5F04" w:rsidRPr="00481EB2" w:rsidRDefault="00B75F04">
      <w:r w:rsidRPr="00481EB2">
        <w:separator/>
      </w:r>
    </w:p>
  </w:footnote>
  <w:footnote w:type="continuationSeparator" w:id="0">
    <w:p w:rsidR="00B75F04" w:rsidRPr="00481EB2" w:rsidRDefault="00B75F04">
      <w:r w:rsidRPr="00481EB2">
        <w:continuationSeparator/>
      </w:r>
    </w:p>
  </w:footnote>
  <w:footnote w:id="1">
    <w:p w:rsidR="007E4F5F" w:rsidRPr="00152C1A" w:rsidRDefault="007E4F5F" w:rsidP="00481EB2">
      <w:pPr>
        <w:pStyle w:val="FootnoteText"/>
        <w:ind w:left="567" w:hanging="567"/>
        <w:rPr>
          <w:sz w:val="24"/>
          <w:szCs w:val="24"/>
          <w:u w:val="single" w:color="0000FF"/>
          <w:lang w:val="sl-SI"/>
        </w:rPr>
      </w:pPr>
      <w:bookmarkStart w:id="8" w:name="_GoBack"/>
      <w:r w:rsidRPr="00152C1A">
        <w:rPr>
          <w:rStyle w:val="FootnoteReference"/>
          <w:sz w:val="24"/>
          <w:szCs w:val="24"/>
          <w:lang w:val="sl-SI"/>
        </w:rPr>
        <w:footnoteRef/>
      </w:r>
      <w:r w:rsidR="00481EB2" w:rsidRPr="00152C1A">
        <w:rPr>
          <w:sz w:val="24"/>
          <w:szCs w:val="24"/>
          <w:lang w:val="sl-SI"/>
        </w:rPr>
        <w:t xml:space="preserve"> </w:t>
      </w:r>
      <w:r w:rsidR="00481EB2" w:rsidRPr="00152C1A">
        <w:rPr>
          <w:sz w:val="24"/>
          <w:szCs w:val="24"/>
          <w:lang w:val="sl-SI"/>
        </w:rPr>
        <w:tab/>
      </w:r>
      <w:r w:rsidRPr="00152C1A">
        <w:rPr>
          <w:sz w:val="24"/>
          <w:szCs w:val="24"/>
          <w:lang w:val="sl-SI"/>
        </w:rPr>
        <w:t>UL L 193, 30.7.2018, str. 1.</w:t>
      </w:r>
    </w:p>
  </w:footnote>
  <w:footnote w:id="2">
    <w:p w:rsidR="007E4F5F" w:rsidRPr="00152C1A" w:rsidRDefault="007E4F5F" w:rsidP="00481EB2">
      <w:pPr>
        <w:pStyle w:val="FootnoteText"/>
        <w:ind w:left="567" w:hanging="567"/>
        <w:rPr>
          <w:sz w:val="24"/>
          <w:szCs w:val="24"/>
          <w:u w:val="single" w:color="0000FF"/>
          <w:lang w:val="sl-SI"/>
        </w:rPr>
      </w:pPr>
      <w:r w:rsidRPr="00152C1A">
        <w:rPr>
          <w:rStyle w:val="FootnoteReference"/>
          <w:sz w:val="24"/>
          <w:szCs w:val="24"/>
          <w:lang w:val="sl-SI"/>
        </w:rPr>
        <w:footnoteRef/>
      </w:r>
      <w:r w:rsidR="00481EB2" w:rsidRPr="00152C1A">
        <w:rPr>
          <w:sz w:val="24"/>
          <w:szCs w:val="24"/>
          <w:lang w:val="sl-SI"/>
        </w:rPr>
        <w:t xml:space="preserve"> </w:t>
      </w:r>
      <w:r w:rsidR="00481EB2" w:rsidRPr="00152C1A">
        <w:rPr>
          <w:sz w:val="24"/>
          <w:szCs w:val="24"/>
          <w:lang w:val="sl-SI"/>
        </w:rPr>
        <w:tab/>
      </w:r>
      <w:r w:rsidRPr="00152C1A">
        <w:rPr>
          <w:sz w:val="24"/>
          <w:szCs w:val="24"/>
          <w:lang w:val="sl-SI"/>
        </w:rPr>
        <w:t>UL L 435, 6.12.2021, str. 187.</w:t>
      </w:r>
    </w:p>
  </w:footnote>
  <w:footnote w:id="3">
    <w:p w:rsidR="007E4F5F" w:rsidRPr="00152C1A" w:rsidRDefault="007E4F5F" w:rsidP="00481EB2">
      <w:pPr>
        <w:pStyle w:val="FootnoteText"/>
        <w:ind w:left="567" w:hanging="567"/>
        <w:rPr>
          <w:sz w:val="24"/>
          <w:szCs w:val="24"/>
          <w:u w:val="single" w:color="0000FF"/>
          <w:lang w:val="sl-SI"/>
        </w:rPr>
      </w:pPr>
      <w:r w:rsidRPr="00152C1A">
        <w:rPr>
          <w:rStyle w:val="FootnoteReference"/>
          <w:sz w:val="24"/>
          <w:szCs w:val="24"/>
          <w:lang w:val="sl-SI"/>
        </w:rPr>
        <w:footnoteRef/>
      </w:r>
      <w:r w:rsidR="00481EB2" w:rsidRPr="00152C1A">
        <w:rPr>
          <w:sz w:val="24"/>
          <w:szCs w:val="24"/>
          <w:lang w:val="sl-SI"/>
        </w:rPr>
        <w:t xml:space="preserve"> </w:t>
      </w:r>
      <w:r w:rsidR="00481EB2" w:rsidRPr="00152C1A">
        <w:rPr>
          <w:sz w:val="24"/>
          <w:szCs w:val="24"/>
          <w:lang w:val="sl-SI"/>
        </w:rPr>
        <w:tab/>
      </w:r>
      <w:r w:rsidRPr="00152C1A">
        <w:rPr>
          <w:sz w:val="24"/>
          <w:szCs w:val="24"/>
          <w:lang w:val="sl-SI"/>
        </w:rPr>
        <w:t>UL L 231, 30.6.2021, str.159.</w:t>
      </w:r>
    </w:p>
  </w:footnote>
  <w:footnote w:id="4">
    <w:p w:rsidR="007E4F5F" w:rsidRPr="00152C1A" w:rsidRDefault="007E4F5F" w:rsidP="00481EB2">
      <w:pPr>
        <w:pStyle w:val="FootnoteText"/>
        <w:ind w:left="567" w:hanging="567"/>
        <w:rPr>
          <w:sz w:val="24"/>
          <w:szCs w:val="24"/>
          <w:lang w:val="sl-SI"/>
        </w:rPr>
      </w:pPr>
      <w:r w:rsidRPr="00152C1A">
        <w:rPr>
          <w:rStyle w:val="FootnoteReference"/>
          <w:sz w:val="24"/>
          <w:szCs w:val="24"/>
          <w:lang w:val="sl-SI"/>
        </w:rPr>
        <w:footnoteRef/>
      </w:r>
      <w:r w:rsidR="00481EB2" w:rsidRPr="00152C1A">
        <w:rPr>
          <w:sz w:val="24"/>
          <w:szCs w:val="24"/>
          <w:lang w:val="sl-SI"/>
        </w:rPr>
        <w:t xml:space="preserve"> </w:t>
      </w:r>
      <w:r w:rsidR="00481EB2" w:rsidRPr="00152C1A">
        <w:rPr>
          <w:sz w:val="24"/>
          <w:szCs w:val="24"/>
          <w:lang w:val="sl-SI"/>
        </w:rPr>
        <w:tab/>
      </w:r>
      <w:r w:rsidRPr="00152C1A">
        <w:rPr>
          <w:sz w:val="24"/>
          <w:szCs w:val="24"/>
          <w:lang w:val="sl-SI"/>
        </w:rPr>
        <w:t xml:space="preserve">Študija – </w:t>
      </w:r>
      <w:hyperlink r:id="rId1" w:history="1">
        <w:proofErr w:type="spellStart"/>
        <w:r w:rsidRPr="00152C1A">
          <w:rPr>
            <w:rStyle w:val="Hyperlink"/>
            <w:color w:val="auto"/>
            <w:sz w:val="24"/>
            <w:szCs w:val="24"/>
            <w:lang w:val="sl-SI"/>
          </w:rPr>
          <w:t>Financing</w:t>
        </w:r>
        <w:proofErr w:type="spellEnd"/>
        <w:r w:rsidRPr="00152C1A">
          <w:rPr>
            <w:rStyle w:val="Hyperlink"/>
            <w:color w:val="auto"/>
            <w:sz w:val="24"/>
            <w:szCs w:val="24"/>
            <w:lang w:val="sl-SI"/>
          </w:rPr>
          <w:t xml:space="preserve"> </w:t>
        </w:r>
        <w:proofErr w:type="spellStart"/>
        <w:r w:rsidRPr="00152C1A">
          <w:rPr>
            <w:rStyle w:val="Hyperlink"/>
            <w:color w:val="auto"/>
            <w:sz w:val="24"/>
            <w:szCs w:val="24"/>
            <w:lang w:val="sl-SI"/>
          </w:rPr>
          <w:t>of</w:t>
        </w:r>
        <w:proofErr w:type="spellEnd"/>
        <w:r w:rsidRPr="00152C1A">
          <w:rPr>
            <w:rStyle w:val="Hyperlink"/>
            <w:color w:val="auto"/>
            <w:sz w:val="24"/>
            <w:szCs w:val="24"/>
            <w:lang w:val="sl-SI"/>
          </w:rPr>
          <w:t xml:space="preserve"> Non-</w:t>
        </w:r>
        <w:proofErr w:type="spellStart"/>
        <w:r w:rsidRPr="00152C1A">
          <w:rPr>
            <w:rStyle w:val="Hyperlink"/>
            <w:color w:val="auto"/>
            <w:sz w:val="24"/>
            <w:szCs w:val="24"/>
            <w:lang w:val="sl-SI"/>
          </w:rPr>
          <w:t>governmental</w:t>
        </w:r>
        <w:proofErr w:type="spellEnd"/>
        <w:r w:rsidRPr="00152C1A">
          <w:rPr>
            <w:rStyle w:val="Hyperlink"/>
            <w:color w:val="auto"/>
            <w:sz w:val="24"/>
            <w:szCs w:val="24"/>
            <w:lang w:val="sl-SI"/>
          </w:rPr>
          <w:t xml:space="preserve"> </w:t>
        </w:r>
        <w:proofErr w:type="spellStart"/>
        <w:r w:rsidRPr="00152C1A">
          <w:rPr>
            <w:rStyle w:val="Hyperlink"/>
            <w:color w:val="auto"/>
            <w:sz w:val="24"/>
            <w:szCs w:val="24"/>
            <w:lang w:val="sl-SI"/>
          </w:rPr>
          <w:t>Organisations</w:t>
        </w:r>
        <w:proofErr w:type="spellEnd"/>
        <w:r w:rsidRPr="00152C1A">
          <w:rPr>
            <w:rStyle w:val="Hyperlink"/>
            <w:color w:val="auto"/>
            <w:sz w:val="24"/>
            <w:szCs w:val="24"/>
            <w:lang w:val="sl-SI"/>
          </w:rPr>
          <w:t xml:space="preserve"> (NGO) </w:t>
        </w:r>
        <w:proofErr w:type="spellStart"/>
        <w:r w:rsidRPr="00152C1A">
          <w:rPr>
            <w:rStyle w:val="Hyperlink"/>
            <w:color w:val="auto"/>
            <w:sz w:val="24"/>
            <w:szCs w:val="24"/>
            <w:lang w:val="sl-SI"/>
          </w:rPr>
          <w:t>from</w:t>
        </w:r>
        <w:proofErr w:type="spellEnd"/>
        <w:r w:rsidRPr="00152C1A">
          <w:rPr>
            <w:rStyle w:val="Hyperlink"/>
            <w:color w:val="auto"/>
            <w:sz w:val="24"/>
            <w:szCs w:val="24"/>
            <w:lang w:val="sl-SI"/>
          </w:rPr>
          <w:t xml:space="preserve"> the EU </w:t>
        </w:r>
        <w:proofErr w:type="spellStart"/>
        <w:r w:rsidRPr="00152C1A">
          <w:rPr>
            <w:rStyle w:val="Hyperlink"/>
            <w:color w:val="auto"/>
            <w:sz w:val="24"/>
            <w:szCs w:val="24"/>
            <w:lang w:val="sl-SI"/>
          </w:rPr>
          <w:t>Budget</w:t>
        </w:r>
        <w:proofErr w:type="spellEnd"/>
        <w:r w:rsidRPr="00152C1A">
          <w:rPr>
            <w:rStyle w:val="Hyperlink"/>
            <w:color w:val="auto"/>
            <w:sz w:val="24"/>
            <w:szCs w:val="24"/>
            <w:lang w:val="sl-SI"/>
          </w:rPr>
          <w:t>, (Financiranje nevladnih organizacij (NVO) iz proračuna EU)</w:t>
        </w:r>
      </w:hyperlink>
      <w:r w:rsidRPr="00152C1A">
        <w:rPr>
          <w:sz w:val="24"/>
          <w:szCs w:val="24"/>
          <w:lang w:val="sl-SI"/>
        </w:rPr>
        <w:t>, Evropski parlament, Generalni direktorat za notranjo politiko, tematski sektor D – proračunske zadeve, 25. november 2010.</w:t>
      </w:r>
    </w:p>
  </w:footnote>
  <w:footnote w:id="5">
    <w:p w:rsidR="007E4F5F" w:rsidRPr="00152C1A" w:rsidRDefault="007E4F5F" w:rsidP="00481EB2">
      <w:pPr>
        <w:pStyle w:val="FootnoteText"/>
        <w:ind w:left="567" w:hanging="567"/>
        <w:rPr>
          <w:sz w:val="24"/>
          <w:szCs w:val="24"/>
          <w:lang w:val="sl-SI"/>
        </w:rPr>
      </w:pPr>
      <w:r w:rsidRPr="00152C1A">
        <w:rPr>
          <w:rStyle w:val="FootnoteReference"/>
          <w:sz w:val="24"/>
          <w:szCs w:val="24"/>
          <w:lang w:val="sl-SI"/>
        </w:rPr>
        <w:footnoteRef/>
      </w:r>
      <w:r w:rsidR="00481EB2" w:rsidRPr="00152C1A">
        <w:rPr>
          <w:sz w:val="24"/>
          <w:szCs w:val="24"/>
          <w:lang w:val="sl-SI"/>
        </w:rPr>
        <w:t xml:space="preserve"> </w:t>
      </w:r>
      <w:r w:rsidR="00481EB2" w:rsidRPr="00152C1A">
        <w:rPr>
          <w:sz w:val="24"/>
          <w:szCs w:val="24"/>
          <w:lang w:val="sl-SI"/>
        </w:rPr>
        <w:tab/>
      </w:r>
      <w:r w:rsidRPr="00152C1A">
        <w:rPr>
          <w:sz w:val="24"/>
          <w:szCs w:val="24"/>
          <w:lang w:val="sl-SI"/>
        </w:rPr>
        <w:t xml:space="preserve">Študija – </w:t>
      </w:r>
      <w:hyperlink r:id="rId2" w:history="1">
        <w:proofErr w:type="spellStart"/>
        <w:r w:rsidRPr="00152C1A">
          <w:rPr>
            <w:rStyle w:val="Hyperlink"/>
            <w:color w:val="auto"/>
            <w:sz w:val="24"/>
            <w:szCs w:val="24"/>
            <w:lang w:val="sl-SI"/>
          </w:rPr>
          <w:t>Democratic</w:t>
        </w:r>
        <w:proofErr w:type="spellEnd"/>
        <w:r w:rsidRPr="00152C1A">
          <w:rPr>
            <w:rStyle w:val="Hyperlink"/>
            <w:color w:val="auto"/>
            <w:sz w:val="24"/>
            <w:szCs w:val="24"/>
            <w:lang w:val="sl-SI"/>
          </w:rPr>
          <w:t xml:space="preserve"> </w:t>
        </w:r>
        <w:proofErr w:type="spellStart"/>
        <w:r w:rsidRPr="00152C1A">
          <w:rPr>
            <w:rStyle w:val="Hyperlink"/>
            <w:color w:val="auto"/>
            <w:sz w:val="24"/>
            <w:szCs w:val="24"/>
            <w:lang w:val="sl-SI"/>
          </w:rPr>
          <w:t>accountability</w:t>
        </w:r>
        <w:proofErr w:type="spellEnd"/>
        <w:r w:rsidRPr="00152C1A">
          <w:rPr>
            <w:rStyle w:val="Hyperlink"/>
            <w:color w:val="auto"/>
            <w:sz w:val="24"/>
            <w:szCs w:val="24"/>
            <w:lang w:val="sl-SI"/>
          </w:rPr>
          <w:t xml:space="preserve"> and </w:t>
        </w:r>
        <w:proofErr w:type="spellStart"/>
        <w:r w:rsidRPr="00152C1A">
          <w:rPr>
            <w:rStyle w:val="Hyperlink"/>
            <w:color w:val="auto"/>
            <w:sz w:val="24"/>
            <w:szCs w:val="24"/>
            <w:lang w:val="sl-SI"/>
          </w:rPr>
          <w:t>Budgetary</w:t>
        </w:r>
        <w:proofErr w:type="spellEnd"/>
        <w:r w:rsidRPr="00152C1A">
          <w:rPr>
            <w:rStyle w:val="Hyperlink"/>
            <w:color w:val="auto"/>
            <w:sz w:val="24"/>
            <w:szCs w:val="24"/>
            <w:lang w:val="sl-SI"/>
          </w:rPr>
          <w:t xml:space="preserve"> </w:t>
        </w:r>
        <w:proofErr w:type="spellStart"/>
        <w:r w:rsidRPr="00152C1A">
          <w:rPr>
            <w:rStyle w:val="Hyperlink"/>
            <w:color w:val="auto"/>
            <w:sz w:val="24"/>
            <w:szCs w:val="24"/>
            <w:lang w:val="sl-SI"/>
          </w:rPr>
          <w:t>Control</w:t>
        </w:r>
        <w:proofErr w:type="spellEnd"/>
        <w:r w:rsidRPr="00152C1A">
          <w:rPr>
            <w:rStyle w:val="Hyperlink"/>
            <w:color w:val="auto"/>
            <w:sz w:val="24"/>
            <w:szCs w:val="24"/>
            <w:lang w:val="sl-SI"/>
          </w:rPr>
          <w:t xml:space="preserve"> </w:t>
        </w:r>
        <w:proofErr w:type="spellStart"/>
        <w:r w:rsidRPr="00152C1A">
          <w:rPr>
            <w:rStyle w:val="Hyperlink"/>
            <w:color w:val="auto"/>
            <w:sz w:val="24"/>
            <w:szCs w:val="24"/>
            <w:lang w:val="sl-SI"/>
          </w:rPr>
          <w:t>of</w:t>
        </w:r>
        <w:proofErr w:type="spellEnd"/>
        <w:r w:rsidRPr="00152C1A">
          <w:rPr>
            <w:rStyle w:val="Hyperlink"/>
            <w:color w:val="auto"/>
            <w:sz w:val="24"/>
            <w:szCs w:val="24"/>
            <w:lang w:val="sl-SI"/>
          </w:rPr>
          <w:t xml:space="preserve"> non-</w:t>
        </w:r>
        <w:proofErr w:type="spellStart"/>
        <w:r w:rsidRPr="00152C1A">
          <w:rPr>
            <w:rStyle w:val="Hyperlink"/>
            <w:color w:val="auto"/>
            <w:sz w:val="24"/>
            <w:szCs w:val="24"/>
            <w:lang w:val="sl-SI"/>
          </w:rPr>
          <w:t>governmental</w:t>
        </w:r>
        <w:proofErr w:type="spellEnd"/>
        <w:r w:rsidRPr="00152C1A">
          <w:rPr>
            <w:rStyle w:val="Hyperlink"/>
            <w:color w:val="auto"/>
            <w:sz w:val="24"/>
            <w:szCs w:val="24"/>
            <w:lang w:val="sl-SI"/>
          </w:rPr>
          <w:t xml:space="preserve"> </w:t>
        </w:r>
        <w:proofErr w:type="spellStart"/>
        <w:r w:rsidRPr="00152C1A">
          <w:rPr>
            <w:rStyle w:val="Hyperlink"/>
            <w:color w:val="auto"/>
            <w:sz w:val="24"/>
            <w:szCs w:val="24"/>
            <w:lang w:val="sl-SI"/>
          </w:rPr>
          <w:t>organisations</w:t>
        </w:r>
        <w:proofErr w:type="spellEnd"/>
        <w:r w:rsidRPr="00152C1A">
          <w:rPr>
            <w:rStyle w:val="Hyperlink"/>
            <w:color w:val="auto"/>
            <w:sz w:val="24"/>
            <w:szCs w:val="24"/>
            <w:lang w:val="sl-SI"/>
          </w:rPr>
          <w:t xml:space="preserve"> </w:t>
        </w:r>
        <w:proofErr w:type="spellStart"/>
        <w:r w:rsidRPr="00152C1A">
          <w:rPr>
            <w:rStyle w:val="Hyperlink"/>
            <w:color w:val="auto"/>
            <w:sz w:val="24"/>
            <w:szCs w:val="24"/>
            <w:lang w:val="sl-SI"/>
          </w:rPr>
          <w:t>funded</w:t>
        </w:r>
        <w:proofErr w:type="spellEnd"/>
        <w:r w:rsidRPr="00152C1A">
          <w:rPr>
            <w:rStyle w:val="Hyperlink"/>
            <w:color w:val="auto"/>
            <w:sz w:val="24"/>
            <w:szCs w:val="24"/>
            <w:lang w:val="sl-SI"/>
          </w:rPr>
          <w:t xml:space="preserve"> </w:t>
        </w:r>
        <w:proofErr w:type="spellStart"/>
        <w:r w:rsidRPr="00152C1A">
          <w:rPr>
            <w:rStyle w:val="Hyperlink"/>
            <w:color w:val="auto"/>
            <w:sz w:val="24"/>
            <w:szCs w:val="24"/>
            <w:lang w:val="sl-SI"/>
          </w:rPr>
          <w:t>by</w:t>
        </w:r>
        <w:proofErr w:type="spellEnd"/>
        <w:r w:rsidRPr="00152C1A">
          <w:rPr>
            <w:rStyle w:val="Hyperlink"/>
            <w:color w:val="auto"/>
            <w:sz w:val="24"/>
            <w:szCs w:val="24"/>
            <w:lang w:val="sl-SI"/>
          </w:rPr>
          <w:t xml:space="preserve"> the EU </w:t>
        </w:r>
        <w:proofErr w:type="spellStart"/>
        <w:r w:rsidRPr="00152C1A">
          <w:rPr>
            <w:rStyle w:val="Hyperlink"/>
            <w:color w:val="auto"/>
            <w:sz w:val="24"/>
            <w:szCs w:val="24"/>
            <w:lang w:val="sl-SI"/>
          </w:rPr>
          <w:t>Budget</w:t>
        </w:r>
        <w:proofErr w:type="spellEnd"/>
      </w:hyperlink>
      <w:r w:rsidRPr="00152C1A">
        <w:rPr>
          <w:sz w:val="24"/>
          <w:szCs w:val="24"/>
          <w:lang w:val="sl-SI"/>
        </w:rPr>
        <w:t xml:space="preserve"> (Demokratična odgovornost in proračunski nadzor nevladnih organizacij, ki se financirajo iz proračuna EU), Evropski parlament, Generalni direktorat za notranjo politiko Unije, tematski sektor D – proračunske zadeve, 24. januar 2017.</w:t>
      </w:r>
    </w:p>
  </w:footnote>
  <w:footnote w:id="6">
    <w:p w:rsidR="007E4F5F" w:rsidRPr="00152C1A" w:rsidRDefault="007E4F5F" w:rsidP="00481EB2">
      <w:pPr>
        <w:pStyle w:val="FootnoteText"/>
        <w:ind w:left="567" w:hanging="567"/>
        <w:rPr>
          <w:sz w:val="24"/>
          <w:szCs w:val="24"/>
          <w:lang w:val="sl-SI"/>
        </w:rPr>
      </w:pPr>
      <w:r w:rsidRPr="00152C1A">
        <w:rPr>
          <w:rStyle w:val="FootnoteReference"/>
          <w:sz w:val="24"/>
          <w:szCs w:val="24"/>
          <w:lang w:val="sl-SI"/>
        </w:rPr>
        <w:footnoteRef/>
      </w:r>
      <w:r w:rsidR="00481EB2" w:rsidRPr="00152C1A">
        <w:rPr>
          <w:sz w:val="24"/>
          <w:szCs w:val="24"/>
          <w:lang w:val="sl-SI"/>
        </w:rPr>
        <w:t xml:space="preserve"> </w:t>
      </w:r>
      <w:r w:rsidR="00481EB2" w:rsidRPr="00152C1A">
        <w:rPr>
          <w:sz w:val="24"/>
          <w:szCs w:val="24"/>
          <w:lang w:val="sl-SI"/>
        </w:rPr>
        <w:tab/>
      </w:r>
      <w:r w:rsidRPr="00152C1A">
        <w:rPr>
          <w:sz w:val="24"/>
          <w:szCs w:val="24"/>
          <w:lang w:val="sl-SI"/>
        </w:rPr>
        <w:t xml:space="preserve">Študija – </w:t>
      </w:r>
      <w:hyperlink r:id="rId3" w:history="1">
        <w:proofErr w:type="spellStart"/>
        <w:r w:rsidRPr="00152C1A">
          <w:rPr>
            <w:rStyle w:val="Hyperlink"/>
            <w:color w:val="auto"/>
            <w:sz w:val="24"/>
            <w:szCs w:val="24"/>
            <w:lang w:val="sl-SI"/>
          </w:rPr>
          <w:t>Transparency</w:t>
        </w:r>
        <w:proofErr w:type="spellEnd"/>
        <w:r w:rsidRPr="00152C1A">
          <w:rPr>
            <w:rStyle w:val="Hyperlink"/>
            <w:color w:val="auto"/>
            <w:sz w:val="24"/>
            <w:szCs w:val="24"/>
            <w:lang w:val="sl-SI"/>
          </w:rPr>
          <w:t xml:space="preserve"> and </w:t>
        </w:r>
        <w:proofErr w:type="spellStart"/>
        <w:r w:rsidRPr="00152C1A">
          <w:rPr>
            <w:rStyle w:val="Hyperlink"/>
            <w:color w:val="auto"/>
            <w:sz w:val="24"/>
            <w:szCs w:val="24"/>
            <w:lang w:val="sl-SI"/>
          </w:rPr>
          <w:t>accountability</w:t>
        </w:r>
        <w:proofErr w:type="spellEnd"/>
        <w:r w:rsidRPr="00152C1A">
          <w:rPr>
            <w:rStyle w:val="Hyperlink"/>
            <w:color w:val="auto"/>
            <w:sz w:val="24"/>
            <w:szCs w:val="24"/>
            <w:lang w:val="sl-SI"/>
          </w:rPr>
          <w:t xml:space="preserve"> </w:t>
        </w:r>
        <w:proofErr w:type="spellStart"/>
        <w:r w:rsidRPr="00152C1A">
          <w:rPr>
            <w:rStyle w:val="Hyperlink"/>
            <w:color w:val="auto"/>
            <w:sz w:val="24"/>
            <w:szCs w:val="24"/>
            <w:lang w:val="sl-SI"/>
          </w:rPr>
          <w:t>of</w:t>
        </w:r>
        <w:proofErr w:type="spellEnd"/>
        <w:r w:rsidRPr="00152C1A">
          <w:rPr>
            <w:rStyle w:val="Hyperlink"/>
            <w:color w:val="auto"/>
            <w:sz w:val="24"/>
            <w:szCs w:val="24"/>
            <w:lang w:val="sl-SI"/>
          </w:rPr>
          <w:t xml:space="preserve"> EU </w:t>
        </w:r>
        <w:proofErr w:type="spellStart"/>
        <w:r w:rsidRPr="00152C1A">
          <w:rPr>
            <w:rStyle w:val="Hyperlink"/>
            <w:color w:val="auto"/>
            <w:sz w:val="24"/>
            <w:szCs w:val="24"/>
            <w:lang w:val="sl-SI"/>
          </w:rPr>
          <w:t>funding</w:t>
        </w:r>
        <w:proofErr w:type="spellEnd"/>
        <w:r w:rsidRPr="00152C1A">
          <w:rPr>
            <w:rStyle w:val="Hyperlink"/>
            <w:color w:val="auto"/>
            <w:sz w:val="24"/>
            <w:szCs w:val="24"/>
            <w:lang w:val="sl-SI"/>
          </w:rPr>
          <w:t xml:space="preserve"> </w:t>
        </w:r>
        <w:proofErr w:type="spellStart"/>
        <w:r w:rsidRPr="00152C1A">
          <w:rPr>
            <w:rStyle w:val="Hyperlink"/>
            <w:color w:val="auto"/>
            <w:sz w:val="24"/>
            <w:szCs w:val="24"/>
            <w:lang w:val="sl-SI"/>
          </w:rPr>
          <w:t>for</w:t>
        </w:r>
        <w:proofErr w:type="spellEnd"/>
        <w:r w:rsidRPr="00152C1A">
          <w:rPr>
            <w:rStyle w:val="Hyperlink"/>
            <w:color w:val="auto"/>
            <w:sz w:val="24"/>
            <w:szCs w:val="24"/>
            <w:lang w:val="sl-SI"/>
          </w:rPr>
          <w:t xml:space="preserve"> </w:t>
        </w:r>
        <w:proofErr w:type="spellStart"/>
        <w:r w:rsidRPr="00152C1A">
          <w:rPr>
            <w:rStyle w:val="Hyperlink"/>
            <w:color w:val="auto"/>
            <w:sz w:val="24"/>
            <w:szCs w:val="24"/>
            <w:lang w:val="sl-SI"/>
          </w:rPr>
          <w:t>NGOs</w:t>
        </w:r>
        <w:proofErr w:type="spellEnd"/>
        <w:r w:rsidRPr="00152C1A">
          <w:rPr>
            <w:rStyle w:val="Hyperlink"/>
            <w:color w:val="auto"/>
            <w:sz w:val="24"/>
            <w:szCs w:val="24"/>
            <w:lang w:val="sl-SI"/>
          </w:rPr>
          <w:t xml:space="preserve"> </w:t>
        </w:r>
        <w:proofErr w:type="spellStart"/>
        <w:r w:rsidRPr="00152C1A">
          <w:rPr>
            <w:rStyle w:val="Hyperlink"/>
            <w:color w:val="auto"/>
            <w:sz w:val="24"/>
            <w:szCs w:val="24"/>
            <w:lang w:val="sl-SI"/>
          </w:rPr>
          <w:t>active</w:t>
        </w:r>
        <w:proofErr w:type="spellEnd"/>
        <w:r w:rsidRPr="00152C1A">
          <w:rPr>
            <w:rStyle w:val="Hyperlink"/>
            <w:color w:val="auto"/>
            <w:sz w:val="24"/>
            <w:szCs w:val="24"/>
            <w:lang w:val="sl-SI"/>
          </w:rPr>
          <w:t xml:space="preserve"> in EU </w:t>
        </w:r>
        <w:proofErr w:type="spellStart"/>
        <w:r w:rsidRPr="00152C1A">
          <w:rPr>
            <w:rStyle w:val="Hyperlink"/>
            <w:color w:val="auto"/>
            <w:sz w:val="24"/>
            <w:szCs w:val="24"/>
            <w:lang w:val="sl-SI"/>
          </w:rPr>
          <w:t>policy</w:t>
        </w:r>
        <w:proofErr w:type="spellEnd"/>
        <w:r w:rsidRPr="00152C1A">
          <w:rPr>
            <w:rStyle w:val="Hyperlink"/>
            <w:color w:val="auto"/>
            <w:sz w:val="24"/>
            <w:szCs w:val="24"/>
            <w:lang w:val="sl-SI"/>
          </w:rPr>
          <w:t xml:space="preserve"> </w:t>
        </w:r>
        <w:proofErr w:type="spellStart"/>
        <w:r w:rsidRPr="00152C1A">
          <w:rPr>
            <w:rStyle w:val="Hyperlink"/>
            <w:color w:val="auto"/>
            <w:sz w:val="24"/>
            <w:szCs w:val="24"/>
            <w:lang w:val="sl-SI"/>
          </w:rPr>
          <w:t>areas</w:t>
        </w:r>
        <w:proofErr w:type="spellEnd"/>
        <w:r w:rsidRPr="00152C1A">
          <w:rPr>
            <w:rStyle w:val="Hyperlink"/>
            <w:color w:val="auto"/>
            <w:sz w:val="24"/>
            <w:szCs w:val="24"/>
            <w:lang w:val="sl-SI"/>
          </w:rPr>
          <w:t xml:space="preserve"> </w:t>
        </w:r>
        <w:proofErr w:type="spellStart"/>
        <w:r w:rsidRPr="00152C1A">
          <w:rPr>
            <w:rStyle w:val="Hyperlink"/>
            <w:color w:val="auto"/>
            <w:sz w:val="24"/>
            <w:szCs w:val="24"/>
            <w:lang w:val="sl-SI"/>
          </w:rPr>
          <w:t>within</w:t>
        </w:r>
        <w:proofErr w:type="spellEnd"/>
        <w:r w:rsidRPr="00152C1A">
          <w:rPr>
            <w:rStyle w:val="Hyperlink"/>
            <w:color w:val="auto"/>
            <w:sz w:val="24"/>
            <w:szCs w:val="24"/>
            <w:lang w:val="sl-SI"/>
          </w:rPr>
          <w:t xml:space="preserve"> EU </w:t>
        </w:r>
        <w:proofErr w:type="spellStart"/>
        <w:r w:rsidRPr="00152C1A">
          <w:rPr>
            <w:rStyle w:val="Hyperlink"/>
            <w:color w:val="auto"/>
            <w:sz w:val="24"/>
            <w:szCs w:val="24"/>
            <w:lang w:val="sl-SI"/>
          </w:rPr>
          <w:t>territory</w:t>
        </w:r>
        <w:proofErr w:type="spellEnd"/>
      </w:hyperlink>
      <w:r w:rsidRPr="00152C1A">
        <w:rPr>
          <w:sz w:val="24"/>
          <w:szCs w:val="24"/>
          <w:lang w:val="sl-SI"/>
        </w:rPr>
        <w:t xml:space="preserve"> (Preglednost in odgovornost financiranja EU za nevladne organizacije, dejavne na področjih politike EU na ozemlju EU), Evropski parlament, Generalni direktorat za notranjo politiko Unije, tematski sektor D – proračunske zadeve, 28. september 2023.</w:t>
      </w:r>
    </w:p>
  </w:footnote>
  <w:footnote w:id="7">
    <w:p w:rsidR="007E4F5F" w:rsidRPr="00152C1A" w:rsidRDefault="007E4F5F" w:rsidP="00481EB2">
      <w:pPr>
        <w:pStyle w:val="FootnoteText"/>
        <w:ind w:left="567" w:hanging="567"/>
        <w:rPr>
          <w:sz w:val="24"/>
          <w:szCs w:val="24"/>
          <w:u w:val="single" w:color="0000FF"/>
          <w:lang w:val="sl-SI"/>
        </w:rPr>
      </w:pPr>
      <w:r w:rsidRPr="00152C1A">
        <w:rPr>
          <w:rStyle w:val="FootnoteReference"/>
          <w:sz w:val="24"/>
          <w:szCs w:val="24"/>
          <w:lang w:val="sl-SI"/>
        </w:rPr>
        <w:footnoteRef/>
      </w:r>
      <w:r w:rsidR="00481EB2" w:rsidRPr="00152C1A">
        <w:rPr>
          <w:sz w:val="24"/>
          <w:szCs w:val="24"/>
          <w:lang w:val="sl-SI"/>
        </w:rPr>
        <w:t xml:space="preserve"> </w:t>
      </w:r>
      <w:r w:rsidR="00481EB2" w:rsidRPr="00152C1A">
        <w:rPr>
          <w:sz w:val="24"/>
          <w:szCs w:val="24"/>
          <w:lang w:val="sl-SI"/>
        </w:rPr>
        <w:tab/>
      </w:r>
      <w:r w:rsidRPr="00152C1A">
        <w:rPr>
          <w:sz w:val="24"/>
          <w:szCs w:val="24"/>
          <w:lang w:val="sl-SI"/>
        </w:rPr>
        <w:t>UL C 342, 6.9.2022, str. 225.</w:t>
      </w:r>
    </w:p>
  </w:footnote>
  <w:footnote w:id="8">
    <w:p w:rsidR="007E4F5F" w:rsidRPr="00152C1A" w:rsidRDefault="007E4F5F" w:rsidP="00481EB2">
      <w:pPr>
        <w:pStyle w:val="FootnoteText"/>
        <w:ind w:left="567" w:hanging="567"/>
        <w:rPr>
          <w:sz w:val="24"/>
          <w:szCs w:val="24"/>
          <w:lang w:val="sl-SI"/>
        </w:rPr>
      </w:pPr>
      <w:r w:rsidRPr="00152C1A">
        <w:rPr>
          <w:rStyle w:val="FootnoteReference"/>
          <w:sz w:val="24"/>
          <w:szCs w:val="24"/>
          <w:lang w:val="sl-SI"/>
        </w:rPr>
        <w:footnoteRef/>
      </w:r>
      <w:r w:rsidR="00481EB2" w:rsidRPr="00152C1A">
        <w:rPr>
          <w:sz w:val="24"/>
          <w:szCs w:val="24"/>
          <w:lang w:val="sl-SI"/>
        </w:rPr>
        <w:t xml:space="preserve"> </w:t>
      </w:r>
      <w:r w:rsidR="00481EB2" w:rsidRPr="00152C1A">
        <w:rPr>
          <w:sz w:val="24"/>
          <w:szCs w:val="24"/>
          <w:lang w:val="sl-SI"/>
        </w:rPr>
        <w:tab/>
      </w:r>
      <w:r w:rsidRPr="00152C1A">
        <w:rPr>
          <w:sz w:val="24"/>
          <w:szCs w:val="24"/>
          <w:lang w:val="sl-SI"/>
        </w:rPr>
        <w:t>Sprejeta besedila, P9_TA(2023)0137.</w:t>
      </w:r>
    </w:p>
  </w:footnote>
  <w:footnote w:id="9">
    <w:p w:rsidR="007E4F5F" w:rsidRPr="00152C1A" w:rsidRDefault="007E4F5F" w:rsidP="00481EB2">
      <w:pPr>
        <w:pStyle w:val="FootnoteText"/>
        <w:ind w:left="567" w:hanging="567"/>
        <w:rPr>
          <w:sz w:val="24"/>
          <w:szCs w:val="24"/>
          <w:lang w:val="sl-SI"/>
        </w:rPr>
      </w:pPr>
      <w:r w:rsidRPr="00152C1A">
        <w:rPr>
          <w:rStyle w:val="FootnoteReference"/>
          <w:sz w:val="24"/>
          <w:szCs w:val="24"/>
          <w:lang w:val="sl-SI"/>
        </w:rPr>
        <w:footnoteRef/>
      </w:r>
      <w:r w:rsidR="00481EB2" w:rsidRPr="00152C1A">
        <w:rPr>
          <w:sz w:val="24"/>
          <w:szCs w:val="24"/>
          <w:lang w:val="sl-SI"/>
        </w:rPr>
        <w:t xml:space="preserve"> </w:t>
      </w:r>
      <w:r w:rsidR="00481EB2" w:rsidRPr="00152C1A">
        <w:rPr>
          <w:sz w:val="24"/>
          <w:szCs w:val="24"/>
          <w:lang w:val="sl-SI"/>
        </w:rPr>
        <w:tab/>
      </w:r>
      <w:r w:rsidRPr="00152C1A">
        <w:rPr>
          <w:sz w:val="24"/>
          <w:szCs w:val="24"/>
          <w:lang w:val="sl-SI"/>
        </w:rPr>
        <w:t>Sprejeta besedila, P9_TA(2023)0138.</w:t>
      </w:r>
    </w:p>
  </w:footnote>
  <w:footnote w:id="10">
    <w:p w:rsidR="007E4F5F" w:rsidRPr="00152C1A" w:rsidRDefault="007E4F5F" w:rsidP="00481EB2">
      <w:pPr>
        <w:pStyle w:val="FootnoteText"/>
        <w:ind w:left="567" w:hanging="567"/>
        <w:rPr>
          <w:sz w:val="24"/>
          <w:szCs w:val="24"/>
          <w:lang w:val="sl-SI"/>
        </w:rPr>
      </w:pPr>
      <w:r w:rsidRPr="00152C1A">
        <w:rPr>
          <w:rStyle w:val="FootnoteReference"/>
          <w:sz w:val="24"/>
          <w:szCs w:val="24"/>
          <w:lang w:val="sl-SI"/>
        </w:rPr>
        <w:footnoteRef/>
      </w:r>
      <w:r w:rsidR="00481EB2" w:rsidRPr="00152C1A">
        <w:rPr>
          <w:sz w:val="24"/>
          <w:szCs w:val="24"/>
          <w:lang w:val="sl-SI"/>
        </w:rPr>
        <w:t xml:space="preserve"> </w:t>
      </w:r>
      <w:r w:rsidR="00481EB2" w:rsidRPr="00152C1A">
        <w:rPr>
          <w:sz w:val="24"/>
          <w:szCs w:val="24"/>
          <w:lang w:val="sl-SI"/>
        </w:rPr>
        <w:tab/>
      </w:r>
      <w:r w:rsidRPr="00152C1A">
        <w:rPr>
          <w:sz w:val="24"/>
          <w:szCs w:val="24"/>
          <w:lang w:val="sl-SI"/>
        </w:rPr>
        <w:t>Sprejeta besedila, P9_TA(2023)0292.</w:t>
      </w:r>
    </w:p>
  </w:footnote>
  <w:footnote w:id="11">
    <w:p w:rsidR="007E4F5F" w:rsidRPr="00152C1A" w:rsidRDefault="007E4F5F" w:rsidP="00481EB2">
      <w:pPr>
        <w:pStyle w:val="FootnoteText"/>
        <w:ind w:left="567" w:hanging="567"/>
        <w:rPr>
          <w:sz w:val="24"/>
          <w:szCs w:val="24"/>
          <w:lang w:val="sl-SI"/>
        </w:rPr>
      </w:pPr>
      <w:r w:rsidRPr="00152C1A">
        <w:rPr>
          <w:rStyle w:val="FootnoteReference"/>
          <w:sz w:val="24"/>
          <w:szCs w:val="24"/>
          <w:lang w:val="sl-SI"/>
        </w:rPr>
        <w:footnoteRef/>
      </w:r>
      <w:r w:rsidR="00481EB2" w:rsidRPr="00152C1A">
        <w:rPr>
          <w:sz w:val="24"/>
          <w:szCs w:val="24"/>
          <w:lang w:val="sl-SI"/>
        </w:rPr>
        <w:t xml:space="preserve"> </w:t>
      </w:r>
      <w:r w:rsidR="00481EB2" w:rsidRPr="00152C1A">
        <w:rPr>
          <w:sz w:val="24"/>
          <w:szCs w:val="24"/>
          <w:lang w:val="sl-SI"/>
        </w:rPr>
        <w:tab/>
      </w:r>
      <w:r w:rsidRPr="00152C1A">
        <w:rPr>
          <w:sz w:val="24"/>
          <w:szCs w:val="24"/>
          <w:lang w:val="sl-SI"/>
        </w:rPr>
        <w:t xml:space="preserve">Evropski parlament, </w:t>
      </w:r>
      <w:hyperlink r:id="rId4" w:history="1">
        <w:r w:rsidRPr="00152C1A">
          <w:rPr>
            <w:rStyle w:val="Hyperlink"/>
            <w:color w:val="auto"/>
            <w:sz w:val="24"/>
            <w:szCs w:val="24"/>
            <w:lang w:val="sl-SI"/>
          </w:rPr>
          <w:t>Razrešnica za leto 2021:</w:t>
        </w:r>
      </w:hyperlink>
      <w:hyperlink r:id="rId5" w:history="1">
        <w:r w:rsidRPr="00152C1A">
          <w:rPr>
            <w:rStyle w:val="Hyperlink"/>
            <w:color w:val="auto"/>
            <w:sz w:val="24"/>
            <w:szCs w:val="24"/>
            <w:lang w:val="sl-SI"/>
          </w:rPr>
          <w:t>splošni proračun EU – Komisija in izvajalske agencije</w:t>
        </w:r>
      </w:hyperlink>
      <w:r w:rsidRPr="00152C1A">
        <w:rPr>
          <w:sz w:val="24"/>
          <w:szCs w:val="24"/>
          <w:lang w:val="sl-SI"/>
        </w:rPr>
        <w:t>, 10. maja 2023.</w:t>
      </w:r>
    </w:p>
  </w:footnote>
  <w:footnote w:id="12">
    <w:p w:rsidR="007E4F5F" w:rsidRPr="00152C1A" w:rsidRDefault="007E4F5F" w:rsidP="00481EB2">
      <w:pPr>
        <w:pStyle w:val="FootnoteText"/>
        <w:ind w:left="567" w:hanging="567"/>
        <w:rPr>
          <w:sz w:val="24"/>
          <w:szCs w:val="24"/>
          <w:lang w:val="sl-SI"/>
        </w:rPr>
      </w:pPr>
      <w:r w:rsidRPr="00152C1A">
        <w:rPr>
          <w:rStyle w:val="FootnoteReference"/>
          <w:sz w:val="24"/>
          <w:szCs w:val="24"/>
          <w:lang w:val="sl-SI"/>
        </w:rPr>
        <w:footnoteRef/>
      </w:r>
      <w:r w:rsidR="00481EB2" w:rsidRPr="00152C1A">
        <w:rPr>
          <w:sz w:val="24"/>
          <w:szCs w:val="24"/>
          <w:lang w:val="sl-SI"/>
        </w:rPr>
        <w:t xml:space="preserve"> </w:t>
      </w:r>
      <w:r w:rsidR="00481EB2" w:rsidRPr="00152C1A">
        <w:rPr>
          <w:sz w:val="24"/>
          <w:szCs w:val="24"/>
          <w:lang w:val="sl-SI"/>
        </w:rPr>
        <w:tab/>
      </w:r>
      <w:r w:rsidRPr="00152C1A">
        <w:rPr>
          <w:sz w:val="24"/>
          <w:szCs w:val="24"/>
          <w:lang w:val="sl-SI"/>
        </w:rPr>
        <w:t>Skupno sporočilo Komisije in visokega predstavnika Unije za zunanje zadeve in varnostno politiko z dne 25. marca 2020 o akcijskem načrtu EU za človekove pravice in demokracijo za obdobje 2020–2024 (JOIN(2020)0005).</w:t>
      </w:r>
    </w:p>
  </w:footnote>
  <w:footnote w:id="13">
    <w:p w:rsidR="007E4F5F" w:rsidRPr="00152C1A" w:rsidRDefault="007E4F5F" w:rsidP="00481EB2">
      <w:pPr>
        <w:pStyle w:val="FootnoteText"/>
        <w:ind w:left="567" w:hanging="567"/>
        <w:rPr>
          <w:sz w:val="24"/>
          <w:szCs w:val="24"/>
          <w:lang w:val="sl-SI"/>
        </w:rPr>
      </w:pPr>
      <w:r w:rsidRPr="00152C1A">
        <w:rPr>
          <w:rStyle w:val="FootnoteReference"/>
          <w:sz w:val="24"/>
          <w:szCs w:val="24"/>
          <w:lang w:val="sl-SI"/>
        </w:rPr>
        <w:footnoteRef/>
      </w:r>
      <w:r w:rsidR="00481EB2" w:rsidRPr="00152C1A">
        <w:rPr>
          <w:sz w:val="24"/>
          <w:szCs w:val="24"/>
          <w:lang w:val="sl-SI"/>
        </w:rPr>
        <w:t xml:space="preserve"> </w:t>
      </w:r>
      <w:r w:rsidR="00481EB2" w:rsidRPr="00152C1A">
        <w:rPr>
          <w:sz w:val="24"/>
          <w:szCs w:val="24"/>
          <w:lang w:val="sl-SI"/>
        </w:rPr>
        <w:tab/>
      </w:r>
      <w:r w:rsidRPr="00152C1A">
        <w:rPr>
          <w:sz w:val="24"/>
          <w:szCs w:val="24"/>
          <w:lang w:val="sl-SI"/>
        </w:rPr>
        <w:t>Vir: register za preglednost EU, dostop do podatkov 22. septembra 2023.</w:t>
      </w:r>
    </w:p>
  </w:footnote>
  <w:footnote w:id="14">
    <w:p w:rsidR="007E4F5F" w:rsidRPr="00152C1A" w:rsidRDefault="007E4F5F" w:rsidP="00481EB2">
      <w:pPr>
        <w:pStyle w:val="FootnoteText"/>
        <w:ind w:left="567" w:hanging="567"/>
        <w:rPr>
          <w:sz w:val="24"/>
          <w:szCs w:val="24"/>
          <w:lang w:val="sl-SI"/>
        </w:rPr>
      </w:pPr>
      <w:r w:rsidRPr="00152C1A">
        <w:rPr>
          <w:rStyle w:val="FootnoteReference"/>
          <w:sz w:val="24"/>
          <w:szCs w:val="24"/>
          <w:lang w:val="sl-SI"/>
        </w:rPr>
        <w:footnoteRef/>
      </w:r>
      <w:r w:rsidR="00481EB2" w:rsidRPr="00152C1A">
        <w:rPr>
          <w:sz w:val="24"/>
          <w:szCs w:val="24"/>
          <w:lang w:val="sl-SI"/>
        </w:rPr>
        <w:t xml:space="preserve"> </w:t>
      </w:r>
      <w:r w:rsidR="00481EB2" w:rsidRPr="00152C1A">
        <w:rPr>
          <w:sz w:val="24"/>
          <w:szCs w:val="24"/>
          <w:lang w:val="sl-SI"/>
        </w:rPr>
        <w:tab/>
      </w:r>
      <w:r w:rsidRPr="00152C1A">
        <w:rPr>
          <w:sz w:val="24"/>
          <w:szCs w:val="24"/>
          <w:lang w:val="sl-SI"/>
        </w:rPr>
        <w:t xml:space="preserve">Evropski parlament, </w:t>
      </w:r>
      <w:hyperlink r:id="rId6" w:history="1">
        <w:r w:rsidRPr="00152C1A">
          <w:rPr>
            <w:rStyle w:val="Hyperlink"/>
            <w:color w:val="auto"/>
            <w:sz w:val="24"/>
            <w:szCs w:val="24"/>
            <w:lang w:val="sl-SI"/>
          </w:rPr>
          <w:t>Razrešnica za leto 2021:</w:t>
        </w:r>
      </w:hyperlink>
      <w:hyperlink r:id="rId7" w:history="1">
        <w:r w:rsidRPr="00152C1A">
          <w:rPr>
            <w:rStyle w:val="Hyperlink"/>
            <w:color w:val="auto"/>
            <w:sz w:val="24"/>
            <w:szCs w:val="24"/>
            <w:lang w:val="sl-SI"/>
          </w:rPr>
          <w:t>splošni proračun EU – Komisija in izvajalske agencije</w:t>
        </w:r>
      </w:hyperlink>
      <w:r w:rsidRPr="00152C1A">
        <w:rPr>
          <w:sz w:val="24"/>
          <w:szCs w:val="24"/>
          <w:lang w:val="sl-SI"/>
        </w:rPr>
        <w:t>, 10. maja 2023.</w:t>
      </w:r>
    </w:p>
  </w:footnote>
  <w:footnote w:id="15">
    <w:p w:rsidR="007E4F5F" w:rsidRPr="00152C1A" w:rsidRDefault="007E4F5F" w:rsidP="00481EB2">
      <w:pPr>
        <w:pStyle w:val="FootnoteText"/>
        <w:ind w:left="567" w:hanging="567"/>
        <w:rPr>
          <w:sz w:val="24"/>
          <w:szCs w:val="24"/>
          <w:lang w:val="sl-SI"/>
        </w:rPr>
      </w:pPr>
      <w:r w:rsidRPr="00152C1A">
        <w:rPr>
          <w:rStyle w:val="FootnoteReference"/>
          <w:sz w:val="24"/>
          <w:szCs w:val="24"/>
          <w:lang w:val="sl-SI"/>
        </w:rPr>
        <w:footnoteRef/>
      </w:r>
      <w:r w:rsidR="00481EB2" w:rsidRPr="00152C1A">
        <w:rPr>
          <w:sz w:val="24"/>
          <w:szCs w:val="24"/>
          <w:lang w:val="sl-SI"/>
        </w:rPr>
        <w:t xml:space="preserve"> </w:t>
      </w:r>
      <w:r w:rsidR="00481EB2" w:rsidRPr="00152C1A">
        <w:rPr>
          <w:sz w:val="24"/>
          <w:szCs w:val="24"/>
          <w:lang w:val="sl-SI"/>
        </w:rPr>
        <w:tab/>
      </w:r>
      <w:r w:rsidRPr="00152C1A">
        <w:rPr>
          <w:sz w:val="24"/>
          <w:szCs w:val="24"/>
          <w:lang w:val="sl-SI"/>
        </w:rPr>
        <w:t>Člena 139(1)(i) in 139(1)(c)(iv) predloga Komisije za uredbo Evropskega parlamenta in Sveta o finančnih pravilih, ki se uporabljajo za splošni proračun Unije (prenovitev), z dne 16. maja 2022 (COM(2022)0223).</w:t>
      </w:r>
    </w:p>
  </w:footnote>
  <w:footnote w:id="16">
    <w:p w:rsidR="007E4F5F" w:rsidRPr="00152C1A" w:rsidRDefault="007E4F5F" w:rsidP="00481EB2">
      <w:pPr>
        <w:pStyle w:val="FootnoteText"/>
        <w:ind w:left="567" w:hanging="567"/>
        <w:rPr>
          <w:sz w:val="24"/>
          <w:szCs w:val="24"/>
          <w:lang w:val="sl-SI"/>
        </w:rPr>
      </w:pPr>
      <w:r w:rsidRPr="00152C1A">
        <w:rPr>
          <w:rStyle w:val="FootnoteReference"/>
          <w:sz w:val="24"/>
          <w:szCs w:val="24"/>
          <w:lang w:val="sl-SI"/>
        </w:rPr>
        <w:footnoteRef/>
      </w:r>
      <w:r w:rsidR="00481EB2" w:rsidRPr="00152C1A">
        <w:rPr>
          <w:sz w:val="24"/>
          <w:szCs w:val="24"/>
          <w:lang w:val="sl-SI"/>
        </w:rPr>
        <w:t xml:space="preserve"> </w:t>
      </w:r>
      <w:r w:rsidR="00481EB2" w:rsidRPr="00152C1A">
        <w:rPr>
          <w:sz w:val="24"/>
          <w:szCs w:val="24"/>
          <w:lang w:val="sl-SI"/>
        </w:rPr>
        <w:tab/>
      </w:r>
      <w:r w:rsidRPr="00152C1A">
        <w:rPr>
          <w:sz w:val="24"/>
          <w:szCs w:val="24"/>
          <w:lang w:val="sl-SI"/>
        </w:rPr>
        <w:t>Sodba Sodišča z dne 18. junija 2020, Evropska komisija/Madžarska, zadeva C-78/18, ECLI:EU:C:2020:476.</w:t>
      </w:r>
    </w:p>
  </w:footnote>
  <w:footnote w:id="17">
    <w:p w:rsidR="007E4F5F" w:rsidRPr="00152C1A" w:rsidRDefault="007E4F5F" w:rsidP="00481EB2">
      <w:pPr>
        <w:pStyle w:val="FootnoteText"/>
        <w:ind w:left="567" w:hanging="567"/>
        <w:rPr>
          <w:sz w:val="24"/>
          <w:szCs w:val="24"/>
          <w:lang w:val="sl-SI"/>
        </w:rPr>
      </w:pPr>
      <w:r w:rsidRPr="00152C1A">
        <w:rPr>
          <w:rStyle w:val="FootnoteReference"/>
          <w:sz w:val="24"/>
          <w:szCs w:val="24"/>
          <w:lang w:val="sl-SI"/>
        </w:rPr>
        <w:footnoteRef/>
      </w:r>
      <w:r w:rsidR="00481EB2" w:rsidRPr="00152C1A">
        <w:rPr>
          <w:sz w:val="24"/>
          <w:szCs w:val="24"/>
          <w:lang w:val="sl-SI"/>
        </w:rPr>
        <w:t xml:space="preserve"> </w:t>
      </w:r>
      <w:r w:rsidR="00481EB2" w:rsidRPr="00152C1A">
        <w:rPr>
          <w:sz w:val="24"/>
          <w:szCs w:val="24"/>
          <w:lang w:val="sl-SI"/>
        </w:rPr>
        <w:tab/>
      </w:r>
      <w:r w:rsidRPr="00152C1A">
        <w:rPr>
          <w:sz w:val="24"/>
          <w:szCs w:val="24"/>
          <w:lang w:val="sl-SI"/>
        </w:rPr>
        <w:t xml:space="preserve">Direktiva (EU) 2015/849 Evropskega parlamenta in Sveta z dne 20. maja 2015 o preprečevanju uporabe finančnega sistema za pranje denarja ali financiranje terorizma, spremembi Uredbe (EU) št. 648/2012 Evropskega parlamenta in Sveta ter razveljavitvi Direktive 2005/60/ES Evropskega parlamenta in Sveta in Direktive Komisije 2006/70/ES </w:t>
      </w:r>
      <w:r w:rsidR="00035931" w:rsidRPr="00152C1A">
        <w:rPr>
          <w:sz w:val="24"/>
          <w:szCs w:val="24"/>
          <w:lang w:val="sl-SI"/>
        </w:rPr>
        <w:t>(</w:t>
      </w:r>
      <w:r w:rsidRPr="00152C1A">
        <w:rPr>
          <w:sz w:val="24"/>
          <w:szCs w:val="24"/>
          <w:lang w:val="sl-SI"/>
        </w:rPr>
        <w:t>UL L 141, 5.6.2015, str. 73</w:t>
      </w:r>
      <w:r w:rsidR="00035931" w:rsidRPr="00152C1A">
        <w:rPr>
          <w:sz w:val="24"/>
          <w:szCs w:val="24"/>
          <w:lang w:val="sl-SI"/>
        </w:rPr>
        <w:t>)</w:t>
      </w:r>
      <w:r w:rsidRPr="00152C1A">
        <w:rPr>
          <w:sz w:val="24"/>
          <w:szCs w:val="24"/>
          <w:lang w:val="sl-SI"/>
        </w:rPr>
        <w:t>.</w:t>
      </w:r>
    </w:p>
  </w:footnote>
  <w:footnote w:id="18">
    <w:p w:rsidR="007E4F5F" w:rsidRPr="00152C1A" w:rsidRDefault="007E4F5F" w:rsidP="00481EB2">
      <w:pPr>
        <w:pStyle w:val="FootnoteText"/>
        <w:ind w:left="567" w:hanging="567"/>
        <w:rPr>
          <w:sz w:val="24"/>
          <w:szCs w:val="24"/>
          <w:lang w:val="sl-SI"/>
        </w:rPr>
      </w:pPr>
      <w:r w:rsidRPr="00152C1A">
        <w:rPr>
          <w:rStyle w:val="FootnoteReference"/>
          <w:sz w:val="24"/>
          <w:szCs w:val="24"/>
          <w:lang w:val="sl-SI"/>
        </w:rPr>
        <w:footnoteRef/>
      </w:r>
      <w:r w:rsidR="00481EB2" w:rsidRPr="00152C1A">
        <w:rPr>
          <w:sz w:val="24"/>
          <w:szCs w:val="24"/>
          <w:lang w:val="sl-SI"/>
        </w:rPr>
        <w:t xml:space="preserve"> </w:t>
      </w:r>
      <w:r w:rsidR="00481EB2" w:rsidRPr="00152C1A">
        <w:rPr>
          <w:sz w:val="24"/>
          <w:szCs w:val="24"/>
          <w:lang w:val="sl-SI"/>
        </w:rPr>
        <w:tab/>
      </w:r>
      <w:r w:rsidRPr="00152C1A">
        <w:rPr>
          <w:sz w:val="24"/>
          <w:szCs w:val="24"/>
          <w:lang w:val="sl-SI"/>
        </w:rPr>
        <w:t>Glej: študija o preglednosti in odgovornosti, priporočilo št. 24.3.</w:t>
      </w:r>
    </w:p>
  </w:footnote>
  <w:footnote w:id="19">
    <w:p w:rsidR="007E4F5F" w:rsidRPr="00152C1A" w:rsidRDefault="007E4F5F" w:rsidP="00481EB2">
      <w:pPr>
        <w:pStyle w:val="FootnoteText"/>
        <w:ind w:left="567" w:hanging="567"/>
        <w:rPr>
          <w:sz w:val="24"/>
          <w:szCs w:val="24"/>
          <w:lang w:val="sl-SI"/>
        </w:rPr>
      </w:pPr>
      <w:r w:rsidRPr="00152C1A">
        <w:rPr>
          <w:rStyle w:val="FootnoteReference"/>
          <w:sz w:val="24"/>
          <w:szCs w:val="24"/>
          <w:lang w:val="sl-SI"/>
        </w:rPr>
        <w:footnoteRef/>
      </w:r>
      <w:r w:rsidR="00481EB2" w:rsidRPr="00152C1A">
        <w:rPr>
          <w:sz w:val="24"/>
          <w:szCs w:val="24"/>
          <w:lang w:val="sl-SI"/>
        </w:rPr>
        <w:t xml:space="preserve"> </w:t>
      </w:r>
      <w:r w:rsidR="00481EB2" w:rsidRPr="00152C1A">
        <w:rPr>
          <w:sz w:val="24"/>
          <w:szCs w:val="24"/>
          <w:lang w:val="sl-SI"/>
        </w:rPr>
        <w:tab/>
      </w:r>
      <w:r w:rsidRPr="00152C1A">
        <w:rPr>
          <w:sz w:val="24"/>
          <w:szCs w:val="24"/>
          <w:lang w:val="sl-SI"/>
        </w:rPr>
        <w:t xml:space="preserve">Sprejeta besedila, </w:t>
      </w:r>
      <w:r w:rsidR="00035931" w:rsidRPr="00152C1A">
        <w:rPr>
          <w:sz w:val="24"/>
          <w:szCs w:val="24"/>
        </w:rPr>
        <w:t>P9_TA(2023)0138</w:t>
      </w:r>
      <w:r w:rsidRPr="00152C1A">
        <w:rPr>
          <w:sz w:val="24"/>
          <w:szCs w:val="24"/>
          <w:lang w:val="sl-SI"/>
        </w:rPr>
        <w:t>, odstavek 74.</w:t>
      </w:r>
    </w:p>
  </w:footnote>
  <w:footnote w:id="20">
    <w:p w:rsidR="007E4F5F" w:rsidRPr="00152C1A" w:rsidRDefault="007E4F5F" w:rsidP="00481EB2">
      <w:pPr>
        <w:pStyle w:val="FootnoteText"/>
        <w:ind w:left="567" w:hanging="567"/>
        <w:rPr>
          <w:sz w:val="24"/>
          <w:szCs w:val="24"/>
          <w:lang w:val="sl-SI"/>
        </w:rPr>
      </w:pPr>
      <w:r w:rsidRPr="00152C1A">
        <w:rPr>
          <w:rStyle w:val="FootnoteReference"/>
          <w:sz w:val="24"/>
          <w:szCs w:val="24"/>
          <w:lang w:val="sl-SI"/>
        </w:rPr>
        <w:footnoteRef/>
      </w:r>
      <w:r w:rsidR="00481EB2" w:rsidRPr="00152C1A">
        <w:rPr>
          <w:sz w:val="24"/>
          <w:szCs w:val="24"/>
          <w:lang w:val="sl-SI"/>
        </w:rPr>
        <w:t xml:space="preserve"> </w:t>
      </w:r>
      <w:r w:rsidR="00481EB2" w:rsidRPr="00152C1A">
        <w:rPr>
          <w:sz w:val="24"/>
          <w:szCs w:val="24"/>
          <w:lang w:val="sl-SI"/>
        </w:rPr>
        <w:tab/>
      </w:r>
      <w:r w:rsidRPr="00152C1A">
        <w:rPr>
          <w:sz w:val="24"/>
          <w:szCs w:val="24"/>
          <w:lang w:val="sl-SI"/>
        </w:rPr>
        <w:t>Sprejeta besedila, P9_TA(2023)0137.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1EB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1EB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1EB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6/2023"/>
    <w:docVar w:name="dvlangue" w:val="SL"/>
    <w:docVar w:name="dvnumam" w:val="0"/>
    <w:docVar w:name="dvpe" w:val="751.681"/>
    <w:docVar w:name="dvrapporteur" w:val="Poročevalec: "/>
    <w:docVar w:name="dvtitre" w:val="Resolucija Evropskega parlamenta z dne … 2024 o preglednosti in odgovornosti nevladnih organizacij, ki se financirajo iz proračuna EU(2023/2122(INI))"/>
  </w:docVars>
  <w:rsids>
    <w:rsidRoot w:val="00B75F04"/>
    <w:rsid w:val="00002272"/>
    <w:rsid w:val="00035931"/>
    <w:rsid w:val="00064002"/>
    <w:rsid w:val="000677B9"/>
    <w:rsid w:val="000831BA"/>
    <w:rsid w:val="000A42CC"/>
    <w:rsid w:val="000E7DD9"/>
    <w:rsid w:val="0010095E"/>
    <w:rsid w:val="00125B37"/>
    <w:rsid w:val="00152C1A"/>
    <w:rsid w:val="00187494"/>
    <w:rsid w:val="001F32AE"/>
    <w:rsid w:val="002767FF"/>
    <w:rsid w:val="002B18FE"/>
    <w:rsid w:val="002B5493"/>
    <w:rsid w:val="00343214"/>
    <w:rsid w:val="00361C00"/>
    <w:rsid w:val="00395FA1"/>
    <w:rsid w:val="003E15D4"/>
    <w:rsid w:val="00411CCE"/>
    <w:rsid w:val="0041666E"/>
    <w:rsid w:val="00421060"/>
    <w:rsid w:val="00471C19"/>
    <w:rsid w:val="00481EB2"/>
    <w:rsid w:val="004867E3"/>
    <w:rsid w:val="00494A28"/>
    <w:rsid w:val="004C0004"/>
    <w:rsid w:val="004C5D52"/>
    <w:rsid w:val="0050519A"/>
    <w:rsid w:val="005072A1"/>
    <w:rsid w:val="00514517"/>
    <w:rsid w:val="00545827"/>
    <w:rsid w:val="00560270"/>
    <w:rsid w:val="005A0321"/>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E4F5F"/>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5F0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2EDE3ED-62F4-4682-A127-1AAFA295C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Diplomarbeit FZ),(Diplomarbeit FZ)1,(Diplomarbeit FZ)2,(Diplomarbeit FZ)3,(Diplomarbeit FZ)4,(Ref. de nota al pie),-E Fußnotenzeichen,16 Point,Footnote Reference Superscript,SUPERS,Superscript 6 Point,fr,ftref,number"/>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E4F5F"/>
    <w:pPr>
      <w:spacing w:before="480" w:after="240"/>
    </w:pPr>
    <w:rPr>
      <w:snapToGrid w:val="0"/>
      <w:lang w:eastAsia="en-US"/>
    </w:rPr>
  </w:style>
  <w:style w:type="paragraph" w:customStyle="1" w:styleId="NormalHanging12a">
    <w:name w:val="NormalHanging12a"/>
    <w:basedOn w:val="Normal"/>
    <w:link w:val="NormalHanging12aChar"/>
    <w:rsid w:val="007E4F5F"/>
    <w:pPr>
      <w:widowControl/>
      <w:spacing w:after="240"/>
      <w:ind w:left="567" w:hanging="567"/>
    </w:pPr>
    <w:rPr>
      <w:snapToGrid w:val="0"/>
      <w:lang w:eastAsia="en-US"/>
    </w:rPr>
  </w:style>
  <w:style w:type="character" w:customStyle="1" w:styleId="BoldItalic">
    <w:name w:val="BoldItalic"/>
    <w:uiPriority w:val="1"/>
    <w:rsid w:val="007E4F5F"/>
    <w:rPr>
      <w:b/>
      <w:i/>
      <w:u w:val="none"/>
    </w:rPr>
  </w:style>
  <w:style w:type="character" w:customStyle="1" w:styleId="Italic">
    <w:name w:val="Italic"/>
    <w:uiPriority w:val="1"/>
    <w:rsid w:val="007E4F5F"/>
    <w:rPr>
      <w:i/>
    </w:rPr>
  </w:style>
  <w:style w:type="character" w:styleId="Hyperlink">
    <w:name w:val="Hyperlink"/>
    <w:basedOn w:val="DefaultParagraphFont"/>
    <w:unhideWhenUsed/>
    <w:rsid w:val="007E4F5F"/>
    <w:rPr>
      <w:color w:val="0000FF"/>
      <w:u w:val="single"/>
    </w:rPr>
  </w:style>
  <w:style w:type="character" w:customStyle="1" w:styleId="NormalHanging12aChar">
    <w:name w:val="NormalHanging12a Char"/>
    <w:basedOn w:val="DefaultParagraphFont"/>
    <w:link w:val="NormalHanging12a"/>
    <w:rsid w:val="007E4F5F"/>
    <w:rPr>
      <w:snapToGrid w:val="0"/>
      <w:sz w:val="24"/>
      <w:lang w:val="sl-SI" w:eastAsia="en-US"/>
    </w:rPr>
  </w:style>
  <w:style w:type="paragraph" w:styleId="BalloonText">
    <w:name w:val="Balloon Text"/>
    <w:basedOn w:val="Normal"/>
    <w:link w:val="BalloonTextChar"/>
    <w:rsid w:val="00035931"/>
    <w:rPr>
      <w:rFonts w:ascii="Segoe UI" w:hAnsi="Segoe UI" w:cs="Segoe UI"/>
      <w:sz w:val="18"/>
      <w:szCs w:val="18"/>
    </w:rPr>
  </w:style>
  <w:style w:type="character" w:customStyle="1" w:styleId="BalloonTextChar">
    <w:name w:val="Balloon Text Char"/>
    <w:basedOn w:val="DefaultParagraphFont"/>
    <w:link w:val="BalloonText"/>
    <w:rsid w:val="00035931"/>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op.europa.eu/sl/publication-detail/-/publication/8131cd3b-6e44-11ee-9220-01aa75ed71a1" TargetMode="External"/><Relationship Id="rId7" Type="http://schemas.openxmlformats.org/officeDocument/2006/relationships/hyperlink" Target="https://www.europarl.europa.eu/doceo/document/TA-9-2023-0137_SL.html" TargetMode="External"/><Relationship Id="rId2" Type="http://schemas.openxmlformats.org/officeDocument/2006/relationships/hyperlink" Target="https://op.europa.eu/sl/publication-detail/-/publication/b8d16d40-282e-11e9-8d04-01aa75ed71a1/language-en/format-PDF/source-search" TargetMode="External"/><Relationship Id="rId1" Type="http://schemas.openxmlformats.org/officeDocument/2006/relationships/hyperlink" Target="https://op.europa.eu/sl/publication-detail/-/publication/ae43c18c-2b71-4aab-9cc8-7e1d1534487b" TargetMode="External"/><Relationship Id="rId6" Type="http://schemas.openxmlformats.org/officeDocument/2006/relationships/hyperlink" Target="https://www.europarl.europa.eu/doceo/document/TA-9-2023-0137_SL.html" TargetMode="External"/><Relationship Id="rId5" Type="http://schemas.openxmlformats.org/officeDocument/2006/relationships/hyperlink" Target="https://www.europarl.europa.eu/doceo/document/TA-9-2023-0137_SL.html" TargetMode="External"/><Relationship Id="rId4" Type="http://schemas.openxmlformats.org/officeDocument/2006/relationships/hyperlink" Target="https://www.europarl.europa.eu/doceo/document/TA-9-2023-0137_SL.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F10BC3-1A6E-4944-82F4-B7488011B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5712</Words>
  <Characters>35071</Characters>
  <Application>Microsoft Office Word</Application>
  <DocSecurity>0</DocSecurity>
  <Lines>292</Lines>
  <Paragraphs>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2024-01-17T15:33:00Z</dcterms:created>
  <dcterms:modified xsi:type="dcterms:W3CDTF">2024-01-17T15:33:00Z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A9-0446/2023</vt:lpwstr>
  </property>
  <property fmtid="{D5CDD505-2E9C-101B-9397-08002B2CF9AE}" pid="4" name="&lt;Type&gt;">
    <vt:lpwstr>RR</vt:lpwstr>
  </property>
</Properties>
</file>