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3ABE" w:rsidTr="0010095E">
        <w:trPr>
          <w:trHeight w:hRule="exact" w:val="1418"/>
        </w:trPr>
        <w:tc>
          <w:tcPr>
            <w:tcW w:w="6804" w:type="dxa"/>
            <w:shd w:val="clear" w:color="auto" w:fill="auto"/>
            <w:vAlign w:val="center"/>
          </w:tcPr>
          <w:p w:rsidR="00751A4A" w:rsidRPr="00C63ABE" w:rsidRDefault="0053687C" w:rsidP="0010095E">
            <w:pPr>
              <w:pStyle w:val="EPName"/>
            </w:pPr>
            <w:bookmarkStart w:id="0" w:name="_GoBack"/>
            <w:bookmarkEnd w:id="0"/>
            <w:r w:rsidRPr="00C63ABE">
              <w:t>Eiropas Parlaments</w:t>
            </w:r>
          </w:p>
          <w:p w:rsidR="00751A4A" w:rsidRPr="00C63ABE" w:rsidRDefault="00817416" w:rsidP="00756632">
            <w:pPr>
              <w:pStyle w:val="EPTerm"/>
              <w:rPr>
                <w:rStyle w:val="HideTWBExt"/>
                <w:noProof w:val="0"/>
                <w:vanish w:val="0"/>
                <w:color w:val="auto"/>
              </w:rPr>
            </w:pPr>
            <w:r w:rsidRPr="00C63ABE">
              <w:t>2019-2024</w:t>
            </w:r>
          </w:p>
        </w:tc>
        <w:tc>
          <w:tcPr>
            <w:tcW w:w="2268" w:type="dxa"/>
            <w:shd w:val="clear" w:color="auto" w:fill="auto"/>
          </w:tcPr>
          <w:p w:rsidR="00751A4A" w:rsidRPr="00C63ABE" w:rsidRDefault="00187494" w:rsidP="0010095E">
            <w:pPr>
              <w:pStyle w:val="EPLogo"/>
            </w:pPr>
            <w:r w:rsidRPr="00C63AB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63ABE" w:rsidRDefault="00D058B8" w:rsidP="004C5D52">
      <w:pPr>
        <w:pStyle w:val="LineTop"/>
      </w:pPr>
    </w:p>
    <w:p w:rsidR="00680577" w:rsidRPr="00C63ABE" w:rsidRDefault="0053687C" w:rsidP="00680577">
      <w:pPr>
        <w:pStyle w:val="EPBodyTA1"/>
      </w:pPr>
      <w:r w:rsidRPr="00C63ABE">
        <w:t>PIEŅEMTIE TEKSTI</w:t>
      </w:r>
    </w:p>
    <w:p w:rsidR="00D058B8" w:rsidRPr="00C63ABE" w:rsidRDefault="00D058B8" w:rsidP="00D058B8">
      <w:pPr>
        <w:pStyle w:val="LineBottom"/>
      </w:pPr>
    </w:p>
    <w:p w:rsidR="0053687C" w:rsidRPr="00C63ABE" w:rsidRDefault="0053687C" w:rsidP="0053687C">
      <w:pPr>
        <w:pStyle w:val="ATHeading1"/>
      </w:pPr>
      <w:bookmarkStart w:id="1" w:name="TANumber"/>
      <w:r w:rsidRPr="00C63ABE">
        <w:t>P9_TA(2024)00</w:t>
      </w:r>
      <w:r w:rsidR="00C63ABE" w:rsidRPr="00C63ABE">
        <w:t>37</w:t>
      </w:r>
      <w:bookmarkEnd w:id="1"/>
    </w:p>
    <w:p w:rsidR="0053687C" w:rsidRPr="00C63ABE" w:rsidRDefault="0053687C" w:rsidP="0053687C">
      <w:pPr>
        <w:pStyle w:val="ATHeading2"/>
      </w:pPr>
      <w:bookmarkStart w:id="2" w:name="title"/>
      <w:proofErr w:type="spellStart"/>
      <w:r w:rsidRPr="00C63ABE">
        <w:t>Faluņgun</w:t>
      </w:r>
      <w:proofErr w:type="spellEnd"/>
      <w:r w:rsidRPr="00C63ABE">
        <w:t xml:space="preserve"> praktizētāju pastāvīgā vajāšana Ķīnā, jo īpaši </w:t>
      </w:r>
      <w:proofErr w:type="spellStart"/>
      <w:r w:rsidRPr="00C63ABE">
        <w:rPr>
          <w:i/>
        </w:rPr>
        <w:t>Ding</w:t>
      </w:r>
      <w:proofErr w:type="spellEnd"/>
      <w:r w:rsidRPr="00C63ABE">
        <w:rPr>
          <w:i/>
        </w:rPr>
        <w:t xml:space="preserve"> </w:t>
      </w:r>
      <w:proofErr w:type="spellStart"/>
      <w:r w:rsidRPr="00C63ABE">
        <w:rPr>
          <w:i/>
        </w:rPr>
        <w:t>Yuande</w:t>
      </w:r>
      <w:proofErr w:type="spellEnd"/>
      <w:r w:rsidRPr="00C63ABE">
        <w:rPr>
          <w:i/>
        </w:rPr>
        <w:t xml:space="preserve"> </w:t>
      </w:r>
      <w:r w:rsidRPr="00C63ABE">
        <w:t>lieta</w:t>
      </w:r>
      <w:bookmarkEnd w:id="2"/>
    </w:p>
    <w:p w:rsidR="0053687C" w:rsidRPr="00C63ABE" w:rsidRDefault="0053687C" w:rsidP="0053687C">
      <w:pPr>
        <w:rPr>
          <w:i/>
          <w:vanish/>
        </w:rPr>
      </w:pPr>
      <w:r w:rsidRPr="00C63ABE">
        <w:rPr>
          <w:i/>
        </w:rPr>
        <w:fldChar w:fldCharType="begin"/>
      </w:r>
      <w:r w:rsidRPr="00C63ABE">
        <w:rPr>
          <w:i/>
        </w:rPr>
        <w:instrText xml:space="preserve"> TC"(</w:instrText>
      </w:r>
      <w:bookmarkStart w:id="3" w:name="DocNumber"/>
      <w:r w:rsidR="00451CC3" w:rsidRPr="00C63ABE">
        <w:rPr>
          <w:i/>
        </w:rPr>
        <w:instrText>B9-0067, 0070, 0074, 0079 un 0082/2024</w:instrText>
      </w:r>
      <w:bookmarkEnd w:id="3"/>
      <w:r w:rsidRPr="00C63ABE">
        <w:rPr>
          <w:i/>
        </w:rPr>
        <w:instrText xml:space="preserve">)"\l3 \n&gt; \* MERGEFORMAT </w:instrText>
      </w:r>
      <w:r w:rsidRPr="00C63ABE">
        <w:rPr>
          <w:i/>
        </w:rPr>
        <w:fldChar w:fldCharType="end"/>
      </w:r>
    </w:p>
    <w:p w:rsidR="0053687C" w:rsidRPr="00C63ABE" w:rsidRDefault="0053687C" w:rsidP="0053687C">
      <w:pPr>
        <w:rPr>
          <w:vanish/>
        </w:rPr>
      </w:pPr>
      <w:bookmarkStart w:id="4" w:name="PE"/>
      <w:r w:rsidRPr="00C63ABE">
        <w:rPr>
          <w:vanish/>
        </w:rPr>
        <w:t>PE756.752</w:t>
      </w:r>
      <w:bookmarkEnd w:id="4"/>
    </w:p>
    <w:p w:rsidR="00A849CE" w:rsidRPr="00C63ABE" w:rsidRDefault="0053687C" w:rsidP="00451CC3">
      <w:pPr>
        <w:pStyle w:val="ATHeading3"/>
      </w:pPr>
      <w:bookmarkStart w:id="5" w:name="Sujet"/>
      <w:r w:rsidRPr="00C63ABE">
        <w:t xml:space="preserve">Eiropas Parlamenta 2024. gada </w:t>
      </w:r>
      <w:r w:rsidR="00451CC3" w:rsidRPr="00C63ABE">
        <w:t>18</w:t>
      </w:r>
      <w:r w:rsidRPr="00C63ABE">
        <w:t xml:space="preserve">. </w:t>
      </w:r>
      <w:r w:rsidR="00451CC3" w:rsidRPr="00C63ABE">
        <w:t>janvāra</w:t>
      </w:r>
      <w:r w:rsidRPr="00C63ABE">
        <w:t xml:space="preserve"> rezolūcija par kustības </w:t>
      </w:r>
      <w:proofErr w:type="spellStart"/>
      <w:r w:rsidRPr="00C63ABE">
        <w:rPr>
          <w:i/>
        </w:rPr>
        <w:t>Falun</w:t>
      </w:r>
      <w:proofErr w:type="spellEnd"/>
      <w:r w:rsidRPr="00C63ABE">
        <w:rPr>
          <w:i/>
        </w:rPr>
        <w:t xml:space="preserve"> Gong </w:t>
      </w:r>
      <w:r w:rsidRPr="00C63ABE">
        <w:t xml:space="preserve">vajāšanu Ķīnā, jo īpaši </w:t>
      </w:r>
      <w:proofErr w:type="spellStart"/>
      <w:r w:rsidRPr="00C63ABE">
        <w:rPr>
          <w:i/>
        </w:rPr>
        <w:t>Ding</w:t>
      </w:r>
      <w:proofErr w:type="spellEnd"/>
      <w:r w:rsidRPr="00C63ABE">
        <w:rPr>
          <w:i/>
        </w:rPr>
        <w:t xml:space="preserve"> </w:t>
      </w:r>
      <w:proofErr w:type="spellStart"/>
      <w:r w:rsidRPr="00C63ABE">
        <w:rPr>
          <w:i/>
        </w:rPr>
        <w:t>Yuande</w:t>
      </w:r>
      <w:proofErr w:type="spellEnd"/>
      <w:r w:rsidRPr="00C63ABE">
        <w:t xml:space="preserve"> lietu</w:t>
      </w:r>
      <w:bookmarkEnd w:id="5"/>
      <w:r w:rsidRPr="00C63ABE">
        <w:t xml:space="preserve"> </w:t>
      </w:r>
      <w:bookmarkStart w:id="6" w:name="References"/>
      <w:r w:rsidRPr="00C63ABE">
        <w:t>(2024/2504(RSP))</w:t>
      </w:r>
      <w:bookmarkStart w:id="7" w:name="TextBodyBegin"/>
      <w:bookmarkEnd w:id="6"/>
      <w:bookmarkEnd w:id="7"/>
    </w:p>
    <w:p w:rsidR="00451CC3" w:rsidRPr="00C63ABE" w:rsidRDefault="00451CC3" w:rsidP="00451CC3">
      <w:pPr>
        <w:rPr>
          <w:lang w:eastAsia="fr-FR"/>
        </w:rPr>
      </w:pPr>
    </w:p>
    <w:p w:rsidR="00A849CE" w:rsidRPr="00C63ABE" w:rsidRDefault="00A849CE" w:rsidP="00A849CE">
      <w:pPr>
        <w:spacing w:before="100" w:beforeAutospacing="1" w:after="100" w:afterAutospacing="1"/>
        <w:rPr>
          <w:bCs/>
          <w:i/>
          <w:iCs/>
        </w:rPr>
      </w:pPr>
      <w:r w:rsidRPr="00C63ABE">
        <w:rPr>
          <w:i/>
        </w:rPr>
        <w:t xml:space="preserve">Eiropas Parlaments, </w:t>
      </w:r>
    </w:p>
    <w:p w:rsidR="00A849CE" w:rsidRPr="00C63ABE" w:rsidRDefault="00451CC3" w:rsidP="00A849CE">
      <w:pPr>
        <w:spacing w:before="100" w:beforeAutospacing="1" w:after="100" w:afterAutospacing="1"/>
        <w:rPr>
          <w:bCs/>
          <w:i/>
          <w:iCs/>
        </w:rPr>
      </w:pPr>
      <w:r w:rsidRPr="00C63ABE">
        <w:t>–</w:t>
      </w:r>
      <w:r w:rsidRPr="00C63ABE">
        <w:rPr>
          <w:bCs/>
          <w:iCs/>
        </w:rPr>
        <w:t xml:space="preserve"> </w:t>
      </w:r>
      <w:r w:rsidR="00A849CE" w:rsidRPr="00C63ABE">
        <w:tab/>
        <w:t>ņemot vērā iepriekšējās rezolūcijas par Ķīnu,</w:t>
      </w:r>
    </w:p>
    <w:p w:rsidR="00A849CE" w:rsidRPr="00C63ABE" w:rsidRDefault="00451CC3" w:rsidP="00A849CE">
      <w:pPr>
        <w:spacing w:before="100" w:beforeAutospacing="1" w:after="100" w:afterAutospacing="1"/>
        <w:rPr>
          <w:bCs/>
          <w:iCs/>
        </w:rPr>
      </w:pPr>
      <w:r w:rsidRPr="00C63ABE">
        <w:t>–</w:t>
      </w:r>
      <w:r w:rsidRPr="00C63ABE">
        <w:rPr>
          <w:bCs/>
          <w:iCs/>
        </w:rPr>
        <w:t xml:space="preserve"> </w:t>
      </w:r>
      <w:r w:rsidR="00A849CE" w:rsidRPr="00C63ABE">
        <w:tab/>
        <w:t>ņemot vērā Reglamenta 144. panta 5. punktu un 132. panta 4. punktu,</w:t>
      </w:r>
    </w:p>
    <w:p w:rsidR="00A849CE" w:rsidRPr="00C63ABE" w:rsidRDefault="00A849CE" w:rsidP="00A849CE">
      <w:pPr>
        <w:spacing w:before="100" w:beforeAutospacing="1" w:after="100" w:afterAutospacing="1"/>
        <w:ind w:left="709" w:hanging="709"/>
        <w:rPr>
          <w:bCs/>
          <w:iCs/>
        </w:rPr>
      </w:pPr>
      <w:r w:rsidRPr="00C63ABE">
        <w:t xml:space="preserve">A. </w:t>
      </w:r>
      <w:r w:rsidRPr="00C63ABE">
        <w:tab/>
        <w:t xml:space="preserve">tā kā kopš 1999. gada Ķīnas Komunistiskā partija (ĶKP) ir iesaistījusies sistemātiskā vajāšanā, lai izskaustu reliģisko kustību </w:t>
      </w:r>
      <w:proofErr w:type="spellStart"/>
      <w:r w:rsidRPr="00C63ABE">
        <w:rPr>
          <w:i/>
          <w:iCs/>
        </w:rPr>
        <w:t>Falun</w:t>
      </w:r>
      <w:proofErr w:type="spellEnd"/>
      <w:r w:rsidRPr="00C63ABE">
        <w:rPr>
          <w:i/>
          <w:iCs/>
        </w:rPr>
        <w:t xml:space="preserve"> Gong</w:t>
      </w:r>
      <w:r w:rsidRPr="00C63ABE">
        <w:t xml:space="preserve">; tā kā visā Ķīnas Tautas Republikā (ĶTR) pasliktinās reliģiskās pārliecības brīvība; tā kā šo represiju pamatā ir tehnoloģijās balstīta cenzūra un novērošana; tā kā ĶTR Konstitūcijas 36. pantā ir noteikts, ka tās pilsoņiem ir jābūt reliģiskās pārliecības brīvībai; </w:t>
      </w:r>
    </w:p>
    <w:p w:rsidR="00A849CE" w:rsidRPr="00C63ABE" w:rsidRDefault="00A849CE" w:rsidP="00A849CE">
      <w:pPr>
        <w:spacing w:before="100" w:beforeAutospacing="1" w:after="100" w:afterAutospacing="1"/>
        <w:ind w:left="709" w:hanging="709"/>
        <w:rPr>
          <w:bCs/>
          <w:iCs/>
        </w:rPr>
      </w:pPr>
      <w:r w:rsidRPr="00C63ABE">
        <w:t xml:space="preserve">B. </w:t>
      </w:r>
      <w:r w:rsidRPr="00C63ABE">
        <w:tab/>
        <w:t xml:space="preserve">tā kā dokumentēts, ka kopš 1999. gada ĶKP vajāšanas rezultātā ir miruši tūkstošiem </w:t>
      </w:r>
      <w:proofErr w:type="spellStart"/>
      <w:r w:rsidRPr="00C63ABE">
        <w:rPr>
          <w:i/>
          <w:iCs/>
        </w:rPr>
        <w:t>Falun</w:t>
      </w:r>
      <w:proofErr w:type="spellEnd"/>
      <w:r w:rsidRPr="00C63ABE">
        <w:rPr>
          <w:i/>
          <w:iCs/>
        </w:rPr>
        <w:t xml:space="preserve"> Gong</w:t>
      </w:r>
      <w:r w:rsidRPr="00C63ABE">
        <w:t xml:space="preserve"> piekritēju; tā kā viņi bieži tiek aizturēti un, kā tiek ziņots, spīdzināti, pakļauti psiholoģiskai vardarbībai un izmantoti orgānu ieguvei, lai viņi atteiktos no savas ticības; </w:t>
      </w:r>
    </w:p>
    <w:p w:rsidR="00A849CE" w:rsidRPr="00C63ABE" w:rsidRDefault="00A849CE" w:rsidP="00A849CE">
      <w:pPr>
        <w:spacing w:before="100" w:beforeAutospacing="1" w:after="100" w:afterAutospacing="1"/>
        <w:ind w:left="709" w:hanging="709"/>
        <w:rPr>
          <w:bCs/>
          <w:iCs/>
        </w:rPr>
      </w:pPr>
      <w:r w:rsidRPr="00C63ABE">
        <w:t xml:space="preserve">C. </w:t>
      </w:r>
      <w:r w:rsidRPr="00C63ABE">
        <w:tab/>
        <w:t xml:space="preserve">tā kā 2023. gada 12. maijā </w:t>
      </w:r>
      <w:proofErr w:type="spellStart"/>
      <w:r w:rsidRPr="00C63ABE">
        <w:rPr>
          <w:i/>
          <w:iCs/>
        </w:rPr>
        <w:t>Falun</w:t>
      </w:r>
      <w:proofErr w:type="spellEnd"/>
      <w:r w:rsidRPr="00C63ABE">
        <w:rPr>
          <w:i/>
          <w:iCs/>
        </w:rPr>
        <w:t xml:space="preserve"> Gong</w:t>
      </w:r>
      <w:r w:rsidRPr="00C63ABE">
        <w:t xml:space="preserve"> piekritēji </w:t>
      </w:r>
      <w:proofErr w:type="spellStart"/>
      <w:r w:rsidRPr="00C63ABE">
        <w:rPr>
          <w:i/>
          <w:iCs/>
        </w:rPr>
        <w:t>Ding</w:t>
      </w:r>
      <w:proofErr w:type="spellEnd"/>
      <w:r w:rsidRPr="00C63ABE">
        <w:rPr>
          <w:i/>
          <w:iCs/>
        </w:rPr>
        <w:t xml:space="preserve"> </w:t>
      </w:r>
      <w:proofErr w:type="spellStart"/>
      <w:r w:rsidRPr="00C63ABE">
        <w:rPr>
          <w:i/>
          <w:iCs/>
        </w:rPr>
        <w:t>Yuande</w:t>
      </w:r>
      <w:proofErr w:type="spellEnd"/>
      <w:r w:rsidRPr="00C63ABE">
        <w:t xml:space="preserve"> un viņa sieva </w:t>
      </w:r>
      <w:proofErr w:type="spellStart"/>
      <w:r w:rsidRPr="00C63ABE">
        <w:rPr>
          <w:i/>
          <w:iCs/>
        </w:rPr>
        <w:t>Ma</w:t>
      </w:r>
      <w:proofErr w:type="spellEnd"/>
      <w:r w:rsidRPr="00C63ABE">
        <w:rPr>
          <w:i/>
          <w:iCs/>
        </w:rPr>
        <w:t xml:space="preserve"> </w:t>
      </w:r>
      <w:proofErr w:type="spellStart"/>
      <w:r w:rsidRPr="00C63ABE">
        <w:rPr>
          <w:i/>
          <w:iCs/>
        </w:rPr>
        <w:t>Ruimei</w:t>
      </w:r>
      <w:proofErr w:type="spellEnd"/>
      <w:r w:rsidRPr="00C63ABE">
        <w:t xml:space="preserve"> tika patvaļīgi aizturēti; tā kā </w:t>
      </w:r>
      <w:proofErr w:type="spellStart"/>
      <w:r w:rsidRPr="00C63ABE">
        <w:rPr>
          <w:i/>
          <w:iCs/>
        </w:rPr>
        <w:t>Ma</w:t>
      </w:r>
      <w:proofErr w:type="spellEnd"/>
      <w:r w:rsidRPr="00C63ABE">
        <w:t xml:space="preserve"> </w:t>
      </w:r>
      <w:proofErr w:type="spellStart"/>
      <w:r w:rsidRPr="00C63ABE">
        <w:rPr>
          <w:i/>
          <w:iCs/>
        </w:rPr>
        <w:t>Ruimei</w:t>
      </w:r>
      <w:proofErr w:type="spellEnd"/>
      <w:r w:rsidRPr="00C63ABE">
        <w:t xml:space="preserve"> tika atbrīvota pret drošības naudu, bet pēc tam </w:t>
      </w:r>
      <w:proofErr w:type="spellStart"/>
      <w:r w:rsidRPr="00C63ABE">
        <w:t>saskārās</w:t>
      </w:r>
      <w:proofErr w:type="spellEnd"/>
      <w:r w:rsidRPr="00C63ABE">
        <w:t xml:space="preserve"> ar iebiedēšanu no policijas puses, jo viņas dēls ārvalstīs bija uzsācis glābšanas kampaņu; </w:t>
      </w:r>
    </w:p>
    <w:p w:rsidR="00A849CE" w:rsidRPr="00C63ABE" w:rsidRDefault="00A849CE" w:rsidP="00A849CE">
      <w:pPr>
        <w:spacing w:before="100" w:beforeAutospacing="1" w:after="100" w:afterAutospacing="1"/>
        <w:ind w:left="709" w:hanging="709"/>
        <w:rPr>
          <w:bCs/>
          <w:iCs/>
        </w:rPr>
      </w:pPr>
      <w:r w:rsidRPr="00C63ABE">
        <w:t xml:space="preserve">D. </w:t>
      </w:r>
      <w:r w:rsidRPr="00C63ABE">
        <w:tab/>
        <w:t xml:space="preserve">tā kā </w:t>
      </w:r>
      <w:proofErr w:type="spellStart"/>
      <w:r w:rsidRPr="00C63ABE">
        <w:rPr>
          <w:i/>
          <w:iCs/>
        </w:rPr>
        <w:t>Ding</w:t>
      </w:r>
      <w:proofErr w:type="spellEnd"/>
      <w:r w:rsidRPr="00C63ABE">
        <w:rPr>
          <w:i/>
          <w:iCs/>
        </w:rPr>
        <w:t xml:space="preserve"> </w:t>
      </w:r>
      <w:proofErr w:type="spellStart"/>
      <w:r w:rsidRPr="00C63ABE">
        <w:rPr>
          <w:i/>
          <w:iCs/>
        </w:rPr>
        <w:t>Yuande</w:t>
      </w:r>
      <w:proofErr w:type="spellEnd"/>
      <w:r w:rsidRPr="00C63ABE">
        <w:t xml:space="preserve"> astoņus mēnešus pavadīja ieslodzījumā bez iespējas tuviniekiem viņu apmeklēt; tā kā 2023. gada 15. decembrī viņam tika piespriests trīs gadu cietumsods ar naudas sodu 15 000 CNY apmērā; tā kā viņš šo spriedumu pārsūdzēja, </w:t>
      </w:r>
    </w:p>
    <w:p w:rsidR="00A849CE" w:rsidRPr="00C63ABE" w:rsidRDefault="00A849CE" w:rsidP="00A849CE">
      <w:pPr>
        <w:spacing w:before="100" w:beforeAutospacing="1" w:after="100" w:afterAutospacing="1"/>
        <w:ind w:left="709" w:hanging="709"/>
        <w:rPr>
          <w:bCs/>
          <w:iCs/>
        </w:rPr>
      </w:pPr>
      <w:r w:rsidRPr="00C63ABE">
        <w:t xml:space="preserve">1. </w:t>
      </w:r>
      <w:r w:rsidRPr="00C63ABE">
        <w:tab/>
        <w:t xml:space="preserve">stingri mudina ĶTR nekavējoties izbeigt </w:t>
      </w:r>
      <w:proofErr w:type="spellStart"/>
      <w:r w:rsidRPr="00C63ABE">
        <w:rPr>
          <w:i/>
          <w:iCs/>
        </w:rPr>
        <w:t>Falun</w:t>
      </w:r>
      <w:proofErr w:type="spellEnd"/>
      <w:r w:rsidRPr="00C63ABE">
        <w:rPr>
          <w:i/>
          <w:iCs/>
        </w:rPr>
        <w:t xml:space="preserve"> gong</w:t>
      </w:r>
      <w:r w:rsidRPr="00C63ABE">
        <w:t xml:space="preserve"> piekritēju un citu minoritāšu, tostarp </w:t>
      </w:r>
      <w:proofErr w:type="spellStart"/>
      <w:r w:rsidRPr="00C63ABE">
        <w:t>uiguru</w:t>
      </w:r>
      <w:proofErr w:type="spellEnd"/>
      <w:r w:rsidRPr="00C63ABE">
        <w:t xml:space="preserve"> un </w:t>
      </w:r>
      <w:proofErr w:type="spellStart"/>
      <w:r w:rsidRPr="00C63ABE">
        <w:t>tibetiešu</w:t>
      </w:r>
      <w:proofErr w:type="spellEnd"/>
      <w:r w:rsidRPr="00C63ABE">
        <w:t xml:space="preserve">, vajāšanu; prasa Ķīnā nekavējoties un bez nosacījumiem atbrīvot </w:t>
      </w:r>
      <w:r w:rsidRPr="00C63ABE">
        <w:rPr>
          <w:i/>
          <w:iCs/>
        </w:rPr>
        <w:t>P. </w:t>
      </w:r>
      <w:proofErr w:type="spellStart"/>
      <w:r w:rsidRPr="00C63ABE">
        <w:rPr>
          <w:i/>
          <w:iCs/>
        </w:rPr>
        <w:t>Ding</w:t>
      </w:r>
      <w:proofErr w:type="spellEnd"/>
      <w:r w:rsidRPr="00C63ABE">
        <w:t xml:space="preserve"> un visus </w:t>
      </w:r>
      <w:proofErr w:type="spellStart"/>
      <w:r w:rsidRPr="00C63ABE">
        <w:rPr>
          <w:i/>
          <w:iCs/>
        </w:rPr>
        <w:t>Falun</w:t>
      </w:r>
      <w:proofErr w:type="spellEnd"/>
      <w:r w:rsidRPr="00C63ABE">
        <w:rPr>
          <w:i/>
          <w:iCs/>
        </w:rPr>
        <w:t xml:space="preserve"> Gong</w:t>
      </w:r>
      <w:r w:rsidRPr="00C63ABE">
        <w:t xml:space="preserve"> piekritējus; </w:t>
      </w:r>
    </w:p>
    <w:p w:rsidR="00A849CE" w:rsidRPr="00C63ABE" w:rsidRDefault="00A849CE" w:rsidP="00A849CE">
      <w:pPr>
        <w:spacing w:before="100" w:beforeAutospacing="1" w:after="100" w:afterAutospacing="1"/>
        <w:ind w:left="709" w:hanging="709"/>
        <w:rPr>
          <w:color w:val="000000"/>
          <w:shd w:val="clear" w:color="auto" w:fill="FFFFFF"/>
        </w:rPr>
      </w:pPr>
      <w:r w:rsidRPr="00C63ABE">
        <w:t xml:space="preserve">2. </w:t>
      </w:r>
      <w:r w:rsidRPr="00C63ABE">
        <w:tab/>
        <w:t xml:space="preserve">aicina </w:t>
      </w:r>
      <w:r w:rsidRPr="00C63ABE">
        <w:rPr>
          <w:color w:val="000000"/>
          <w:shd w:val="clear" w:color="auto" w:fill="FFFFFF"/>
        </w:rPr>
        <w:t xml:space="preserve">ĶTR izbeigt vietējo un transnacionālo novērošanu un kontroli, kā arī reliģijas </w:t>
      </w:r>
      <w:r w:rsidRPr="00C63ABE">
        <w:rPr>
          <w:color w:val="000000"/>
          <w:shd w:val="clear" w:color="auto" w:fill="FFFFFF"/>
        </w:rPr>
        <w:lastRenderedPageBreak/>
        <w:t>brīvības apspiešanu</w:t>
      </w:r>
      <w:r w:rsidRPr="00C63ABE">
        <w:t>;</w:t>
      </w:r>
      <w:r w:rsidRPr="00C63ABE">
        <w:rPr>
          <w:color w:val="000000"/>
          <w:shd w:val="clear" w:color="auto" w:fill="FFFFFF"/>
        </w:rPr>
        <w:t xml:space="preserve"> mudina ĶTR ievērot starptautiskajās tiesībās un tās konstitūcijā noteiktās saistības attiecībā uz cilvēktiesību ievērošanu un aizsardzību; </w:t>
      </w:r>
    </w:p>
    <w:p w:rsidR="00A849CE" w:rsidRPr="00C63ABE" w:rsidRDefault="00A849CE" w:rsidP="00A849CE">
      <w:pPr>
        <w:spacing w:before="100" w:beforeAutospacing="1" w:after="100" w:afterAutospacing="1"/>
        <w:ind w:left="709" w:hanging="709"/>
        <w:rPr>
          <w:color w:val="000000"/>
          <w:shd w:val="clear" w:color="auto" w:fill="FFFFFF"/>
        </w:rPr>
      </w:pPr>
      <w:r w:rsidRPr="00C63ABE">
        <w:rPr>
          <w:color w:val="000000"/>
          <w:shd w:val="clear" w:color="auto" w:fill="FFFFFF"/>
        </w:rPr>
        <w:t>3.</w:t>
      </w:r>
      <w:r w:rsidRPr="00C63ABE">
        <w:rPr>
          <w:color w:val="000000"/>
          <w:shd w:val="clear" w:color="auto" w:fill="FFFFFF"/>
        </w:rPr>
        <w:tab/>
      </w:r>
      <w:r w:rsidRPr="00C63ABE">
        <w:t>aicina ES dalībvalstis apturēt ar ĶTR noslēgtos izdošanas līgumus;</w:t>
      </w:r>
    </w:p>
    <w:p w:rsidR="00A849CE" w:rsidRPr="00C63ABE" w:rsidRDefault="00A849CE" w:rsidP="00A849CE">
      <w:pPr>
        <w:spacing w:before="100" w:beforeAutospacing="1" w:after="100" w:afterAutospacing="1"/>
        <w:ind w:left="709" w:hanging="709"/>
        <w:rPr>
          <w:bCs/>
          <w:iCs/>
        </w:rPr>
      </w:pPr>
      <w:r w:rsidRPr="00C63ABE">
        <w:t xml:space="preserve">4. </w:t>
      </w:r>
      <w:r w:rsidRPr="00C63ABE">
        <w:tab/>
        <w:t xml:space="preserve">uzsver, ka ES attiecībās ar Ķīnu galvenā uzmanība būtu jāpievērš cilvēktiesību ievērošanai, demokrātijai un tiesiskumam; aicina ES un tās dalībvalstis atbalstīt un veicināt starptautisku izmeklēšanu par </w:t>
      </w:r>
      <w:proofErr w:type="spellStart"/>
      <w:r w:rsidRPr="00C63ABE">
        <w:rPr>
          <w:i/>
          <w:iCs/>
        </w:rPr>
        <w:t>Falun</w:t>
      </w:r>
      <w:proofErr w:type="spellEnd"/>
      <w:r w:rsidRPr="00C63ABE">
        <w:rPr>
          <w:i/>
          <w:iCs/>
        </w:rPr>
        <w:t xml:space="preserve"> Gong</w:t>
      </w:r>
      <w:r w:rsidRPr="00C63ABE">
        <w:t xml:space="preserve"> piekritēju vajāšanu </w:t>
      </w:r>
      <w:r w:rsidRPr="00C63ABE">
        <w:rPr>
          <w:color w:val="000000"/>
          <w:shd w:val="clear" w:color="auto" w:fill="FFFFFF"/>
        </w:rPr>
        <w:t>un visos politiskajos un cilvēktiesību dialogos ar Ķīnas iestādēm pievērst uzmanību reliģisko minoritāšu vajāšanai</w:t>
      </w:r>
      <w:r w:rsidRPr="00C63ABE">
        <w:t xml:space="preserve">; aicina dalībvalstis un ES delegāciju ĶTR uzraudzīt tiesas procesus; </w:t>
      </w:r>
    </w:p>
    <w:p w:rsidR="00A849CE" w:rsidRPr="00C63ABE" w:rsidRDefault="00A849CE" w:rsidP="00A849CE">
      <w:pPr>
        <w:spacing w:before="100" w:beforeAutospacing="1" w:after="100" w:afterAutospacing="1"/>
        <w:ind w:left="709" w:hanging="709"/>
        <w:rPr>
          <w:bCs/>
          <w:iCs/>
        </w:rPr>
      </w:pPr>
      <w:r w:rsidRPr="00C63ABE">
        <w:t xml:space="preserve">5. </w:t>
      </w:r>
      <w:r w:rsidRPr="00C63ABE">
        <w:tab/>
        <w:t xml:space="preserve">aicina ES un tās dalībvalstis publiski nosodīt orgānu transplantācijas pārkāpumus Ķīnā un izmantot ES globālo cilvēktiesību sankciju režīmu un valstu cilvēktiesību sankciju režīmus pret visiem vainīgajiem un struktūrām, kas ir veicinājušas </w:t>
      </w:r>
      <w:proofErr w:type="spellStart"/>
      <w:r w:rsidRPr="00C63ABE">
        <w:rPr>
          <w:i/>
          <w:iCs/>
        </w:rPr>
        <w:t>Falun</w:t>
      </w:r>
      <w:proofErr w:type="spellEnd"/>
      <w:r w:rsidRPr="00C63ABE">
        <w:rPr>
          <w:i/>
          <w:iCs/>
        </w:rPr>
        <w:t xml:space="preserve"> Gong</w:t>
      </w:r>
      <w:r w:rsidRPr="00C63ABE">
        <w:t xml:space="preserve"> piekritēju vajāšanu Ķīnā un ārvalstīs; uzsver, ka ES pasākumiem būtu jāietver vīzu atteikšana, aktīvu iesaldēšana, izraidīšana no ES teritorijas, kriminālvajāšana, tostarp </w:t>
      </w:r>
      <w:r w:rsidRPr="00C63ABE">
        <w:rPr>
          <w:color w:val="000000"/>
          <w:shd w:val="clear" w:color="auto" w:fill="FFFFFF"/>
        </w:rPr>
        <w:t>pamatojoties uz eksteritoriālo jurisdikciju</w:t>
      </w:r>
      <w:r w:rsidRPr="00C63ABE">
        <w:t xml:space="preserve">, un starptautisku kriminālapsūdzību izvirzīšana; </w:t>
      </w:r>
    </w:p>
    <w:p w:rsidR="00A849CE" w:rsidRPr="00C63ABE" w:rsidRDefault="00A849CE" w:rsidP="00A849CE">
      <w:pPr>
        <w:spacing w:before="100" w:beforeAutospacing="1" w:after="100" w:afterAutospacing="1"/>
        <w:ind w:left="709" w:hanging="709"/>
        <w:rPr>
          <w:bCs/>
          <w:iCs/>
        </w:rPr>
      </w:pPr>
      <w:r w:rsidRPr="00C63ABE">
        <w:t xml:space="preserve">6. </w:t>
      </w:r>
      <w:r w:rsidRPr="00C63ABE">
        <w:tab/>
        <w:t xml:space="preserve">uzdod priekšsēdētājai šo rezolūciju nosūtīt ES iestādēm, dalībvalstu valdībām un parlamentiem, kā arī ĶTR valdībai un parlamentam. </w:t>
      </w:r>
    </w:p>
    <w:p w:rsidR="00E365E1" w:rsidRPr="00C63ABE" w:rsidRDefault="00E365E1" w:rsidP="0053687C"/>
    <w:sectPr w:rsidR="00E365E1" w:rsidRPr="00C63ABE" w:rsidSect="00266E6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87C" w:rsidRPr="00266E6F" w:rsidRDefault="0053687C">
      <w:r w:rsidRPr="00266E6F">
        <w:separator/>
      </w:r>
    </w:p>
  </w:endnote>
  <w:endnote w:type="continuationSeparator" w:id="0">
    <w:p w:rsidR="0053687C" w:rsidRPr="00266E6F" w:rsidRDefault="0053687C">
      <w:r w:rsidRPr="00266E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E6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E6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E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87C" w:rsidRPr="00266E6F" w:rsidRDefault="0053687C">
      <w:r w:rsidRPr="00266E6F">
        <w:separator/>
      </w:r>
    </w:p>
  </w:footnote>
  <w:footnote w:type="continuationSeparator" w:id="0">
    <w:p w:rsidR="0053687C" w:rsidRPr="00266E6F" w:rsidRDefault="0053687C">
      <w:r w:rsidRPr="00266E6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E6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E6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E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7/2024"/>
    <w:docVar w:name="dvlangue" w:val="LV"/>
    <w:docVar w:name="dvnumam" w:val="0"/>
    <w:docVar w:name="dvpe" w:val="756.752"/>
    <w:docVar w:name="dvtitre" w:val="Eiropas Parlamenta 2024. gada XX. XXX  rezolūcija par kustības Falun Gong vajāšanu Ķīnā, jo īpaši Ding Yuande lietu(2024/2504(RSP))"/>
  </w:docVars>
  <w:rsids>
    <w:rsidRoot w:val="0053687C"/>
    <w:rsid w:val="00002272"/>
    <w:rsid w:val="00064002"/>
    <w:rsid w:val="000677B9"/>
    <w:rsid w:val="000831BA"/>
    <w:rsid w:val="000A42CC"/>
    <w:rsid w:val="000E7DD9"/>
    <w:rsid w:val="0010095E"/>
    <w:rsid w:val="00125B37"/>
    <w:rsid w:val="00187494"/>
    <w:rsid w:val="001F32AE"/>
    <w:rsid w:val="00266E6F"/>
    <w:rsid w:val="002767FF"/>
    <w:rsid w:val="002B18FE"/>
    <w:rsid w:val="002B5493"/>
    <w:rsid w:val="00343214"/>
    <w:rsid w:val="00361C00"/>
    <w:rsid w:val="00395FA1"/>
    <w:rsid w:val="003E15D4"/>
    <w:rsid w:val="00411CCE"/>
    <w:rsid w:val="0041666E"/>
    <w:rsid w:val="00421060"/>
    <w:rsid w:val="00451CC3"/>
    <w:rsid w:val="00471C19"/>
    <w:rsid w:val="004867E3"/>
    <w:rsid w:val="00494A28"/>
    <w:rsid w:val="004C0004"/>
    <w:rsid w:val="004C5D52"/>
    <w:rsid w:val="0050519A"/>
    <w:rsid w:val="005072A1"/>
    <w:rsid w:val="00514517"/>
    <w:rsid w:val="0053687C"/>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49CE"/>
    <w:rsid w:val="00AB441E"/>
    <w:rsid w:val="00AB6293"/>
    <w:rsid w:val="00AE0928"/>
    <w:rsid w:val="00AF3B82"/>
    <w:rsid w:val="00B12E95"/>
    <w:rsid w:val="00B22876"/>
    <w:rsid w:val="00B558F0"/>
    <w:rsid w:val="00BD48FE"/>
    <w:rsid w:val="00BD7BD8"/>
    <w:rsid w:val="00BE6ADC"/>
    <w:rsid w:val="00C05BFE"/>
    <w:rsid w:val="00C23CD4"/>
    <w:rsid w:val="00C61C0C"/>
    <w:rsid w:val="00C63ABE"/>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8B746"/>
  <w15:chartTrackingRefBased/>
  <w15:docId w15:val="{5563BA52-C8D6-47E5-9185-2AE9FC540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849CE"/>
    <w:rPr>
      <w:b/>
    </w:rPr>
  </w:style>
  <w:style w:type="paragraph" w:customStyle="1" w:styleId="NormalHanging12a">
    <w:name w:val="NormalHanging12a"/>
    <w:basedOn w:val="Normal"/>
    <w:rsid w:val="00A849CE"/>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D549D7-6A98-4172-9CEC-537F830A1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2024-01-18T11:32:00Z</dcterms:created>
  <dcterms:modified xsi:type="dcterms:W3CDTF">2024-01-18T11:32:00Z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B9-0067/2024</vt:lpwstr>
  </property>
  <property fmtid="{D5CDD505-2E9C-101B-9397-08002B2CF9AE}" pid="4" name="&lt;Type&gt;">
    <vt:lpwstr>RR</vt:lpwstr>
  </property>
</Properties>
</file>