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P9_TA(2024)0037</w:t>
      </w:r>
      <w:bookmarkEnd w:id="1"/>
    </w:p>
    <w:p>
      <w:pPr>
        <w:pStyle w:val="ATHeading2"/>
      </w:pPr>
      <w:bookmarkStart w:id="2" w:name="title"/>
      <w:r>
        <w:t xml:space="preserve">Pokračujúce prenasledovanie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v Číne, najmä prípad Dinga </w:t>
      </w:r>
      <w:proofErr w:type="spellStart"/>
      <w:r>
        <w:t>Yuandeho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B9-0067, 0070, 0074, 0079 a 0082/2024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PE756.752</w:t>
      </w:r>
      <w:bookmarkEnd w:id="4"/>
    </w:p>
    <w:p>
      <w:pPr>
        <w:pStyle w:val="ATHeading3"/>
      </w:pPr>
      <w:bookmarkStart w:id="5" w:name="Sujet"/>
      <w:r>
        <w:t xml:space="preserve">Uznesenie Európskeho parlamentu z 18. januára 2024 o pokračujúcom prenasledovaní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v Číne, najmä o prípade Dinga </w:t>
      </w:r>
      <w:proofErr w:type="spellStart"/>
      <w:r>
        <w:t>Yuandeho</w:t>
      </w:r>
      <w:bookmarkEnd w:id="5"/>
      <w:proofErr w:type="spellEnd"/>
      <w:r>
        <w:t xml:space="preserve"> </w:t>
      </w:r>
      <w:bookmarkStart w:id="6" w:name="References"/>
      <w:r>
        <w:t>(2024/2504(RSP))</w:t>
      </w:r>
      <w:bookmarkEnd w:id="6"/>
    </w:p>
    <w:p>
      <w:pPr>
        <w:spacing w:before="100" w:beforeAutospacing="1" w:after="100" w:afterAutospacing="1"/>
        <w:rPr>
          <w:bCs/>
          <w:i/>
          <w:iCs/>
        </w:rPr>
      </w:pPr>
      <w:bookmarkStart w:id="7" w:name="TextBodyBegin"/>
      <w:bookmarkEnd w:id="7"/>
      <w:r>
        <w:rPr>
          <w:i/>
        </w:rPr>
        <w:t xml:space="preserve">Európsky parlament, </w:t>
      </w:r>
    </w:p>
    <w:p>
      <w:pPr>
        <w:spacing w:before="100" w:beforeAutospacing="1" w:after="100" w:afterAutospacing="1"/>
        <w:rPr>
          <w:bCs/>
          <w:i/>
          <w:iCs/>
        </w:rPr>
      </w:pPr>
      <w:r>
        <w:t>–</w:t>
      </w:r>
      <w:r>
        <w:tab/>
        <w:t>so zreteľom na svoje predchádzajúce uznesenia o Číne,</w:t>
      </w:r>
    </w:p>
    <w:p>
      <w:pPr>
        <w:spacing w:before="100" w:beforeAutospacing="1" w:after="100" w:afterAutospacing="1"/>
        <w:rPr>
          <w:bCs/>
          <w:iCs/>
        </w:rPr>
      </w:pPr>
      <w:r>
        <w:t>–</w:t>
      </w:r>
      <w:r>
        <w:tab/>
        <w:t>so zreteľom na článok 144 ods. 5 a článok 132 ods. 4 rokovacieho poriadku,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A. </w:t>
      </w:r>
      <w:r>
        <w:tab/>
        <w:t xml:space="preserve">keďže od roku 1999 Komunistická strana Číny systematicky prenasleduje náboženské hnutie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s cieľom zlikvidovať ho; keďže sloboda náboženského vyznania sa v Čínskej ľudovej republike (ďalej len „ČĽR“) zhoršuje; keďže cenzúra a sledovanie pomocou technológií sú ústredným prvkom tejto represie; keďže v článku 36 ústavy ČĽR sa stanovuje, že jej občania musia požívať slobodu náboženského vyznania; 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B. </w:t>
      </w:r>
      <w:r>
        <w:tab/>
        <w:t xml:space="preserve">keďže je zdokumentované, že v dôsledku prenasledovania Komunistickou stranou Číny od roku 1999 prišli o život tisíce </w:t>
      </w:r>
      <w:proofErr w:type="spellStart"/>
      <w:r>
        <w:t>privŕžencov</w:t>
      </w:r>
      <w:proofErr w:type="spellEnd"/>
      <w:r>
        <w:t xml:space="preserve">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; keďže </w:t>
      </w:r>
      <w:proofErr w:type="spellStart"/>
      <w:r>
        <w:t>privŕženci</w:t>
      </w:r>
      <w:proofErr w:type="spellEnd"/>
      <w:r>
        <w:t xml:space="preserve"> hnutia bývajú často zadržiavaní a údajne vystavení mučeniu, psychickému zneužívaniu a odoberaniu orgánov, len aby sa zriekli svojej viery; 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C. </w:t>
      </w:r>
      <w:r>
        <w:tab/>
        <w:t xml:space="preserve">keďže 12. mája 2023 boli prívrženci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</w:t>
      </w:r>
      <w:proofErr w:type="spellStart"/>
      <w:r>
        <w:t>Ding</w:t>
      </w:r>
      <w:proofErr w:type="spellEnd"/>
      <w:r>
        <w:t xml:space="preserve"> </w:t>
      </w:r>
      <w:proofErr w:type="spellStart"/>
      <w:r>
        <w:t>Yuande</w:t>
      </w:r>
      <w:proofErr w:type="spellEnd"/>
      <w:r>
        <w:t xml:space="preserve"> a jeho manželka Ma </w:t>
      </w:r>
      <w:proofErr w:type="spellStart"/>
      <w:r>
        <w:t>Ruimei</w:t>
      </w:r>
      <w:proofErr w:type="spellEnd"/>
      <w:r>
        <w:t xml:space="preserve"> zatknutí bez zatykača; keďže pani Ma bola prepustená na kauciu, ale následne ju zastrašovala polícia kvôli záchrannej kampani ich syna v zahraničí; 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D. </w:t>
      </w:r>
      <w:r>
        <w:tab/>
        <w:t xml:space="preserve">keďže pán </w:t>
      </w:r>
      <w:proofErr w:type="spellStart"/>
      <w:r>
        <w:t>Ding</w:t>
      </w:r>
      <w:proofErr w:type="spellEnd"/>
      <w:r>
        <w:t xml:space="preserve"> bol zadržiavaný osem mesiacov bez návštev rodinných príslušníkov; keďže 15. decembra 2023 bol odsúdený na tri roky odňatia slobody s pokutou 15 000 CNY; keďže sa proti rozsudku odvolal; 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1. </w:t>
      </w:r>
      <w:r>
        <w:tab/>
        <w:t xml:space="preserve">naliehavo vyzýva ČĽR, aby okamžite ukončila prenasledovanie prívržencov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a iných menšín vrátane </w:t>
      </w:r>
      <w:proofErr w:type="spellStart"/>
      <w:r>
        <w:t>Ujgurov</w:t>
      </w:r>
      <w:proofErr w:type="spellEnd"/>
      <w:r>
        <w:t xml:space="preserve"> a Tibeťanov; žiada okamžité a bezpodmienečné prepustenie pána Dinga a všetkých </w:t>
      </w:r>
      <w:proofErr w:type="spellStart"/>
      <w:r>
        <w:t>privŕžencov</w:t>
      </w:r>
      <w:proofErr w:type="spellEnd"/>
      <w:r>
        <w:t xml:space="preserve">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v Číne; </w:t>
      </w:r>
    </w:p>
    <w:p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>
        <w:t xml:space="preserve">2. </w:t>
      </w:r>
      <w:r>
        <w:tab/>
      </w:r>
      <w:r>
        <w:rPr>
          <w:color w:val="000000"/>
          <w:shd w:val="clear" w:color="auto" w:fill="FFFFFF"/>
        </w:rPr>
        <w:t xml:space="preserve">vyzýva ČĽR, aby ukončila domáce a nadnárodné sledovanie a kontrolu, ako aj </w:t>
      </w:r>
      <w:r>
        <w:rPr>
          <w:color w:val="000000"/>
          <w:shd w:val="clear" w:color="auto" w:fill="FFFFFF"/>
        </w:rPr>
        <w:lastRenderedPageBreak/>
        <w:t xml:space="preserve">potláčanie slobody náboženského vyznania; naliehavo vyzýva ČĽR, aby dodržiavala svoje záväzky vyplývajúce z medzinárodného práva a svojej vlastnej ústavy, pokiaľ ide o dodržiavanie a ochranu ľudských práv; </w:t>
      </w:r>
    </w:p>
    <w:p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</w:t>
      </w:r>
      <w:r>
        <w:rPr>
          <w:color w:val="000000"/>
          <w:shd w:val="clear" w:color="auto" w:fill="FFFFFF"/>
        </w:rPr>
        <w:tab/>
      </w:r>
      <w:r>
        <w:t>vyzýva všetky členské štáty EÚ, aby pozastavili zmluvy o vydávaní osôb s ČĽR;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4. </w:t>
      </w:r>
      <w:r>
        <w:tab/>
        <w:t xml:space="preserve">zdôrazňuje, že dodržiavanie ľudských práv, demokracie a zásad právneho štátu by malo byť stredobodom vzťahov medzi EÚ s Čínou; vyzýva EÚ a jej členské štáty, aby podporovali a uľahčovali medzinárodné vyšetrovanie prenasledovania príslušníkov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</w:t>
      </w:r>
      <w:r>
        <w:rPr>
          <w:color w:val="000000"/>
          <w:shd w:val="clear" w:color="auto" w:fill="FFFFFF"/>
        </w:rPr>
        <w:t>a spomínali otázku prenasledovania náboženských menšín počas všetkých politických dialógov a dialógov o ľudských právach s čínskymi orgánmi;</w:t>
      </w:r>
      <w:r>
        <w:t xml:space="preserve"> vyzýva členské štáty a delegáciu EÚ v ČĽR, aby monitorovali súdne konania; </w:t>
      </w:r>
    </w:p>
    <w:p>
      <w:pPr>
        <w:spacing w:before="100" w:beforeAutospacing="1" w:after="100" w:afterAutospacing="1"/>
        <w:ind w:left="709" w:hanging="709"/>
        <w:rPr>
          <w:bCs/>
          <w:iCs/>
        </w:rPr>
      </w:pPr>
      <w:r>
        <w:t xml:space="preserve">5. </w:t>
      </w:r>
      <w:r>
        <w:tab/>
        <w:t xml:space="preserve">vyzýva EÚ a jej členské štáty, aby verejne odsúdili zneužívanie transplantácie orgánov v Číne a využívali globálny sankčný režim EÚ v oblasti ľudských práv a vnútroštátne sankčné režimy v oblasti ľudských práv voči všetkým páchateľom a subjektom, ktoré prispeli k prenasledovaniu príslušníkov hnutia </w:t>
      </w:r>
      <w:proofErr w:type="spellStart"/>
      <w:r>
        <w:t>Falun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v Číne a v zahraničí; zdôrazňuje, že opatrenia EÚ by mali zahŕňať zamietnutie víz, zmrazenie aktív, vyhostenie z území EÚ, trestné stíhanie, a to aj na základe </w:t>
      </w:r>
      <w:proofErr w:type="spellStart"/>
      <w:r>
        <w:t>extrateritoriálnej</w:t>
      </w:r>
      <w:proofErr w:type="spellEnd"/>
      <w:r>
        <w:t xml:space="preserve"> </w:t>
      </w:r>
      <w:r>
        <w:rPr>
          <w:color w:val="000000"/>
          <w:shd w:val="clear" w:color="auto" w:fill="FFFFFF"/>
        </w:rPr>
        <w:t>právomoci,</w:t>
      </w:r>
      <w:r>
        <w:t xml:space="preserve">  a vznesenie medzinárodných obvinení z trestnej činnosti; </w:t>
      </w:r>
    </w:p>
    <w:p>
      <w:pPr>
        <w:spacing w:before="100" w:beforeAutospacing="1" w:after="100" w:afterAutospacing="1"/>
        <w:ind w:left="709" w:hanging="709"/>
      </w:pPr>
      <w:r>
        <w:t xml:space="preserve">6. </w:t>
      </w:r>
      <w:r>
        <w:tab/>
        <w:t xml:space="preserve">poveruje svoju predsedníčku, aby postúpila toto uznesenie inštitúciám EÚ, vládam a parlamentom členských štátov a vláde a parlamentu ČĽR. </w:t>
      </w:r>
    </w:p>
    <w:p>
      <w:bookmarkStart w:id="8" w:name="TextBodyEnd"/>
      <w:bookmarkEnd w:id="8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, 0070, 0074, 0079 a 0082/2024"/>
    <w:docVar w:name="dvlangue" w:val="SK"/>
    <w:docVar w:name="dvnumam" w:val="0"/>
    <w:docVar w:name="dvpe" w:val="756.752"/>
    <w:docVar w:name="dvtitre" w:val="Uznesenie Európskeho parlamentu z 18. januára 2024 o pokračujúcom prenasledovaní hnutia Falun kung v Číne, najmä o prípade Dinga Yuandeho(2024/2504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F94CA-2DAE-4790-BF78-FBD0B871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88F7E-B46C-4D40-9C55-4C4CEEA4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2024-01-18T10:58:00Z</dcterms:created>
  <dcterms:modified xsi:type="dcterms:W3CDTF">2024-01-18T10:58:00Z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B9-0067, 0070, 0074, 0079 a 0082/2024</vt:lpwstr>
  </property>
  <property fmtid="{D5CDD505-2E9C-101B-9397-08002B2CF9AE}" pid="4" name="&lt;Type&gt;">
    <vt:lpwstr>RR</vt:lpwstr>
  </property>
</Properties>
</file>