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6122" w:rsidTr="0010095E">
        <w:trPr>
          <w:trHeight w:hRule="exact" w:val="1418"/>
        </w:trPr>
        <w:tc>
          <w:tcPr>
            <w:tcW w:w="6804" w:type="dxa"/>
            <w:shd w:val="clear" w:color="auto" w:fill="auto"/>
            <w:vAlign w:val="center"/>
          </w:tcPr>
          <w:p w:rsidR="00751A4A" w:rsidRPr="00596122" w:rsidRDefault="008A6F21" w:rsidP="0010095E">
            <w:pPr>
              <w:pStyle w:val="EPName"/>
            </w:pPr>
            <w:r w:rsidRPr="00596122">
              <w:t>Европейски</w:t>
            </w:r>
            <w:r w:rsidR="009E337F" w:rsidRPr="00596122">
              <w:t xml:space="preserve"> парламент</w:t>
            </w:r>
          </w:p>
          <w:p w:rsidR="00751A4A" w:rsidRPr="00596122" w:rsidRDefault="00817416" w:rsidP="00756632">
            <w:pPr>
              <w:pStyle w:val="EPTerm"/>
              <w:rPr>
                <w:rStyle w:val="HideTWBExt"/>
                <w:noProof w:val="0"/>
                <w:vanish w:val="0"/>
                <w:color w:val="auto"/>
              </w:rPr>
            </w:pPr>
            <w:r w:rsidRPr="00596122">
              <w:t>2019</w:t>
            </w:r>
            <w:r w:rsidR="008A6F21">
              <w:t> – </w:t>
            </w:r>
            <w:r w:rsidRPr="00596122">
              <w:t>2024</w:t>
            </w:r>
          </w:p>
        </w:tc>
        <w:tc>
          <w:tcPr>
            <w:tcW w:w="2268" w:type="dxa"/>
            <w:shd w:val="clear" w:color="auto" w:fill="auto"/>
          </w:tcPr>
          <w:p w:rsidR="00751A4A" w:rsidRPr="00596122" w:rsidRDefault="00187494" w:rsidP="0010095E">
            <w:pPr>
              <w:pStyle w:val="EPLogo"/>
            </w:pPr>
            <w:r w:rsidRPr="005961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6122" w:rsidRDefault="00D058B8" w:rsidP="004C5D52">
      <w:pPr>
        <w:pStyle w:val="LineTop"/>
      </w:pPr>
    </w:p>
    <w:p w:rsidR="00680577" w:rsidRPr="00596122" w:rsidRDefault="009E337F" w:rsidP="00680577">
      <w:pPr>
        <w:pStyle w:val="EPBodyTA1"/>
      </w:pPr>
      <w:r w:rsidRPr="00596122">
        <w:t>ПРИЕТИ ТЕКСТОВЕ</w:t>
      </w:r>
    </w:p>
    <w:p w:rsidR="00D058B8" w:rsidRPr="00596122" w:rsidRDefault="00D058B8" w:rsidP="00D058B8">
      <w:pPr>
        <w:pStyle w:val="LineBottom"/>
      </w:pPr>
    </w:p>
    <w:p w:rsidR="009E337F" w:rsidRPr="00596122" w:rsidRDefault="009E337F" w:rsidP="0099503E">
      <w:pPr>
        <w:pStyle w:val="ATHeading1"/>
      </w:pPr>
      <w:bookmarkStart w:id="0" w:name="TANumber"/>
      <w:r w:rsidRPr="00596122">
        <w:t>P9_TA(2024)00</w:t>
      </w:r>
      <w:bookmarkEnd w:id="0"/>
      <w:r w:rsidR="0099503E">
        <w:t>40</w:t>
      </w:r>
    </w:p>
    <w:p w:rsidR="009E337F" w:rsidRPr="00596122" w:rsidRDefault="009E337F" w:rsidP="009E337F">
      <w:pPr>
        <w:pStyle w:val="ATHeading2"/>
      </w:pPr>
      <w:bookmarkStart w:id="1" w:name="title"/>
      <w:r w:rsidRPr="00596122">
        <w:t>Доклад относно прилагането на Регламент (ЕО) № 1924/2006 относно хранителни и здравни претенции за храните</w:t>
      </w:r>
      <w:bookmarkEnd w:id="1"/>
    </w:p>
    <w:p w:rsidR="009E337F" w:rsidRPr="00596122" w:rsidRDefault="009E337F" w:rsidP="009E337F">
      <w:pPr>
        <w:rPr>
          <w:i/>
          <w:vanish/>
        </w:rPr>
      </w:pPr>
      <w:r w:rsidRPr="00596122">
        <w:rPr>
          <w:i/>
        </w:rPr>
        <w:fldChar w:fldCharType="begin"/>
      </w:r>
      <w:r w:rsidRPr="00596122">
        <w:rPr>
          <w:i/>
        </w:rPr>
        <w:instrText xml:space="preserve"> TC"(</w:instrText>
      </w:r>
      <w:bookmarkStart w:id="2" w:name="DocNumber"/>
      <w:r w:rsidRPr="00596122">
        <w:rPr>
          <w:i/>
        </w:rPr>
        <w:instrText>A9-0416/2023</w:instrText>
      </w:r>
      <w:bookmarkEnd w:id="2"/>
      <w:r w:rsidRPr="00596122">
        <w:rPr>
          <w:i/>
        </w:rPr>
        <w:instrText xml:space="preserve"> - Докладчик: Тили Метц)"\l3 \n&gt; \* MERGEFORMAT </w:instrText>
      </w:r>
      <w:r w:rsidRPr="00596122">
        <w:rPr>
          <w:i/>
        </w:rPr>
        <w:fldChar w:fldCharType="end"/>
      </w:r>
    </w:p>
    <w:p w:rsidR="009E337F" w:rsidRPr="00596122" w:rsidRDefault="009E337F" w:rsidP="009E337F">
      <w:pPr>
        <w:rPr>
          <w:vanish/>
        </w:rPr>
      </w:pPr>
      <w:bookmarkStart w:id="3" w:name="Commission"/>
      <w:r w:rsidRPr="00596122">
        <w:rPr>
          <w:vanish/>
        </w:rPr>
        <w:t>Документ за разглеждане в заседание</w:t>
      </w:r>
      <w:bookmarkEnd w:id="3"/>
    </w:p>
    <w:p w:rsidR="009E337F" w:rsidRPr="00596122" w:rsidRDefault="009E337F" w:rsidP="009E337F">
      <w:pPr>
        <w:rPr>
          <w:vanish/>
        </w:rPr>
      </w:pPr>
      <w:bookmarkStart w:id="4" w:name="PE"/>
      <w:r w:rsidRPr="00596122">
        <w:rPr>
          <w:vanish/>
        </w:rPr>
        <w:t>PE753.549</w:t>
      </w:r>
      <w:bookmarkEnd w:id="4"/>
    </w:p>
    <w:p w:rsidR="009E337F" w:rsidRPr="00596122" w:rsidRDefault="009E337F" w:rsidP="00E249FB">
      <w:pPr>
        <w:pStyle w:val="ATHeading3"/>
      </w:pPr>
      <w:bookmarkStart w:id="5" w:name="Sujet"/>
      <w:r w:rsidRPr="00596122">
        <w:t>Резолюция</w:t>
      </w:r>
      <w:r w:rsidR="0099503E">
        <w:t xml:space="preserve"> на Европейския парламент от 18</w:t>
      </w:r>
      <w:r w:rsidRPr="00596122">
        <w:t xml:space="preserve"> </w:t>
      </w:r>
      <w:r w:rsidR="008A6F21">
        <w:t xml:space="preserve">януари </w:t>
      </w:r>
      <w:r w:rsidRPr="00596122">
        <w:t>2024 г. за изпълнението на Регламент (ЕО) № 1924/2006 относно хранителни и здравни претенции за храните</w:t>
      </w:r>
      <w:bookmarkEnd w:id="5"/>
      <w:r w:rsidRPr="00596122">
        <w:t xml:space="preserve"> </w:t>
      </w:r>
      <w:bookmarkStart w:id="6" w:name="References"/>
      <w:r w:rsidRPr="00596122">
        <w:t>(</w:t>
      </w:r>
      <w:r w:rsidR="00E249FB" w:rsidRPr="00E249FB">
        <w:t>2023/2081(INI)</w:t>
      </w:r>
      <w:r w:rsidRPr="00596122">
        <w:t>)</w:t>
      </w:r>
      <w:bookmarkEnd w:id="6"/>
    </w:p>
    <w:p w:rsidR="00066666" w:rsidRPr="00596122" w:rsidRDefault="00066666" w:rsidP="00066666">
      <w:pPr>
        <w:pStyle w:val="EPComma"/>
      </w:pPr>
      <w:bookmarkStart w:id="7" w:name="TextBodyBegin"/>
      <w:bookmarkEnd w:id="7"/>
      <w:r w:rsidRPr="00596122">
        <w:rPr>
          <w:i/>
        </w:rPr>
        <w:t>Европейският парламент</w:t>
      </w:r>
      <w:r w:rsidRPr="00596122">
        <w:t>,</w:t>
      </w:r>
    </w:p>
    <w:p w:rsidR="00066666" w:rsidRPr="00596122" w:rsidRDefault="00066666" w:rsidP="00066666">
      <w:pPr>
        <w:pStyle w:val="NormalHanging12a"/>
      </w:pPr>
      <w:r w:rsidRPr="00596122">
        <w:t>–</w:t>
      </w:r>
      <w:r w:rsidRPr="00596122">
        <w:tab/>
        <w:t>като взе предвид членове 168 и 169 от Договора за функционирането на Европейския съюз,</w:t>
      </w:r>
    </w:p>
    <w:p w:rsidR="00066666" w:rsidRPr="00596122" w:rsidRDefault="00066666" w:rsidP="00066666">
      <w:pPr>
        <w:pStyle w:val="NormalHanging12a"/>
        <w:rPr>
          <w:szCs w:val="24"/>
        </w:rPr>
      </w:pPr>
      <w:r w:rsidRPr="00596122">
        <w:t>–</w:t>
      </w:r>
      <w:r w:rsidRPr="00596122">
        <w:rPr>
          <w:color w:val="000000"/>
        </w:rPr>
        <w:tab/>
        <w:t>като взе предвид Регламент (ЕО) № 1924/2006 на Европейския парламент и на Съвета от 20 декември 2006 г. относно хранителни и здравни претенции за храните</w:t>
      </w:r>
      <w:r w:rsidRPr="00596122">
        <w:rPr>
          <w:rStyle w:val="FootnoteReference"/>
          <w:bCs/>
          <w:color w:val="000000"/>
          <w:szCs w:val="24"/>
        </w:rPr>
        <w:footnoteReference w:id="1"/>
      </w:r>
      <w:r w:rsidRPr="00596122">
        <w:rPr>
          <w:color w:val="000000"/>
        </w:rPr>
        <w:t>,</w:t>
      </w:r>
    </w:p>
    <w:p w:rsidR="00066666" w:rsidRPr="00596122" w:rsidRDefault="00066666" w:rsidP="00066666">
      <w:pPr>
        <w:pStyle w:val="NormalHanging12a"/>
      </w:pPr>
      <w:r w:rsidRPr="00596122">
        <w:t>–</w:t>
      </w:r>
      <w:r w:rsidRPr="00596122">
        <w:tab/>
        <w:t>като взе предвид Регламент (ЕО) № 178/2002 на Европейския парламент и на Съвета от 28 януари 2002 г.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w:t>
      </w:r>
      <w:r w:rsidRPr="00596122">
        <w:rPr>
          <w:rStyle w:val="FootnoteReference"/>
          <w:bCs/>
          <w:color w:val="000000"/>
          <w:szCs w:val="24"/>
        </w:rPr>
        <w:footnoteReference w:id="2"/>
      </w:r>
      <w:r w:rsidRPr="00596122">
        <w:t>,</w:t>
      </w:r>
    </w:p>
    <w:p w:rsidR="00066666" w:rsidRPr="00596122" w:rsidRDefault="00066666" w:rsidP="00066666">
      <w:pPr>
        <w:pStyle w:val="NormalHanging12a"/>
        <w:rPr>
          <w:szCs w:val="24"/>
        </w:rPr>
      </w:pPr>
      <w:r w:rsidRPr="00596122">
        <w:t>–</w:t>
      </w:r>
      <w:r w:rsidRPr="00596122">
        <w:rPr>
          <w:color w:val="000000"/>
        </w:rPr>
        <w:tab/>
        <w:t>като взе предвид Регламент (ЕС) № 1169/2011 на Европейския парламент и на Съвета от 25 октомври 2011 година за предоставянето на информация за храните на потребителите, за изменение на регламенти (ЕО) № 1924/2006 и (ЕО) № 1925/2006 на Европейския парламент и на Съвета и за отмяна на Директива 87/250/ЕИО на Комисията, Директива 90/496/ЕИО на Съвета, Директива 1999/10/ЕО на Комисията, Директива 2000/13/ЕО на Европейския парламент и на Съвета, директиви 2002/67/ЕО и 2008/5/ЕО на Комисията и на Регламент (ЕО) № 608/2004 на Комисията</w:t>
      </w:r>
      <w:r w:rsidRPr="00596122">
        <w:rPr>
          <w:rStyle w:val="FootnoteReference"/>
          <w:bCs/>
          <w:color w:val="000000"/>
          <w:szCs w:val="24"/>
        </w:rPr>
        <w:footnoteReference w:id="3"/>
      </w:r>
      <w:r w:rsidRPr="00596122">
        <w:rPr>
          <w:color w:val="000000"/>
        </w:rPr>
        <w:t>,</w:t>
      </w:r>
    </w:p>
    <w:p w:rsidR="00066666" w:rsidRPr="00596122" w:rsidRDefault="00066666" w:rsidP="00066666">
      <w:pPr>
        <w:pStyle w:val="NormalHanging12a"/>
        <w:rPr>
          <w:szCs w:val="24"/>
        </w:rPr>
      </w:pPr>
      <w:r w:rsidRPr="00596122">
        <w:t>–</w:t>
      </w:r>
      <w:r w:rsidRPr="00596122">
        <w:rPr>
          <w:color w:val="000000"/>
        </w:rPr>
        <w:tab/>
        <w:t xml:space="preserve">като взе предвид Директива 2002/46/ЕО на Европейския парламент и на Съвета от </w:t>
      </w:r>
      <w:r w:rsidRPr="00596122">
        <w:rPr>
          <w:color w:val="000000"/>
        </w:rPr>
        <w:lastRenderedPageBreak/>
        <w:t>10 юни 2002 г. за сближаване на законодателствата на държавите членки по отношение на добавките към храни</w:t>
      </w:r>
      <w:r w:rsidRPr="00596122">
        <w:rPr>
          <w:rStyle w:val="FootnoteReference"/>
          <w:bCs/>
          <w:color w:val="000000"/>
          <w:szCs w:val="24"/>
        </w:rPr>
        <w:footnoteReference w:id="4"/>
      </w:r>
      <w:r w:rsidRPr="00596122">
        <w:rPr>
          <w:color w:val="000000"/>
        </w:rPr>
        <w:t>,</w:t>
      </w:r>
    </w:p>
    <w:p w:rsidR="00066666" w:rsidRPr="00596122" w:rsidRDefault="00066666" w:rsidP="00066666">
      <w:pPr>
        <w:pStyle w:val="NormalHanging12a"/>
        <w:rPr>
          <w:szCs w:val="24"/>
        </w:rPr>
      </w:pPr>
      <w:r w:rsidRPr="00596122">
        <w:t>–</w:t>
      </w:r>
      <w:r w:rsidRPr="00596122">
        <w:rPr>
          <w:color w:val="000000"/>
        </w:rPr>
        <w:tab/>
        <w:t>като взе предвид Регламент (ЕО) № 1925/2006 на Европейския парламент и на Съвета от 20 декември 2006 г. относно влагането на витамини, минерали и някои други вещества в храните</w:t>
      </w:r>
      <w:r w:rsidRPr="00596122">
        <w:rPr>
          <w:rStyle w:val="FootnoteReference"/>
          <w:bCs/>
          <w:color w:val="000000"/>
          <w:szCs w:val="24"/>
        </w:rPr>
        <w:footnoteReference w:id="5"/>
      </w:r>
      <w:r w:rsidRPr="00596122">
        <w:rPr>
          <w:color w:val="000000"/>
        </w:rPr>
        <w:t>,</w:t>
      </w:r>
    </w:p>
    <w:p w:rsidR="00066666" w:rsidRPr="00596122" w:rsidRDefault="00066666" w:rsidP="00066666">
      <w:pPr>
        <w:pStyle w:val="NormalHanging12a"/>
        <w:rPr>
          <w:bCs/>
          <w:color w:val="000000"/>
          <w:szCs w:val="24"/>
        </w:rPr>
      </w:pPr>
      <w:r w:rsidRPr="00596122">
        <w:t>–</w:t>
      </w:r>
      <w:r w:rsidRPr="00596122">
        <w:rPr>
          <w:color w:val="000000"/>
        </w:rPr>
        <w:tab/>
        <w:t>като взе предвид Регламент (ЕС) № 609/2013 на Европейския парламент и на Съвета от 12 юни 2013 година относно храните, предназначени за кърмачета и малки деца, храните за специални медицински цели и заместителите на целодневния хранителен прием за регулиране на телесното тегло и за отмяна на Директива 92/52/ЕИО на Съвета, директиви 96/8/ЕО, 1999/21/ЕО, 2006/125/ЕО и 2006/141/ЕО на Комисията, Директива 2009/39/ЕО на Европейския парламент и на Съвета и регламенти (ЕО) № 41/2009 и (ЕО) № 953/2009 на Комисията</w:t>
      </w:r>
      <w:r w:rsidRPr="00596122">
        <w:rPr>
          <w:rStyle w:val="FootnoteReference"/>
          <w:bCs/>
          <w:color w:val="000000"/>
          <w:szCs w:val="24"/>
        </w:rPr>
        <w:footnoteReference w:id="6"/>
      </w:r>
      <w:r w:rsidRPr="00596122">
        <w:rPr>
          <w:color w:val="000000"/>
        </w:rPr>
        <w:t>,</w:t>
      </w:r>
    </w:p>
    <w:p w:rsidR="00066666" w:rsidRPr="00596122" w:rsidRDefault="00066666" w:rsidP="00066666">
      <w:pPr>
        <w:pStyle w:val="NormalHanging12a"/>
        <w:rPr>
          <w:szCs w:val="24"/>
        </w:rPr>
      </w:pPr>
      <w:r w:rsidRPr="00596122">
        <w:t>–</w:t>
      </w:r>
      <w:r w:rsidRPr="00596122">
        <w:rPr>
          <w:b/>
          <w:i/>
        </w:rPr>
        <w:tab/>
      </w:r>
      <w:r w:rsidRPr="00596122">
        <w:t>като взе предвид Регламент (ЕС) 2022/2065 на Европейския парламент и на Съвета от 19 октомври 2022 година относно единния пазар на цифрови услуги и за изменение на Директива 2000/31/ЕО (Акт за цифровите услуги)</w:t>
      </w:r>
      <w:r w:rsidRPr="00596122">
        <w:rPr>
          <w:rStyle w:val="FootnoteReference"/>
          <w:szCs w:val="24"/>
        </w:rPr>
        <w:footnoteReference w:id="7"/>
      </w:r>
      <w:r w:rsidRPr="00596122">
        <w:t xml:space="preserve">, </w:t>
      </w:r>
    </w:p>
    <w:p w:rsidR="00066666" w:rsidRPr="00596122" w:rsidRDefault="00066666" w:rsidP="00066666">
      <w:pPr>
        <w:pStyle w:val="NormalHanging12a"/>
        <w:rPr>
          <w:szCs w:val="24"/>
        </w:rPr>
      </w:pPr>
      <w:r w:rsidRPr="00596122">
        <w:t>–</w:t>
      </w:r>
      <w:r w:rsidRPr="00596122">
        <w:tab/>
        <w:t>като взе предвид Регламент (ЕС) 2021/522 на Европейския парламент и на Съвета от 24 март 2021 година за създаване на програма за действията на Съюза в областта на здравето (програма „ЕС в подкрепа на здравето“) за периода 2021—2027 г. и за отмяна на Регламент (ЕС) № 282/2014</w:t>
      </w:r>
      <w:r w:rsidRPr="00596122">
        <w:rPr>
          <w:rStyle w:val="FootnoteReference"/>
          <w:szCs w:val="24"/>
        </w:rPr>
        <w:footnoteReference w:id="8"/>
      </w:r>
      <w:r w:rsidRPr="00596122">
        <w:t>,</w:t>
      </w:r>
    </w:p>
    <w:p w:rsidR="00066666" w:rsidRPr="00596122" w:rsidRDefault="00066666" w:rsidP="00066666">
      <w:pPr>
        <w:pStyle w:val="NormalHanging12a"/>
        <w:rPr>
          <w:bCs/>
          <w:color w:val="000000"/>
          <w:szCs w:val="24"/>
        </w:rPr>
      </w:pPr>
      <w:r w:rsidRPr="00596122">
        <w:t>–</w:t>
      </w:r>
      <w:r w:rsidRPr="00596122">
        <w:rPr>
          <w:color w:val="000000"/>
        </w:rPr>
        <w:tab/>
        <w:t>като взе предвид своята резолюция от 20 октомври 2021 г. относно стратегията „От фермата до трапезата“ за справедлива, здравословна и екологосъобразна продоволствена система</w:t>
      </w:r>
      <w:r w:rsidRPr="00596122">
        <w:rPr>
          <w:rStyle w:val="FootnoteReference"/>
          <w:bCs/>
          <w:color w:val="000000"/>
          <w:szCs w:val="24"/>
        </w:rPr>
        <w:footnoteReference w:id="9"/>
      </w:r>
      <w:r w:rsidRPr="00596122">
        <w:rPr>
          <w:color w:val="000000"/>
        </w:rPr>
        <w:t>,</w:t>
      </w:r>
    </w:p>
    <w:p w:rsidR="00066666" w:rsidRPr="00596122" w:rsidRDefault="00066666" w:rsidP="00066666">
      <w:pPr>
        <w:pStyle w:val="NormalHanging12a"/>
        <w:rPr>
          <w:szCs w:val="24"/>
        </w:rPr>
      </w:pPr>
      <w:r w:rsidRPr="00596122">
        <w:t>–</w:t>
      </w:r>
      <w:r w:rsidRPr="00596122">
        <w:rPr>
          <w:color w:val="000000"/>
        </w:rPr>
        <w:tab/>
        <w:t>като взе предвид съобщението на Комисията от 20 май 2020 г., озаглавено „Стратегия „От фермата до трапезата“ за справедлива, здравословна и екологосъобразна продоволствена система“ (COM(2020)0381),</w:t>
      </w:r>
    </w:p>
    <w:p w:rsidR="00066666" w:rsidRPr="00596122" w:rsidRDefault="00066666" w:rsidP="00066666">
      <w:pPr>
        <w:pStyle w:val="NormalHanging12a"/>
        <w:rPr>
          <w:bCs/>
          <w:color w:val="000000"/>
          <w:szCs w:val="24"/>
        </w:rPr>
      </w:pPr>
      <w:r w:rsidRPr="00596122">
        <w:t>–</w:t>
      </w:r>
      <w:r w:rsidRPr="00596122">
        <w:rPr>
          <w:color w:val="000000"/>
        </w:rPr>
        <w:tab/>
        <w:t>като взе предвид работния документ на службите на Комисията от 20 май 2020 г., озаглавен „Резюме на оценката на Регламент (ЕО) № 1924/2006 относно хранителни и здравни претенции за храните що се отнася до характеристиките на хранителните вещества и здравните претенции за растенията и препаратите от тях, както и на общата регулаторна рамка за тяхното използване в храни“ (SWD(2020)0096),</w:t>
      </w:r>
    </w:p>
    <w:p w:rsidR="00066666" w:rsidRPr="00596122" w:rsidRDefault="00066666" w:rsidP="00066666">
      <w:pPr>
        <w:pStyle w:val="NormalHanging12a"/>
        <w:rPr>
          <w:szCs w:val="24"/>
        </w:rPr>
      </w:pPr>
      <w:r w:rsidRPr="00596122">
        <w:t>–</w:t>
      </w:r>
      <w:r w:rsidRPr="00596122">
        <w:rPr>
          <w:b/>
          <w:i/>
        </w:rPr>
        <w:tab/>
      </w:r>
      <w:r w:rsidRPr="00596122">
        <w:t xml:space="preserve">като взе предвид научното становище на Европейския орган за безопасност на храните (ЕОБХ) от 15 декември 2021 г., озаглавено „Горната граница за безопасен </w:t>
      </w:r>
      <w:r w:rsidRPr="00596122">
        <w:lastRenderedPageBreak/>
        <w:t>прием на захари, съдържащи се в храната“</w:t>
      </w:r>
      <w:r w:rsidRPr="00596122">
        <w:rPr>
          <w:rStyle w:val="FootnoteReference"/>
          <w:szCs w:val="24"/>
        </w:rPr>
        <w:footnoteReference w:id="10"/>
      </w:r>
      <w:r w:rsidRPr="00596122">
        <w:t>,</w:t>
      </w:r>
    </w:p>
    <w:p w:rsidR="00066666" w:rsidRPr="00596122" w:rsidRDefault="00066666" w:rsidP="00066666">
      <w:pPr>
        <w:pStyle w:val="NormalHanging12a"/>
        <w:rPr>
          <w:szCs w:val="24"/>
        </w:rPr>
      </w:pPr>
      <w:r w:rsidRPr="00596122">
        <w:t>–</w:t>
      </w:r>
      <w:r w:rsidRPr="00596122">
        <w:tab/>
        <w:t>като взе предвид публикацията на СТО от 2022 г., озаглавена „Етикетиране на хранителната информация: обзор на политиката“</w:t>
      </w:r>
      <w:r w:rsidRPr="00596122">
        <w:rPr>
          <w:rStyle w:val="FootnoteReference"/>
          <w:szCs w:val="24"/>
        </w:rPr>
        <w:footnoteReference w:id="11"/>
      </w:r>
      <w:r w:rsidRPr="00596122">
        <w:t>,</w:t>
      </w:r>
    </w:p>
    <w:p w:rsidR="00066666" w:rsidRPr="00596122" w:rsidRDefault="00066666" w:rsidP="00066666">
      <w:pPr>
        <w:pStyle w:val="NormalHanging12a"/>
        <w:rPr>
          <w:szCs w:val="24"/>
        </w:rPr>
      </w:pPr>
      <w:r w:rsidRPr="00596122">
        <w:t>–</w:t>
      </w:r>
      <w:r w:rsidRPr="00596122">
        <w:tab/>
        <w:t>като взе предвид публикацията на СЗО от 2019 г., озаглавена „Ръководни принципи и рамково ръководство за етикетиране на лицевата страна на опаковката с цел насърчаване на здравословното хранене“</w:t>
      </w:r>
      <w:r w:rsidRPr="00596122">
        <w:rPr>
          <w:rStyle w:val="FootnoteReference"/>
          <w:szCs w:val="24"/>
        </w:rPr>
        <w:footnoteReference w:id="12"/>
      </w:r>
      <w:r w:rsidRPr="00596122">
        <w:t>;</w:t>
      </w:r>
    </w:p>
    <w:p w:rsidR="00066666" w:rsidRPr="00596122" w:rsidRDefault="00066666" w:rsidP="00066666">
      <w:pPr>
        <w:pStyle w:val="NormalHanging12a"/>
        <w:rPr>
          <w:szCs w:val="24"/>
        </w:rPr>
      </w:pPr>
      <w:r w:rsidRPr="00596122">
        <w:t>–</w:t>
      </w:r>
      <w:r w:rsidRPr="00596122">
        <w:tab/>
        <w:t xml:space="preserve">като взе предвид третата цел на ООН за устойчиво развитие (ЦУР), която е да се гарантира здравословен живот и насърчаване на благосъстоянието на всички хора от всички възрасти, </w:t>
      </w:r>
    </w:p>
    <w:p w:rsidR="00066666" w:rsidRPr="00596122" w:rsidRDefault="00066666" w:rsidP="00066666">
      <w:pPr>
        <w:pStyle w:val="NormalHanging12a"/>
        <w:rPr>
          <w:szCs w:val="24"/>
        </w:rPr>
      </w:pPr>
      <w:r w:rsidRPr="00596122">
        <w:t>–</w:t>
      </w:r>
      <w:r w:rsidRPr="00596122">
        <w:tab/>
        <w:t>като взе предвид публикацията на УНИЦЕФ от декември 2013 г., озаглавена „Правата на децата в оценките на въздействието: ръководство за включване на правата на децата в оценките на въздействието и предприемане на действия за децата“</w:t>
      </w:r>
      <w:r w:rsidRPr="00596122">
        <w:rPr>
          <w:rStyle w:val="FootnoteReference"/>
          <w:szCs w:val="24"/>
        </w:rPr>
        <w:footnoteReference w:id="13"/>
      </w:r>
      <w:r w:rsidRPr="00596122">
        <w:t>,</w:t>
      </w:r>
    </w:p>
    <w:p w:rsidR="00066666" w:rsidRPr="00596122" w:rsidRDefault="00066666" w:rsidP="00066666">
      <w:pPr>
        <w:pStyle w:val="NormalHanging12a"/>
        <w:rPr>
          <w:szCs w:val="24"/>
        </w:rPr>
      </w:pPr>
      <w:r w:rsidRPr="00596122">
        <w:t>–</w:t>
      </w:r>
      <w:r w:rsidRPr="00596122">
        <w:rPr>
          <w:color w:val="000000"/>
        </w:rPr>
        <w:tab/>
        <w:t>като взе предвид член 54 от своя Правилник за дейността, както и член 1, параграф 1, буква д) от решението на Председателския съвет от 12 декември 2002 г. относно процедурата за разрешаване на изготвянето на доклади по собствена инициатива и приложение 3 към това решение,</w:t>
      </w:r>
    </w:p>
    <w:p w:rsidR="00066666" w:rsidRPr="00596122" w:rsidRDefault="00066666" w:rsidP="00066666">
      <w:pPr>
        <w:pStyle w:val="NormalHanging12a"/>
        <w:rPr>
          <w:szCs w:val="24"/>
        </w:rPr>
      </w:pPr>
      <w:r w:rsidRPr="00596122">
        <w:t>–</w:t>
      </w:r>
      <w:r w:rsidRPr="00596122">
        <w:rPr>
          <w:color w:val="000000"/>
        </w:rPr>
        <w:tab/>
      </w:r>
      <w:r w:rsidRPr="00596122">
        <w:t xml:space="preserve">като взе предвид доклада на комисията по околна среда, обществено здраве и безопасност на храните (A9‑0416/2023), </w:t>
      </w:r>
    </w:p>
    <w:p w:rsidR="00066666" w:rsidRPr="00596122" w:rsidRDefault="00066666" w:rsidP="00066666">
      <w:pPr>
        <w:pStyle w:val="NormalHanging12a"/>
      </w:pPr>
      <w:r w:rsidRPr="00596122">
        <w:rPr>
          <w:color w:val="000000"/>
        </w:rPr>
        <w:t>А.</w:t>
      </w:r>
      <w:r w:rsidRPr="00596122">
        <w:rPr>
          <w:b/>
          <w:i/>
          <w:color w:val="000000"/>
        </w:rPr>
        <w:tab/>
      </w:r>
      <w:r w:rsidRPr="00596122">
        <w:rPr>
          <w:color w:val="000000"/>
        </w:rPr>
        <w:t>като има предвид, че Регламент (ЕО) № 1924/2006 (Регламентът за хранителните и здравните претенции, или РХЗП) беше въведен с цел да се гарантира възможно най-високо равнище на защита на потребителите и да се улесни изборът на потребителите; като има предвид, че РХЗП се прилага за доброволни хранителни и здравни претенции за храните във всички съобщения с търговска цел, включително при етикетиране и реклама, както и в съобщенията до здравни специалисти</w:t>
      </w:r>
      <w:r w:rsidRPr="00596122">
        <w:rPr>
          <w:rStyle w:val="FootnoteReference"/>
          <w:color w:val="000000"/>
          <w:szCs w:val="24"/>
        </w:rPr>
        <w:footnoteReference w:id="14"/>
      </w:r>
      <w:r w:rsidRPr="00596122">
        <w:rPr>
          <w:color w:val="000000"/>
        </w:rPr>
        <w:t xml:space="preserve">; като има предвид, че Комисията одобрява здравни претенции, </w:t>
      </w:r>
      <w:r w:rsidRPr="00596122">
        <w:rPr>
          <w:color w:val="000000"/>
        </w:rPr>
        <w:lastRenderedPageBreak/>
        <w:t>които се основават на научни доказателства и са разбираеми за потребителите, след научна оценка на претенциите от Европейския орган за безопасност на храните (ЕОБХ);</w:t>
      </w:r>
    </w:p>
    <w:p w:rsidR="00066666" w:rsidRPr="00596122" w:rsidRDefault="00066666" w:rsidP="00066666">
      <w:pPr>
        <w:pStyle w:val="NormalHanging12a"/>
      </w:pPr>
      <w:r w:rsidRPr="00596122">
        <w:t>Б.</w:t>
      </w:r>
      <w:r w:rsidRPr="00596122">
        <w:tab/>
        <w:t>като има предвид, че претенциите може да бъдат разделени на „функционални здравни претенции“, „претенции за намаляване на риска“ и „претенции, свързани с развитието на децата“; като има предвид, че през юли 2023 г. за употреба в ЕС са били разрешени 269 здравни претенции; като има предвид, че претенциите, които се отнасят до развитието и здравето на децата при етикетирането на храните, могат да бъдат разрешени в съответствие с процедурите и изискванията, определени от Регламента за хранителните и здравните претенции;</w:t>
      </w:r>
    </w:p>
    <w:p w:rsidR="00066666" w:rsidRPr="00596122" w:rsidRDefault="00066666" w:rsidP="00066666">
      <w:pPr>
        <w:pStyle w:val="NormalHanging12a"/>
        <w:rPr>
          <w:color w:val="000000"/>
          <w:szCs w:val="24"/>
        </w:rPr>
      </w:pPr>
      <w:r w:rsidRPr="00596122">
        <w:rPr>
          <w:color w:val="000000"/>
        </w:rPr>
        <w:t>В.</w:t>
      </w:r>
      <w:r w:rsidRPr="00596122">
        <w:rPr>
          <w:color w:val="000000"/>
        </w:rPr>
        <w:tab/>
        <w:t>като има предвид, че най-малко 18% от новите продукти, които навлизат на пазара на храни и напитки в ЕС, са с хранителни или здравни претенции, като се предполага, че една четвърт от всички храни, предлагани на пазара на ЕС, са с такива претенции</w:t>
      </w:r>
      <w:r w:rsidRPr="00596122">
        <w:rPr>
          <w:rStyle w:val="FootnoteReference"/>
          <w:color w:val="000000"/>
          <w:szCs w:val="24"/>
        </w:rPr>
        <w:footnoteReference w:id="15"/>
      </w:r>
      <w:r w:rsidRPr="00596122">
        <w:rPr>
          <w:color w:val="000000"/>
        </w:rPr>
        <w:t>; като има предвид, че както е обяснено в съображение 10 от РХЗП, храните, рекламирани с претенции, могат да бъдат възприемани от потребителите като имащи хранителни, физиологични или други предимства за здравето спрямо сходни или други продукти, към които не са добавени такива хранителни вещества и други вещества, и това може да насърчи потребителите да направят избор, който пряко влияе върху техния общ прием на отделни хранителни вещества или други вещества по начин, който би бил в противоречие с научните препоръки;</w:t>
      </w:r>
    </w:p>
    <w:p w:rsidR="00066666" w:rsidRPr="00596122" w:rsidRDefault="00066666" w:rsidP="00066666">
      <w:pPr>
        <w:pStyle w:val="NormalHanging12a"/>
      </w:pPr>
      <w:r w:rsidRPr="00596122">
        <w:rPr>
          <w:color w:val="000000"/>
        </w:rPr>
        <w:t>Г.</w:t>
      </w:r>
      <w:r w:rsidRPr="00596122">
        <w:rPr>
          <w:color w:val="000000"/>
        </w:rPr>
        <w:tab/>
        <w:t>като има предвид, че съгласно член 13, параграф 3 от РХЗП Комисията трябваше да приеме списък на Общността на разрешените претенции най-късно до 31 януари 2010 г.;</w:t>
      </w:r>
    </w:p>
    <w:p w:rsidR="00066666" w:rsidRPr="00596122" w:rsidRDefault="00066666" w:rsidP="00066666">
      <w:pPr>
        <w:pStyle w:val="NormalHanging12a"/>
        <w:rPr>
          <w:szCs w:val="22"/>
        </w:rPr>
      </w:pPr>
      <w:r w:rsidRPr="00596122">
        <w:rPr>
          <w:color w:val="000000"/>
        </w:rPr>
        <w:t>Д.</w:t>
      </w:r>
      <w:r w:rsidRPr="00596122">
        <w:rPr>
          <w:color w:val="000000"/>
        </w:rPr>
        <w:tab/>
        <w:t>като има предвид, че наличието на хранителни или здравни претенции влияе върху избора на потребителите на храни заедно с други характеристики като цена, марка, цвят и форма на опаковката; като има предвид, че здравните претенции, особено претенциите за намаляване на риска, оказват по-голямо въздействие върху нагласите на потребителите, отколкото хранителните претенции</w:t>
      </w:r>
      <w:r w:rsidRPr="00596122">
        <w:rPr>
          <w:rStyle w:val="FootnoteReference"/>
          <w:color w:val="000000"/>
          <w:szCs w:val="24"/>
        </w:rPr>
        <w:footnoteReference w:id="16"/>
      </w:r>
      <w:r w:rsidRPr="00596122">
        <w:rPr>
          <w:color w:val="000000"/>
        </w:rPr>
        <w:t>; като има предвид, че разбирането на потребителите за хранителните и здравните претенции се влияе от различни фактори, включително познания в областта на храненето и степен на образование, и това следва да се вземе предвид, така че да се улесни преминаването към по-здравословни хранителни режими и да се стимулира промяната на състава на храните; като има предвид обаче, че предоставянето на информация, образованието и кампаниите за повишаване на осведомеността сами по себе си не са достатъчни, за да се постигне необходимата промяна към по-</w:t>
      </w:r>
      <w:r w:rsidRPr="00596122">
        <w:rPr>
          <w:color w:val="000000"/>
        </w:rPr>
        <w:lastRenderedPageBreak/>
        <w:t>устойчив и здравословен избор на потребителите, тъй като те могат да бъдат повлияни от други ключови елементи на хранителната среда като достъпност, маркетинг и наличност;</w:t>
      </w:r>
    </w:p>
    <w:p w:rsidR="00066666" w:rsidRPr="00596122" w:rsidRDefault="00066666" w:rsidP="00066666">
      <w:pPr>
        <w:pStyle w:val="NormalHanging12a"/>
      </w:pPr>
      <w:r w:rsidRPr="00596122">
        <w:t>Е.</w:t>
      </w:r>
      <w:r w:rsidRPr="00596122">
        <w:tab/>
        <w:t>като има предвид, че в Регламента относно хранителни и здравни претенции за храните на Комисията се възлага до 19 януари 2009 г. да определи характеристики на хранителните вещества за храни или специфични категории храни; като има предвид, че характеристиките на хранителните вещества предстои да бъдат изготвени на практика; като има предвид, че през 2020 г. в доклада на Комисията за оценка на Регламента относно хранителни и здравни претенции за храните е потвърдена отново необходимостта от разработване на характеристики на хранителните вещества като инструмент за защита на потребителите от излагане на съдържащи здравни претенции храни с лош хранителен състав; като има предвид, че в стратегията „От фермата до трапезата“ отново се потвърждава, че следва да бъдат изготвени характеристики на хранителните вещества, за да се ограничи предлагането на пазара и популяризирането на нездравословни храни чрез хранителни и здравни претенции;</w:t>
      </w:r>
    </w:p>
    <w:p w:rsidR="00066666" w:rsidRPr="00596122" w:rsidRDefault="00066666" w:rsidP="00066666">
      <w:pPr>
        <w:pStyle w:val="NormalHanging12a"/>
      </w:pPr>
      <w:r w:rsidRPr="00596122">
        <w:t>Ж.</w:t>
      </w:r>
      <w:r w:rsidRPr="00596122">
        <w:tab/>
        <w:t>като има предвид, че в резолюцията си от 2021 г. относно стратегията „От фермата до трапезата“ Парламентът изрично приветства обявяването на законодателно предложение за установяване на характеристики на хранителните вещества, за да се забрани използването на хранителни и здравни претенции за храни с високо съдържание на мазнини, захар и/или сол, или в храни, които като цяло са нездравословни, и призовава да се обърне специално внимание на храните за деца и други храни със специално предназначение;</w:t>
      </w:r>
    </w:p>
    <w:p w:rsidR="00066666" w:rsidRPr="00596122" w:rsidRDefault="00066666" w:rsidP="00066666">
      <w:pPr>
        <w:pStyle w:val="NormalHanging12a"/>
      </w:pPr>
      <w:r w:rsidRPr="00596122">
        <w:t>З.</w:t>
      </w:r>
      <w:r w:rsidRPr="00596122">
        <w:tab/>
        <w:t>като има предвид, че потребителите продължават да бъдат изложени на положителни хранителни или здравни претенции за храни с високо съдържание на мазнини, сол или захар, което е несъвместимо с целта за високо равнище на защита на потребителите;</w:t>
      </w:r>
    </w:p>
    <w:p w:rsidR="00066666" w:rsidRPr="00596122" w:rsidRDefault="00066666" w:rsidP="00066666">
      <w:pPr>
        <w:pStyle w:val="NormalHanging12a"/>
        <w:rPr>
          <w:szCs w:val="24"/>
        </w:rPr>
      </w:pPr>
      <w:r w:rsidRPr="00596122">
        <w:t>И.</w:t>
      </w:r>
      <w:r w:rsidRPr="00596122">
        <w:tab/>
        <w:t>като има предвид, че проблемите с теглото и затлъстяването се увеличават бързо в повечето държави членки, като повече от половината от възрастните европейци и всяко трето дете са с наднормено тегло или затлъстяване</w:t>
      </w:r>
      <w:r w:rsidRPr="00596122">
        <w:rPr>
          <w:rStyle w:val="FootnoteReference"/>
          <w:szCs w:val="24"/>
        </w:rPr>
        <w:footnoteReference w:id="17"/>
      </w:r>
      <w:r w:rsidRPr="00596122">
        <w:t>; като има предвид, че наднорменото тегло и затлъстяването в детска възраст увеличават глобалните предизвикателства пред общественото здраве; като има предвид, че съществуват достатъчно доказателства, че затлъстяването при децата се влияе от предлагането на пазара на храни с високо съдържание на мазнини, сол и захар, но въпреки това децата продължават да бъдат изложени на високи нива на такъв маркетинг, който използва мощни и убедителни техники, включително все повече чрез цифрови средства;</w:t>
      </w:r>
    </w:p>
    <w:p w:rsidR="00066666" w:rsidRPr="00596122" w:rsidRDefault="00066666" w:rsidP="00066666">
      <w:pPr>
        <w:pStyle w:val="NormalHanging12a"/>
        <w:rPr>
          <w:rFonts w:eastAsia="Calibri"/>
        </w:rPr>
      </w:pPr>
      <w:r w:rsidRPr="00596122">
        <w:t>Й.</w:t>
      </w:r>
      <w:r w:rsidRPr="00596122">
        <w:tab/>
        <w:t xml:space="preserve">като има предвид, че нездравословните хранителни режими с високо съдържание на сол, захар и мазнини, включително наситени мазнини и трансмазнини, са водещ рисков фактор за заболявания и смъртност в Европа и според СЗО всяка година причиняват 8 милиона преждевременни смъртни случая; като има предвид, че 1 от всеки 5 смъртни случая през 2017 г. се дължи на нездравословен </w:t>
      </w:r>
      <w:r w:rsidRPr="00596122">
        <w:lastRenderedPageBreak/>
        <w:t>начин на хранене, главно чрез сърдечносъдови заболявания и ракови заболявания; като има предвид, че е необходим по-силен акцент върху профилактиката на заболяванията;</w:t>
      </w:r>
    </w:p>
    <w:p w:rsidR="00066666" w:rsidRPr="00596122" w:rsidRDefault="00066666" w:rsidP="00066666">
      <w:pPr>
        <w:pStyle w:val="NormalHanging12a"/>
      </w:pPr>
      <w:r w:rsidRPr="00596122">
        <w:t>К.</w:t>
      </w:r>
      <w:r w:rsidRPr="00596122">
        <w:tab/>
        <w:t>като има предвид, че в своята резолюция от 16 февруари 2022 г. относно укрепването на Европа в борбата с рака — към всеобхватна и координирана стратегия</w:t>
      </w:r>
      <w:r w:rsidRPr="00596122">
        <w:rPr>
          <w:rStyle w:val="FootnoteReference"/>
        </w:rPr>
        <w:footnoteReference w:id="18"/>
      </w:r>
      <w:r w:rsidRPr="00596122">
        <w:t>, Европейският парламент подчерта ролята на здравословното хранене за предотвратяването и ограничаването на заболеваемостта от рак;</w:t>
      </w:r>
    </w:p>
    <w:p w:rsidR="00066666" w:rsidRPr="00596122" w:rsidRDefault="00066666" w:rsidP="00066666">
      <w:pPr>
        <w:pStyle w:val="NormalHanging12a"/>
        <w:rPr>
          <w:szCs w:val="24"/>
        </w:rPr>
      </w:pPr>
      <w:r w:rsidRPr="00596122">
        <w:t>Л.</w:t>
      </w:r>
      <w:r w:rsidRPr="00596122">
        <w:tab/>
        <w:t>като има предвид, че ЕОБХ не можа да определи „безопасно ниво на прием“ за свободни и добавени захари, тъй като „рискът от неблагоприятни последици за здравето (реакция) се увеличава в целия диапазон на наблюдаваните нива на прием (дози) по постоянен (линеен) начин, т.е. колкото по-висок е приемът, толкова по-голям е рискът от неблагоприятни последици“</w:t>
      </w:r>
      <w:r w:rsidRPr="00596122">
        <w:rPr>
          <w:rStyle w:val="FootnoteReference"/>
          <w:szCs w:val="24"/>
        </w:rPr>
        <w:footnoteReference w:id="19"/>
      </w:r>
      <w:r w:rsidRPr="00596122">
        <w:t>; като има предвид, че Международната агенция на СЗО за изследване на рака класифицира подсладителя аспартам като вероятно канцерогенен за хората; като има предвид, че систематичният преглед от страна на СЗО показва, че незахарните подсладители биха могли да бъдат свързани с повишен риск от диабет тип 2, сърдечносъдови заболявания, смъртност от всякакви причини и повишено телесно тегло; като има предвид, че по-здравословните хранителни режими, които включват увеличено потребление на растителни храни, като пресни плодове и зеленчуци, цели зърна и бобови растения, и избягват прекомерната консумация на месо и свръхпреработени продукти, допринасят за подобряване на здравето, намаляват смъртността от свързани с храненето незаразни болести и носят ползи за околната среда;</w:t>
      </w:r>
    </w:p>
    <w:p w:rsidR="00066666" w:rsidRPr="00596122" w:rsidRDefault="00066666" w:rsidP="00066666">
      <w:pPr>
        <w:pStyle w:val="NormalHanging12a"/>
        <w:rPr>
          <w:szCs w:val="24"/>
        </w:rPr>
      </w:pPr>
      <w:r w:rsidRPr="00596122">
        <w:rPr>
          <w:color w:val="000000"/>
        </w:rPr>
        <w:t>М.</w:t>
      </w:r>
      <w:r w:rsidRPr="00596122">
        <w:rPr>
          <w:color w:val="000000"/>
        </w:rPr>
        <w:tab/>
        <w:t>като има предвид, че ефективните информационни средства, като етикети за хранителните стойности върху лицевата страна на опаковката, подкрепят гражданите при избора на по-здравословни храни и по този начин предотвратява нездравословната консумация на храни с високо съдържание на сол, мазнини и захар; като има предвид, че Европейският парламент подкрепи приемането на такъв етикет в своята резолюция по собствена инициатива от 20 октомври 2021 г. относно стратегията „От фермата до трапезата“, в която призова Комисията да гарантира разработването на задължително и хармонизирано европейско етикетиране на хранителните стойности върху лицевата страна на опаковката, базирано на научни доказателства, и демонстрира разбиране на потребителите с цел подкрепа на предоставянето на точна информация относно храните и по-здравословните алтернативи;</w:t>
      </w:r>
      <w:r w:rsidRPr="00596122">
        <w:t xml:space="preserve"> </w:t>
      </w:r>
    </w:p>
    <w:p w:rsidR="00066666" w:rsidRPr="00596122" w:rsidRDefault="00066666" w:rsidP="00066666">
      <w:pPr>
        <w:pStyle w:val="NormalHanging12a"/>
        <w:rPr>
          <w:szCs w:val="24"/>
        </w:rPr>
      </w:pPr>
      <w:r w:rsidRPr="00596122">
        <w:t>Н.</w:t>
      </w:r>
      <w:r w:rsidRPr="00596122">
        <w:tab/>
        <w:t xml:space="preserve">като има предвид, че през 2012 г. Комисията състави списък с висящи претенции с 2 078 здравни претенции, свързани с растителни вещества, главно поради липсата на интервенционни изследвания при хора, което доведе до спиране на процедурата на ЕОБХ за оценка и издаване на разрешение през 2010 г.; като има предвид, че висящите здравни претенции – както тези, които са получили отрицателна оценка, така и тези, които все още не са подложени на преглед – все </w:t>
      </w:r>
      <w:r w:rsidRPr="00596122">
        <w:lastRenderedPageBreak/>
        <w:t>пак могат да се използват на пазара на ЕС в съответствие с преходните мерки, предвидени в Регламента относно хранителни и здравни претенции за храните, до вземането на решение относно списъка с висящи претенции;</w:t>
      </w:r>
    </w:p>
    <w:p w:rsidR="00066666" w:rsidRPr="00596122" w:rsidRDefault="00066666" w:rsidP="00066666">
      <w:pPr>
        <w:pStyle w:val="NormalHanging12a"/>
      </w:pPr>
      <w:r w:rsidRPr="00596122">
        <w:rPr>
          <w:color w:val="000000"/>
        </w:rPr>
        <w:t>О.</w:t>
      </w:r>
      <w:r w:rsidRPr="00596122">
        <w:rPr>
          <w:color w:val="000000"/>
        </w:rPr>
        <w:tab/>
        <w:t>като има предвид, че през 2020 г. Комисията заключи в своя доклад за оценка на РХЗП, че потребителите продължават да бъдат изложени на здравни претенции за растителни вещества с различни нива на научна оценка, включително необосновани здравни претенции, за които те могат да считат, че посочените благоприятни въздействия са били научно оценени, когато това не е така;</w:t>
      </w:r>
    </w:p>
    <w:p w:rsidR="00066666" w:rsidRPr="00596122" w:rsidRDefault="00066666" w:rsidP="00066666">
      <w:pPr>
        <w:pStyle w:val="NormalHanging12a"/>
      </w:pPr>
      <w:r w:rsidRPr="00596122">
        <w:t>П.</w:t>
      </w:r>
      <w:r w:rsidRPr="00596122">
        <w:tab/>
        <w:t>като има предвид, че по-голямата координация на рамката за безопасност за растителните вещества би могла да допринесе за подобряване на защитата на потребителите;</w:t>
      </w:r>
    </w:p>
    <w:p w:rsidR="00066666" w:rsidRPr="00596122" w:rsidRDefault="00066666" w:rsidP="00066666">
      <w:pPr>
        <w:pStyle w:val="NormalHanging12a"/>
      </w:pPr>
      <w:r w:rsidRPr="00596122">
        <w:rPr>
          <w:color w:val="000000"/>
        </w:rPr>
        <w:t>Р.</w:t>
      </w:r>
      <w:r w:rsidRPr="00596122">
        <w:rPr>
          <w:color w:val="000000"/>
        </w:rPr>
        <w:tab/>
        <w:t xml:space="preserve">като има предвид, че законодателството относно растителните вещества в храните и хранителните добавки не е хармонизирано на равнището на ЕС; като има предвид, че държавите членки разполагат с положителни и отрицателни списъци или не разполагат със списъци на разрешени в храните растителни вещества; като има предвид, че класифицирането на растителните вещества като храна или лекарство е от компетентността на всяка отделна държава членка; като има предвид, че целта на даден лекарствен продукт е да лекува или предотвратява заболявания при хората и че хранителните добавки са предназначени за потребители, които нямат непосредствени медицински нужди; </w:t>
      </w:r>
      <w:r w:rsidRPr="00596122">
        <w:t>като има предвид, че следователно е важно да се запази ясно разграничение между храни и лекарства;</w:t>
      </w:r>
    </w:p>
    <w:p w:rsidR="00066666" w:rsidRPr="00596122" w:rsidRDefault="00066666" w:rsidP="00066666">
      <w:pPr>
        <w:pStyle w:val="NormalHanging12a"/>
        <w:rPr>
          <w:color w:val="000000"/>
          <w:szCs w:val="24"/>
        </w:rPr>
      </w:pPr>
      <w:r w:rsidRPr="00596122">
        <w:rPr>
          <w:color w:val="000000"/>
        </w:rPr>
        <w:t>С.</w:t>
      </w:r>
      <w:r w:rsidRPr="00596122">
        <w:rPr>
          <w:color w:val="000000"/>
        </w:rPr>
        <w:tab/>
        <w:t>като има предвид, че растителните лекарствени продукти трябва да преминат през процедури за получаване на разрешение преди пускането им на пазара на ЕС, което изисква доказване на безопасността и ефикасността на продукта и изпълнение на допълнителни правни изисквания в области, като оценки на качеството, фармакологична бдителност и спазване на добри производствени практики; като има предвид, че растителните лекарствени продукти, които са използвани безопасно в продължение на 30 години, включително 15 години в ЕС, може да използват опростена процедура за регистрация на традиционни растителни лекарствени продукти, при което се приемат данни за „традиционна употреба“, за да се обосноват безопасността и ефикасността на продукта;</w:t>
      </w:r>
    </w:p>
    <w:p w:rsidR="00066666" w:rsidRPr="00596122" w:rsidRDefault="00066666" w:rsidP="00066666">
      <w:pPr>
        <w:pStyle w:val="NormalHanging12a"/>
      </w:pPr>
      <w:r w:rsidRPr="00596122">
        <w:rPr>
          <w:color w:val="000000"/>
        </w:rPr>
        <w:t>Т.</w:t>
      </w:r>
      <w:r w:rsidRPr="00596122">
        <w:rPr>
          <w:color w:val="000000"/>
        </w:rPr>
        <w:tab/>
        <w:t>като има предвид, че прилагането на Регламента относно хранителни и здравни претенции за храните по отношение на претенциите за растителни вещества беше значително забавено; като има предвид, че целта на РХЗП за гарантиране на високо равнище на защита на потребителите изисква бързи действия от страна на Комисията за пълно прилагане или преразглеждане на Регламента относно хранителни и здравни претенции за храните, тъй като в някои отношения той не е подходящ за целите си;</w:t>
      </w:r>
    </w:p>
    <w:p w:rsidR="00066666" w:rsidRPr="00596122" w:rsidRDefault="00066666" w:rsidP="00066666">
      <w:pPr>
        <w:pStyle w:val="NormalHanging12a"/>
      </w:pPr>
      <w:r w:rsidRPr="00596122">
        <w:t>У.</w:t>
      </w:r>
      <w:r w:rsidRPr="00596122">
        <w:tab/>
        <w:t xml:space="preserve">като има предвид, че държавите членки отговарят за прилагането на Регламента относно хранителни и здравни претенции за храните в рамките на своята юрисдикция; като има предвид, че държавите членки са длъжни да прилагат принципа на взаимно признаване; като има предвид, че поради различията в тълкуването и несъответствията при прилагането между отделните държави членки, действията по правоприлагане вследствие на неправилно използване на </w:t>
      </w:r>
      <w:r w:rsidRPr="00596122">
        <w:lastRenderedPageBreak/>
        <w:t>претенции варират от съвети за начина на коригиране на претенциите до глоби за неправилното им използване;</w:t>
      </w:r>
    </w:p>
    <w:p w:rsidR="00066666" w:rsidRPr="00596122" w:rsidRDefault="00066666" w:rsidP="00066666">
      <w:pPr>
        <w:pStyle w:val="NormalHanging12a"/>
      </w:pPr>
      <w:r w:rsidRPr="00596122">
        <w:t>Ф.</w:t>
      </w:r>
      <w:r w:rsidRPr="00596122">
        <w:tab/>
        <w:t>като има предвид, че социалните медии допринасят значително за рекламирането и продажбата на храни и хранителни добавки, докато остава неясна степента, в която Регламентът относно хранителни и здравни претенции за храните регулира свързаните със здравето онлайн съобщения за храни; като има предвид, че съобщенията на влиятелни лица или известни личности в социалните медии невинаги са очевидно търговски или нетърговски</w:t>
      </w:r>
      <w:r w:rsidRPr="00596122">
        <w:rPr>
          <w:rStyle w:val="FootnoteReference"/>
          <w:rFonts w:eastAsia="Calibri"/>
          <w:szCs w:val="24"/>
        </w:rPr>
        <w:footnoteReference w:id="20"/>
      </w:r>
      <w:r w:rsidRPr="00596122">
        <w:t xml:space="preserve"> и могат да доведат до непроверени неверни и подвеждащи твърдения за хранителни продукти, например по отношение на рекламата на протеини и други добавки за увеличаване на растежа на мускулите;</w:t>
      </w:r>
    </w:p>
    <w:p w:rsidR="00066666" w:rsidRPr="00596122" w:rsidRDefault="00066666" w:rsidP="00066666">
      <w:pPr>
        <w:pStyle w:val="NormalHanging12a"/>
      </w:pPr>
      <w:r w:rsidRPr="00596122">
        <w:t>1.</w:t>
      </w:r>
      <w:r w:rsidRPr="00596122">
        <w:tab/>
        <w:t>отбелязва, че главната цел на Регламента относно хранителни и здравни претенции за храните е да гарантира, че претенциите за храните се основават на общоприети научни доказателства и може да се очаква, че ще бъдат разбрани от средностатистическия потребител; подчертава, че на практика все още се съобщава за подвеждащи претенции както при онлайн, така и при офлайн продажбите на храни;</w:t>
      </w:r>
    </w:p>
    <w:p w:rsidR="00066666" w:rsidRPr="00596122" w:rsidRDefault="00066666" w:rsidP="00066666">
      <w:pPr>
        <w:pStyle w:val="NormalHanging12a"/>
      </w:pPr>
      <w:r w:rsidRPr="00596122">
        <w:t>2.</w:t>
      </w:r>
      <w:r w:rsidRPr="00596122">
        <w:tab/>
        <w:t>отбелязва нарастващия интерес на потребителите към информация за храните</w:t>
      </w:r>
      <w:r w:rsidRPr="00596122">
        <w:rPr>
          <w:rStyle w:val="FootnoteReference"/>
          <w:szCs w:val="24"/>
        </w:rPr>
        <w:footnoteReference w:id="21"/>
      </w:r>
      <w:r w:rsidRPr="00596122">
        <w:t>; подчертава необходимостта да се гарантира, че информацията за хранителните или здравните стойности на храните, която се посочва върху етикетите и се използва за целите на представянето, маркетинга и рекламата, е точна, основана на научни данни и смислена; призовава списъкът на разрешените хранителни и здравни претенции за храните да се актуализира редовно в съответствие с научното развитие в областта на храните и храненето;</w:t>
      </w:r>
    </w:p>
    <w:p w:rsidR="00066666" w:rsidRPr="00596122" w:rsidRDefault="00066666" w:rsidP="00066666">
      <w:pPr>
        <w:pStyle w:val="NormalHanging12a"/>
      </w:pPr>
      <w:r w:rsidRPr="00596122">
        <w:t>3.</w:t>
      </w:r>
      <w:r w:rsidRPr="00596122">
        <w:tab/>
        <w:t>подчертава необходимостта да се гарантира, че здравните претенции ще продължат да бъдат в съответствие с политиките и приоритетите на ЕС в областта на здравеопазването; потвърждава отново значението на правото на Комисията да не разрешава претенции, когато те биха могли да доведат до противоречиви и объркващи послания към потребителите</w:t>
      </w:r>
      <w:r w:rsidRPr="00596122">
        <w:rPr>
          <w:vertAlign w:val="superscript"/>
        </w:rPr>
        <w:footnoteReference w:id="22"/>
      </w:r>
      <w:r w:rsidRPr="00596122">
        <w:t>;</w:t>
      </w:r>
    </w:p>
    <w:p w:rsidR="00066666" w:rsidRPr="00596122" w:rsidRDefault="00066666" w:rsidP="00066666">
      <w:pPr>
        <w:pStyle w:val="NormalHanging12a"/>
        <w:ind w:left="0" w:firstLine="0"/>
        <w:rPr>
          <w:b/>
          <w:i/>
        </w:rPr>
      </w:pPr>
      <w:r w:rsidRPr="00596122">
        <w:rPr>
          <w:b/>
          <w:i/>
        </w:rPr>
        <w:t>Вземане предвид на характеристиките на хранителните вещества при оценката на здравните претенции</w:t>
      </w:r>
    </w:p>
    <w:p w:rsidR="00066666" w:rsidRPr="00596122" w:rsidRDefault="00066666" w:rsidP="00066666">
      <w:pPr>
        <w:pStyle w:val="NormalHanging12a"/>
      </w:pPr>
      <w:r w:rsidRPr="00596122">
        <w:t>4.</w:t>
      </w:r>
      <w:r w:rsidRPr="00596122">
        <w:tab/>
        <w:t xml:space="preserve">припомня, че съгласно член 4 от Регламента относно хранителни и здравни претенции за храните до 19 януари 2009 г. Комисията трябваше да изготви </w:t>
      </w:r>
      <w:r w:rsidRPr="00596122">
        <w:lastRenderedPageBreak/>
        <w:t>характеристики на хранителните вещества, за да ограничи използването на хранителни и здравни претенции за храни с високо съдържание на мазнини, захар и/или сол; изразява съжаление относно факта, че предложението на Комисията относно характеристиките на хранителните вещества все още не е представено, въпреки че беше планирано за 2022 г. като част от преразглеждането на законодателството на ЕС относно информацията за храните, предназначена за потребителите; настоява, че определянето на характеристиките на хранителните вещества със специфични хранителни прагове за използването на здравни и хранителни претенции, в съответствие с член 4 от Регламента относно хранителни и здравни претенции за храните, продължава да бъде уместно и необходимо за постигане на целите на РХЗП;</w:t>
      </w:r>
    </w:p>
    <w:p w:rsidR="00066666" w:rsidRPr="00596122" w:rsidRDefault="00066666" w:rsidP="00066666">
      <w:pPr>
        <w:pStyle w:val="NormalHanging12a"/>
        <w:rPr>
          <w:szCs w:val="24"/>
        </w:rPr>
      </w:pPr>
      <w:r w:rsidRPr="00596122">
        <w:t>5.</w:t>
      </w:r>
      <w:r w:rsidRPr="00596122">
        <w:tab/>
        <w:t>припомня, че претенциите не следва да заблуждават потребителите относно истинската хранителна стойност на даден продукт; подчертава, че при липса на характеристики на хранителните вещества претенциите могат да подчертават положителен аспект на нездравословен продукт като цяло или на продукт, който надвишава праговете за конкретни хранителни вещества, като мазнини, захари и сол; посочва, че много хранителни продукти, включително някои, предлагани на пазара за деца, продължават да използват здравни и хранителни претенции, въпреки че съдържат високи нива на хранителни вещества, които будят безпокойство; подчертава, че разработването на специфични характеристики на хранителните вещества, както е предвидено в член 4 от Регламента относно хранителни и здравни претенции за храните и в съответствие с целите на РХЗП, е необходимо, за да се ограничи използването на хранителни и здравни претенции за храни с високо съдържание на мазнини, захар и/или сол; подчертава, че бъдещите характеристики на хранителните вещества, които следва да бъдат основани на солидни и независими научни доказателства, биха могли да помогнат на потребителите да правят информиран, здравословен и устойчив избор на хранителни продукти;</w:t>
      </w:r>
    </w:p>
    <w:p w:rsidR="00066666" w:rsidRPr="00596122" w:rsidRDefault="00066666" w:rsidP="00066666">
      <w:pPr>
        <w:pStyle w:val="NormalHanging12a"/>
      </w:pPr>
      <w:r w:rsidRPr="00596122">
        <w:t>6.</w:t>
      </w:r>
      <w:r w:rsidRPr="00596122">
        <w:tab/>
        <w:t>изразява съжаление относно липсата на систематичен и основан на доказателства подход към създаването на хранителна среда, която да помага на потребителите да правят информиран избор и която стимулира преминаването към по-здравословни хранителни режими, включително повишено потребление на растителни храни, като пресни плодове и зеленчуци, пълнозърнести храни и бобови растения; счита, че в допълнение към правилното прилагане на Регламента относно хранителни и здравни претенции за храните Комисията и държавите членки следва да инвестират повече в образованието в областта на храните и храненето, например в информационни кампании, чрез различни програми, включително EU4Health, по-специално чрез подкрепа за действия в училищата с цел обучение на децата и юношите относно здравословното и балансирано хранене; подчертава влиянието на социалните фактори върху грамотността на потребителите по отношение на претенциите за храните; посочва, че предоставянето на информация, образованието и кампаниите за повишаване на осведомеността сами по себе си не са достатъчни за гарантиране на информиран потребителски избор и трябва да бъдат придружени от политики, които подобряват хранителните среди;</w:t>
      </w:r>
    </w:p>
    <w:p w:rsidR="00066666" w:rsidRPr="00596122" w:rsidRDefault="00066666" w:rsidP="00066666">
      <w:pPr>
        <w:pStyle w:val="NormalHanging12a"/>
        <w:rPr>
          <w:b/>
          <w:i/>
        </w:rPr>
      </w:pPr>
      <w:r w:rsidRPr="00596122">
        <w:rPr>
          <w:b/>
          <w:i/>
        </w:rPr>
        <w:t>Информация за потребителите</w:t>
      </w:r>
    </w:p>
    <w:p w:rsidR="00066666" w:rsidRPr="00596122" w:rsidRDefault="00066666" w:rsidP="00066666">
      <w:pPr>
        <w:pStyle w:val="NormalHanging12a"/>
        <w:rPr>
          <w:szCs w:val="24"/>
        </w:rPr>
      </w:pPr>
      <w:r w:rsidRPr="00596122">
        <w:t>7.</w:t>
      </w:r>
      <w:r w:rsidRPr="00596122">
        <w:tab/>
        <w:t xml:space="preserve">подчертава, че потребителите са склонни да прекаляват с консумацията на </w:t>
      </w:r>
      <w:r w:rsidRPr="00596122">
        <w:lastRenderedPageBreak/>
        <w:t>хранителни продукти, за които се твърди, че допринасят за по-добро здраве, което е известно като „ефект на ореола“; подкрепя включването на минимални и максимални прагове на употреба върху етикетите на продуктите на всички храни и хранителни добавки със здравни претенции, наред с препоръка за консултация със здравен специалист преди употребата на хранителни добавки, по-специално, за да се избегнат потенциални неблагоприятни взаимодействия с конкретно лечение и да се избегне засилването на потенциални хранителни разстройства; подчертава, че се очаква информационната асиметрия да се запази в бързо променящата се хранителна среда, и призовава за финансиране на научни изследвания относно разбирането на претенциите от страна на потребителите;</w:t>
      </w:r>
    </w:p>
    <w:p w:rsidR="00066666" w:rsidRPr="00596122" w:rsidRDefault="00066666" w:rsidP="00066666">
      <w:pPr>
        <w:pStyle w:val="NormalHanging12a"/>
      </w:pPr>
      <w:r w:rsidRPr="00596122">
        <w:t>8.</w:t>
      </w:r>
      <w:r w:rsidRPr="00596122">
        <w:tab/>
        <w:t>изразява съжаление относно забавянето на предложението за преразглеждане на Регламент (ЕС) № 1169/2011 за предоставянето на информация за храните на потребителите с оглед на разработването на етикети за хранителната стойност върху лицевата страна на опаковката, за които е доказано, че ефективно помагат на потребителите да правят по-здравословен избор на храни и напитки; призовава Комисията и държавите членки да насърчават и подпомагат потребителите при правенето на информиран, здравословен и устойчив избор по отношение на хранителните продукти чрез приемането възможно най-бързо на задължителен и хармонизиран етикет на ЕС за хранителната стойност върху лицевата страна на опаковките, който етикет да бъде разработен въз основа на надеждни, независими научни доказателства и доказано разбиране от страна на потребителите; отбелязва, че проучванията показват, че въздействието на храните върху здравето не може да се обясни само с хранителния състав, но и със степента на преработка, особено при свръхпреработените храни; поради това подчертава, че включването на информация относно преработката на храни върху тълкувателни етикети за хранителните стойности върху лицевата страна на опаковката би могло да бъде в интерес на общественото здраве и потребителите и би могло да се окаже ефективно средство за подпомагане на потребителите да правят по-здравословен избор на храни; призовава за регулаторни мерки за намаляване на тежестта, която силно преработените храни представляват за общественото здраве;</w:t>
      </w:r>
    </w:p>
    <w:p w:rsidR="00066666" w:rsidRPr="00596122" w:rsidRDefault="00066666" w:rsidP="00066666">
      <w:pPr>
        <w:pStyle w:val="NormalHanging12a"/>
        <w:rPr>
          <w:b/>
          <w:i/>
        </w:rPr>
      </w:pPr>
      <w:r w:rsidRPr="00596122">
        <w:rPr>
          <w:b/>
          <w:i/>
        </w:rPr>
        <w:t>Уместност на претенциите</w:t>
      </w:r>
    </w:p>
    <w:p w:rsidR="00066666" w:rsidRPr="00596122" w:rsidRDefault="00066666" w:rsidP="00066666">
      <w:pPr>
        <w:pStyle w:val="NormalHanging12a"/>
        <w:rPr>
          <w:szCs w:val="24"/>
        </w:rPr>
      </w:pPr>
      <w:r w:rsidRPr="00596122">
        <w:t>9.</w:t>
      </w:r>
      <w:r w:rsidRPr="00596122">
        <w:tab/>
        <w:t>отбелязва, че много от претенциите, използвани на пазара на ЕС, са за хранителни вещества, които липсват в хранителния режим на много малко европейски потребители; призовава Комисията да проучи законодателния потенциал за разширяване на правомощията на ЕОБХ, така че те да включват оценка на уместността на използването на такива претенции, в допълнение към проучването на научното основание за тези претенции; решително подкрепя текущото публикуване от ЕОБХ на специфични насоки по отношение на използването на дадена претенция;</w:t>
      </w:r>
    </w:p>
    <w:p w:rsidR="00066666" w:rsidRPr="00596122" w:rsidRDefault="00066666" w:rsidP="00066666">
      <w:pPr>
        <w:pStyle w:val="NormalHanging12a"/>
        <w:rPr>
          <w:szCs w:val="24"/>
        </w:rPr>
      </w:pPr>
      <w:r w:rsidRPr="00596122">
        <w:t>10.</w:t>
      </w:r>
      <w:r w:rsidRPr="00596122">
        <w:tab/>
        <w:t>призовава Комисията да направи оценка на възможността за ограничаване на използването на разрешената хранителна претенция „без добавена захар“ за продукти, съдържащи подсладители или високи нива на свободни захари;</w:t>
      </w:r>
    </w:p>
    <w:p w:rsidR="00066666" w:rsidRPr="00596122" w:rsidRDefault="00066666" w:rsidP="00066666">
      <w:pPr>
        <w:pStyle w:val="NormalHanging12a"/>
        <w:rPr>
          <w:szCs w:val="24"/>
        </w:rPr>
      </w:pPr>
      <w:r w:rsidRPr="00596122">
        <w:t>11.</w:t>
      </w:r>
      <w:r w:rsidRPr="00596122">
        <w:tab/>
        <w:t xml:space="preserve">подчертава, че дори когато претенциите за храните за кърмачета са научно обосновани, като здравната претенция „Приемът на DHA допринася за нормалното развитие на зрението на кърмачетата на възраст до 12 месеца“, при тяхното използване следва да се избягва оказването на влияние върху избора на </w:t>
      </w:r>
      <w:r w:rsidRPr="00596122">
        <w:lastRenderedPageBreak/>
        <w:t>хранене на кърмачетата и ограничаването на подобренията в храните за кърмачета</w:t>
      </w:r>
      <w:r w:rsidRPr="00596122">
        <w:rPr>
          <w:szCs w:val="24"/>
          <w:vertAlign w:val="superscript"/>
        </w:rPr>
        <w:footnoteReference w:id="23"/>
      </w:r>
      <w:r w:rsidRPr="00596122">
        <w:t xml:space="preserve">; </w:t>
      </w:r>
    </w:p>
    <w:p w:rsidR="00066666" w:rsidRPr="00596122" w:rsidRDefault="00066666" w:rsidP="00066666">
      <w:pPr>
        <w:pStyle w:val="NormalHanging12a"/>
      </w:pPr>
      <w:r w:rsidRPr="00596122">
        <w:t>12.</w:t>
      </w:r>
      <w:r w:rsidRPr="00596122">
        <w:tab/>
        <w:t>подкрепя започването на предварителни консултации между производителите и ЕОБХ, за да се даде възможност на ЕОБХ да представи очакванията си в контекста на подаването на техните искания за претенции, като същевременно се зачита принципът на независимост на ЕОБХ;</w:t>
      </w:r>
    </w:p>
    <w:p w:rsidR="00066666" w:rsidRPr="00596122" w:rsidRDefault="00066666" w:rsidP="00066666">
      <w:pPr>
        <w:pStyle w:val="NormalHanging12a"/>
        <w:rPr>
          <w:b/>
          <w:i/>
        </w:rPr>
      </w:pPr>
      <w:r w:rsidRPr="00596122">
        <w:rPr>
          <w:b/>
          <w:i/>
        </w:rPr>
        <w:t>Растителни вещества</w:t>
      </w:r>
    </w:p>
    <w:p w:rsidR="00066666" w:rsidRPr="00596122" w:rsidRDefault="00066666" w:rsidP="00066666">
      <w:pPr>
        <w:pStyle w:val="NormalHanging12a"/>
        <w:rPr>
          <w:szCs w:val="22"/>
        </w:rPr>
      </w:pPr>
      <w:r w:rsidRPr="00596122">
        <w:t>13.</w:t>
      </w:r>
      <w:r w:rsidRPr="00596122">
        <w:tab/>
        <w:t>отбелязва, че липсата на хармонизация на равнището на ЕС по отношение на класификацията на растителните вещества като храна или лекарство означава, че дадено растително вещество може да бъде етикетирано като „храна“ в една държава членка и като „лекарство“ в друга; подчертава, че подобни несъответствия представляват предизвикателства за производителите и регулаторните органи и имат потенциала да окажат отрицателно въздействие върху безопасността и благосъстоянието на потребителите, тъй като за потребителите е трудно да разграничат традиционните растителни лекарствени продукти и хранителните добавки на базата на растителни вещества, като и двете се базират на едно(и) и също(и) растително(и) вещество(а), което може да доведе до недоразумения относно тяхната употреба;</w:t>
      </w:r>
    </w:p>
    <w:p w:rsidR="00066666" w:rsidRPr="00596122" w:rsidRDefault="00066666" w:rsidP="00066666">
      <w:pPr>
        <w:pStyle w:val="NormalHanging12a"/>
      </w:pPr>
      <w:r w:rsidRPr="00596122">
        <w:t>14</w:t>
      </w:r>
      <w:r w:rsidR="00CD259B">
        <w:rPr>
          <w:lang w:val="en-GB"/>
        </w:rPr>
        <w:t>.</w:t>
      </w:r>
      <w:bookmarkStart w:id="8" w:name="_GoBack"/>
      <w:bookmarkEnd w:id="8"/>
      <w:r w:rsidRPr="00596122">
        <w:tab/>
        <w:t>отбелязва липсата на положителен или отрицателен списък на ЕС на растителните вещества, използвани в храни и хранителни добавки, както и липсата на изчерпателен списък на полезните или неблагоприятните ефекти на растителните вещества върху здравето, което води до законодателни различия между държавите членки, до разпокъсаност на пазара и до достигане на потенциално опасни продукти до потребителите;</w:t>
      </w:r>
    </w:p>
    <w:p w:rsidR="00066666" w:rsidRPr="00596122" w:rsidRDefault="00066666" w:rsidP="00066666">
      <w:pPr>
        <w:pStyle w:val="NormalHanging12a"/>
      </w:pPr>
      <w:r w:rsidRPr="00596122">
        <w:t>15.</w:t>
      </w:r>
      <w:r w:rsidRPr="00596122">
        <w:tab/>
        <w:t xml:space="preserve">не одобрява продължаващото спиране на оценката на претенциите за растителни вещества и посочва, че съществуват значителни правни опасения относно продължаващото използване на висящите претенции съгласно преходните мерки на Регламента относно хранителни и здравни претенции за храните; подчертава належащата необходимост от разглеждане на списъка с висящи претенции за растителни вещества чрез допълнителна оценка на тези претенции като спешно необходима мярка за защита на потребителите, както е посочено в доклада на Комисията от 2020 г. за оценка на Регламента относно хранителни и здравни претенции за храните; изразява силна загриженост, че трайното използване на висящите претенции съгласно преходните мерки на РХЗП може да подведе потребителите и да създаде риск за тяхното здрави, тъй като те може погрешно да приемат, че тези претенции са били научно оценени и е приложено управление на </w:t>
      </w:r>
      <w:r w:rsidRPr="00596122">
        <w:lastRenderedPageBreak/>
        <w:t>риска;</w:t>
      </w:r>
    </w:p>
    <w:p w:rsidR="00066666" w:rsidRPr="00596122" w:rsidRDefault="00066666" w:rsidP="00066666">
      <w:pPr>
        <w:pStyle w:val="NormalHanging12a"/>
      </w:pPr>
      <w:r w:rsidRPr="00596122">
        <w:t>16.</w:t>
      </w:r>
      <w:r w:rsidRPr="00596122">
        <w:tab/>
        <w:t>счита, че е от съществено значение ЕОБХ и Комисията своевременно да извършат преглед, в съответствие с разпоредбите на Регламента относно хранителни и здравни претенции за храните, на висящите здравни претенции, свързани с растителните вещества в храните; призовава Комисията да отхвърли онези претенции от списъка с висящи претенции, които вече са били оценени отрицателно;</w:t>
      </w:r>
    </w:p>
    <w:p w:rsidR="00066666" w:rsidRPr="00596122" w:rsidRDefault="00066666" w:rsidP="00066666">
      <w:pPr>
        <w:pStyle w:val="NormalHanging12a"/>
      </w:pPr>
      <w:r w:rsidRPr="00596122">
        <w:t>17.</w:t>
      </w:r>
      <w:r w:rsidRPr="00596122">
        <w:tab/>
        <w:t>настоятелно призовава държавите членки да си сътрудничат ефективно при установяването на координиран подход по отношение на растителните хранителни добавки и призовава Комисията да предостави насоки в това отношение; призовава Комисията и държавите членки незабавно да изготвят на равнище ЕС отрицателен списък на растителни вещества, използвани в храните, въз основа на тяхната токсичност или неблагоприятни здравни последици, които вече са установени в държавите членки;</w:t>
      </w:r>
    </w:p>
    <w:p w:rsidR="00066666" w:rsidRPr="00596122" w:rsidRDefault="00066666" w:rsidP="00066666">
      <w:pPr>
        <w:pStyle w:val="NormalHanging12a"/>
        <w:rPr>
          <w:b/>
        </w:rPr>
      </w:pPr>
      <w:r w:rsidRPr="00596122">
        <w:rPr>
          <w:b/>
          <w:i/>
        </w:rPr>
        <w:t>Правоприлагане</w:t>
      </w:r>
    </w:p>
    <w:p w:rsidR="00066666" w:rsidRPr="00596122" w:rsidRDefault="00066666" w:rsidP="00066666">
      <w:pPr>
        <w:pStyle w:val="NormalHanging12a"/>
      </w:pPr>
      <w:r w:rsidRPr="00596122">
        <w:t>18.</w:t>
      </w:r>
      <w:r w:rsidRPr="00596122">
        <w:tab/>
        <w:t>призовава Комисията да предостави актуализирани насоки относно начините за справяне с търговски практики, които се използват за заобикаляне на Регламента относно хранителни и здравни претенции за храните;</w:t>
      </w:r>
    </w:p>
    <w:p w:rsidR="00066666" w:rsidRPr="00596122" w:rsidRDefault="00066666" w:rsidP="00066666">
      <w:pPr>
        <w:pStyle w:val="NormalHanging12a"/>
        <w:rPr>
          <w:b/>
          <w:i/>
        </w:rPr>
      </w:pPr>
      <w:r w:rsidRPr="00596122">
        <w:t>19.</w:t>
      </w:r>
      <w:r w:rsidRPr="00596122">
        <w:tab/>
        <w:t>призовава Комисията и държавите членки да създадат мрежа от знания, насочена към подпомагане на работната група по хранителните и здравните претенции; отбелязва, че тази мрежа следва да подпомага обмена на най-добри практики, да преодолее различията в тълкуването между държавите членки и да се справи с различията в правоприлагането;</w:t>
      </w:r>
    </w:p>
    <w:p w:rsidR="00066666" w:rsidRPr="00596122" w:rsidRDefault="00066666" w:rsidP="00066666">
      <w:pPr>
        <w:pStyle w:val="NormalHanging12a"/>
        <w:rPr>
          <w:b/>
        </w:rPr>
      </w:pPr>
      <w:r w:rsidRPr="00596122">
        <w:rPr>
          <w:b/>
          <w:i/>
        </w:rPr>
        <w:t>Здравни претенции в онлайн съобщенията</w:t>
      </w:r>
    </w:p>
    <w:p w:rsidR="00066666" w:rsidRPr="00596122" w:rsidRDefault="00066666" w:rsidP="00066666">
      <w:pPr>
        <w:pStyle w:val="NormalHanging12a"/>
      </w:pPr>
      <w:r w:rsidRPr="00596122">
        <w:t>20.</w:t>
      </w:r>
      <w:r w:rsidRPr="00596122">
        <w:tab/>
        <w:t>подчертава, че Регламентът относно хранителни и здравни претенции за храните беше приет в момент, когато социалните медии все още не играеха толкова голяма роля в рекламата и продажбата на храни и хранителни добавки; изразява загриженост, че остава неясна степента, в която Регламентът относно хранителни и здравни претенции за храните ефективно регулира свързаните със здравето онлайн съобщения за храни;</w:t>
      </w:r>
    </w:p>
    <w:p w:rsidR="00066666" w:rsidRPr="00596122" w:rsidRDefault="00066666" w:rsidP="00066666">
      <w:pPr>
        <w:pStyle w:val="NormalHanging12a"/>
        <w:rPr>
          <w:szCs w:val="24"/>
        </w:rPr>
      </w:pPr>
      <w:r w:rsidRPr="00596122">
        <w:t>21.</w:t>
      </w:r>
      <w:r w:rsidRPr="00596122">
        <w:tab/>
        <w:t>изразява загриженост относно наличието на неразрешени и подвеждащи хранителни и здравни претенции онлайн; подчертава необходимостта да се гарантира, че РХЗП продължава да бъде релевантен и в онлайн средата, особено поради факта, че определени уязвими групи, като деца и юноши, могат да бъдат особено чувствителни към определени здравни претенции и информация за храните, споделяна в социалните медии, и това представлява риск за тяхното физическо и психическо здраве; счита, че във връзка с това е важно да се определи какво представлява съобщение с търговска цел за храни и хранителни добавки в социалните медии;</w:t>
      </w:r>
    </w:p>
    <w:p w:rsidR="00066666" w:rsidRPr="00596122" w:rsidRDefault="00066666" w:rsidP="00066666">
      <w:pPr>
        <w:pStyle w:val="NormalHanging12a"/>
      </w:pPr>
      <w:r w:rsidRPr="00596122">
        <w:t>22.</w:t>
      </w:r>
      <w:r w:rsidRPr="00596122">
        <w:tab/>
        <w:t xml:space="preserve">призовава отново да се обърне внимание на постигането на ефективен и общ за ЕС подход за справяне с излагането на децата и юношите на рекламата и маркетинга на преработени храни с високо съдържание на мазнини, захар и сол в </w:t>
      </w:r>
      <w:r w:rsidRPr="00596122">
        <w:lastRenderedPageBreak/>
        <w:t>радио- и телевизионните и цифровите медии; призовава Комисията да помисли за предприемането на законодателни действия за опазване на здравето на тази уязвима група потребители;</w:t>
      </w:r>
    </w:p>
    <w:p w:rsidR="00066666" w:rsidRPr="00596122" w:rsidRDefault="00066666" w:rsidP="00066666">
      <w:pPr>
        <w:pStyle w:val="NormalHanging12a"/>
      </w:pPr>
      <w:r w:rsidRPr="00596122">
        <w:t>23.</w:t>
      </w:r>
      <w:r w:rsidRPr="00596122">
        <w:tab/>
        <w:t>приканва Комисията да изготви цялостни насоки за онлайн прилагането на Регламента относно хранителни и здравни претенции за храните; счита, че в тези насоки следва да се очертаят ясни процедури и стандарти за мониторинг и регулиране на здравните претенции онлайн, като се гарантират точността и прозрачността на тези претенции и се защитава благосъстоянието на потребителите в рамките на Законодателния акт за цифровите услуги; посочва отговорностите на държавите членки и доставчиците на онлайн платформи, установени със Законодателния акт за цифровите услуги, а именно да действат срещу разпространението на незаконно съдържание и да гарантират прозрачност за потребителите по отношение на онлайн рекламата;</w:t>
      </w:r>
    </w:p>
    <w:p w:rsidR="00066666" w:rsidRPr="00596122" w:rsidRDefault="00066666" w:rsidP="00066666">
      <w:pPr>
        <w:pStyle w:val="NormalHanging12a"/>
        <w:rPr>
          <w:szCs w:val="24"/>
        </w:rPr>
      </w:pPr>
      <w:r w:rsidRPr="00596122">
        <w:t>24.</w:t>
      </w:r>
      <w:r w:rsidRPr="00596122">
        <w:tab/>
        <w:t>призовава Комисията и държавите членки да създадат платформа за обмен на най-добрите практики при онлайн прилагането на Регламента относно хранителни и здравни претенции за храните и за насърчаване на сътрудничеството между компетентните органи на държавите членки;</w:t>
      </w:r>
    </w:p>
    <w:p w:rsidR="00066666" w:rsidRPr="00596122" w:rsidRDefault="00066666" w:rsidP="00066666">
      <w:pPr>
        <w:pStyle w:val="NormalHanging12a"/>
        <w:jc w:val="center"/>
      </w:pPr>
      <w:r w:rsidRPr="00596122">
        <w:t>°</w:t>
      </w:r>
    </w:p>
    <w:p w:rsidR="00066666" w:rsidRPr="00596122" w:rsidRDefault="00066666" w:rsidP="00066666">
      <w:pPr>
        <w:pStyle w:val="NormalHanging12a"/>
        <w:jc w:val="center"/>
      </w:pPr>
      <w:r w:rsidRPr="00596122">
        <w:t>°</w:t>
      </w:r>
      <w:r w:rsidRPr="00596122">
        <w:tab/>
        <w:t>°</w:t>
      </w:r>
    </w:p>
    <w:p w:rsidR="00066666" w:rsidRPr="00596122" w:rsidRDefault="00066666" w:rsidP="008A6F21">
      <w:pPr>
        <w:ind w:left="567" w:hanging="567"/>
      </w:pPr>
      <w:r w:rsidRPr="00596122">
        <w:t>25.</w:t>
      </w:r>
      <w:r w:rsidRPr="00596122">
        <w:tab/>
        <w:t xml:space="preserve">възлага на своя председател да предаде настоящата резолюция съответно </w:t>
      </w:r>
      <w:r w:rsidR="00596122" w:rsidRPr="00596122">
        <w:t>на Съвета и на Комисията.</w:t>
      </w:r>
    </w:p>
    <w:p w:rsidR="00E365E1" w:rsidRPr="00596122" w:rsidRDefault="00E365E1" w:rsidP="00066666">
      <w:bookmarkStart w:id="9" w:name="TextBodyEnd"/>
      <w:bookmarkEnd w:id="9"/>
    </w:p>
    <w:sectPr w:rsidR="00E365E1" w:rsidRPr="00596122" w:rsidSect="005961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337F" w:rsidRPr="00596122" w:rsidRDefault="009E337F">
      <w:r w:rsidRPr="00596122">
        <w:separator/>
      </w:r>
    </w:p>
  </w:endnote>
  <w:endnote w:type="continuationSeparator" w:id="0">
    <w:p w:rsidR="009E337F" w:rsidRPr="00596122" w:rsidRDefault="009E337F">
      <w:r w:rsidRPr="005961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1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1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1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337F" w:rsidRPr="00596122" w:rsidRDefault="009E337F">
      <w:r w:rsidRPr="00596122">
        <w:separator/>
      </w:r>
    </w:p>
  </w:footnote>
  <w:footnote w:type="continuationSeparator" w:id="0">
    <w:p w:rsidR="009E337F" w:rsidRPr="00596122" w:rsidRDefault="009E337F">
      <w:r w:rsidRPr="00596122">
        <w:continuationSeparator/>
      </w:r>
    </w:p>
  </w:footnote>
  <w:footnote w:id="1">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ОВ L 404, 30.12.2006 г., стр. 9.</w:t>
      </w:r>
    </w:p>
  </w:footnote>
  <w:footnote w:id="2">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ОВ L 31, 1.2.2002 г., стр. 1.</w:t>
      </w:r>
    </w:p>
  </w:footnote>
  <w:footnote w:id="3">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ОВ L 304, 22.11.2011 г., стр. 18.</w:t>
      </w:r>
    </w:p>
  </w:footnote>
  <w:footnote w:id="4">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ОВ L 183, 12.7.2002 г., стр. 51.</w:t>
      </w:r>
    </w:p>
  </w:footnote>
  <w:footnote w:id="5">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rStyle w:val="Emphasis"/>
          <w:color w:val="333333"/>
          <w:sz w:val="24"/>
          <w:shd w:val="clear" w:color="auto" w:fill="FFFFFF"/>
          <w:lang w:val="bg-BG"/>
        </w:rPr>
        <w:t xml:space="preserve"> </w:t>
      </w:r>
      <w:r w:rsidR="00596122" w:rsidRPr="00596122">
        <w:rPr>
          <w:rStyle w:val="Emphasis"/>
          <w:color w:val="333333"/>
          <w:sz w:val="24"/>
          <w:shd w:val="clear" w:color="auto" w:fill="FFFFFF"/>
          <w:lang w:val="bg-BG"/>
        </w:rPr>
        <w:tab/>
      </w:r>
      <w:r w:rsidRPr="0099503E">
        <w:rPr>
          <w:rStyle w:val="Emphasis"/>
          <w:i w:val="0"/>
          <w:iCs w:val="0"/>
          <w:color w:val="333333"/>
          <w:sz w:val="24"/>
          <w:shd w:val="clear" w:color="auto" w:fill="FFFFFF"/>
          <w:lang w:val="bg-BG"/>
        </w:rPr>
        <w:t>ОВ L 404, 30.12.2006 г., стр. 26.</w:t>
      </w:r>
    </w:p>
  </w:footnote>
  <w:footnote w:id="6">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ОВ L 181, 29.6.2013 г., стр. 35.</w:t>
      </w:r>
    </w:p>
  </w:footnote>
  <w:footnote w:id="7">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ОВ L 277, 27.10.2022 г., стр. 1.</w:t>
      </w:r>
    </w:p>
  </w:footnote>
  <w:footnote w:id="8">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ОВ L 107, 26.3.2021 г., стр. 1.</w:t>
      </w:r>
    </w:p>
  </w:footnote>
  <w:footnote w:id="9">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ОВ C 184, 5.5.2022 г., стр. 2.</w:t>
      </w:r>
    </w:p>
  </w:footnote>
  <w:footnote w:id="10">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 xml:space="preserve">Европейски орган за безопасност на храните, Tolerable upper input level for dietary sugars (Горната граница за безопасен прием на захари, съдържащи се в храната), </w:t>
      </w:r>
      <w:r w:rsidRPr="00596122">
        <w:rPr>
          <w:i/>
          <w:sz w:val="24"/>
          <w:lang w:val="bg-BG"/>
        </w:rPr>
        <w:t>Бюлетин на ЕОБХ</w:t>
      </w:r>
      <w:r w:rsidRPr="00596122">
        <w:rPr>
          <w:sz w:val="24"/>
          <w:lang w:val="bg-BG"/>
        </w:rPr>
        <w:t>, том 20, брой 2, Европейски орган за безопасност на храните, 15 декември 2021 г.</w:t>
      </w:r>
    </w:p>
  </w:footnote>
  <w:footnote w:id="11">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 xml:space="preserve">Световна здравна организация, </w:t>
      </w:r>
      <w:r w:rsidRPr="00596122">
        <w:rPr>
          <w:i/>
          <w:sz w:val="24"/>
          <w:lang w:val="bg-BG"/>
        </w:rPr>
        <w:t>Nutrition labelling:</w:t>
      </w:r>
      <w:r w:rsidRPr="00596122">
        <w:rPr>
          <w:sz w:val="24"/>
          <w:lang w:val="bg-BG"/>
        </w:rPr>
        <w:t xml:space="preserve"> </w:t>
      </w:r>
      <w:r w:rsidRPr="00596122">
        <w:rPr>
          <w:i/>
          <w:sz w:val="24"/>
          <w:lang w:val="bg-BG"/>
        </w:rPr>
        <w:t xml:space="preserve">policy brief </w:t>
      </w:r>
      <w:r w:rsidRPr="00596122">
        <w:rPr>
          <w:sz w:val="24"/>
          <w:lang w:val="bg-BG"/>
        </w:rPr>
        <w:t>(Етикетиране на хранителната информация: обзор на политиката), Световна здравна организация, Женева, 2022 г.</w:t>
      </w:r>
    </w:p>
  </w:footnote>
  <w:footnote w:id="12">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 xml:space="preserve">Световна здравна организация, </w:t>
      </w:r>
      <w:r w:rsidRPr="00596122">
        <w:rPr>
          <w:i/>
          <w:sz w:val="24"/>
          <w:lang w:val="bg-BG"/>
        </w:rPr>
        <w:t>Guiding principles and framework manual for front-of-pack labelling for promoting healthy diets</w:t>
      </w:r>
      <w:r w:rsidRPr="00596122">
        <w:rPr>
          <w:sz w:val="24"/>
          <w:lang w:val="bg-BG"/>
        </w:rPr>
        <w:t xml:space="preserve"> (Ръководни принципи и рамково ръководство за етикетиране на лицевата страна на опаковката за насърчаване на здравословно хранене), Световна здравна организация, Женева, 2019 г.</w:t>
      </w:r>
    </w:p>
  </w:footnote>
  <w:footnote w:id="13">
    <w:p w:rsidR="00066666" w:rsidRPr="00596122" w:rsidRDefault="00066666" w:rsidP="00596122">
      <w:pPr>
        <w:pStyle w:val="FootnoteText"/>
        <w:ind w:left="567" w:hanging="567"/>
        <w:rPr>
          <w:b/>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 xml:space="preserve">УНИЦЕФ,  </w:t>
      </w:r>
      <w:r w:rsidRPr="00596122">
        <w:rPr>
          <w:i/>
          <w:sz w:val="24"/>
          <w:lang w:val="bg-BG"/>
        </w:rPr>
        <w:t>Children’s rights in impact assessments – A guide for integrating children’s rights into impact assessments and taking action for children</w:t>
      </w:r>
      <w:r w:rsidRPr="00596122">
        <w:rPr>
          <w:sz w:val="24"/>
          <w:lang w:val="bg-BG"/>
        </w:rPr>
        <w:t xml:space="preserve"> (Правата на децата в оценките на въздействието: ръководство за включване на правата на децата в оценките на въздействието и предприемане на действия за децата), УНИЦЕФ, Женева, декември 2013 г.</w:t>
      </w:r>
    </w:p>
  </w:footnote>
  <w:footnote w:id="14">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 xml:space="preserve">Решение на Съда от 14 юли 2016 г. по дело </w:t>
      </w:r>
      <w:r w:rsidRPr="00596122">
        <w:rPr>
          <w:i/>
          <w:sz w:val="24"/>
          <w:lang w:val="bg-BG"/>
        </w:rPr>
        <w:t>Verband Sozialer Wettbewerb eV</w:t>
      </w:r>
      <w:r w:rsidRPr="00596122">
        <w:rPr>
          <w:sz w:val="24"/>
          <w:lang w:val="bg-BG"/>
        </w:rPr>
        <w:t xml:space="preserve"> срещу </w:t>
      </w:r>
      <w:r w:rsidRPr="00596122">
        <w:rPr>
          <w:i/>
          <w:sz w:val="24"/>
          <w:lang w:val="bg-BG"/>
        </w:rPr>
        <w:t>Innova Vital GmbH</w:t>
      </w:r>
      <w:r w:rsidRPr="00596122">
        <w:rPr>
          <w:sz w:val="24"/>
          <w:lang w:val="bg-BG"/>
        </w:rPr>
        <w:t>, C-19/15, ECLI:EU:C:2016:563.</w:t>
      </w:r>
    </w:p>
  </w:footnote>
  <w:footnote w:id="15">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 xml:space="preserve">Европейска комисия, </w:t>
      </w:r>
      <w:r w:rsidRPr="00596122">
        <w:rPr>
          <w:i/>
          <w:iCs/>
          <w:sz w:val="24"/>
          <w:lang w:val="bg-BG"/>
        </w:rPr>
        <w:t>Final Report Summary – CLYMBOL (Role of health-related claims and symbols in consumer behaviour)</w:t>
      </w:r>
      <w:r w:rsidRPr="00596122">
        <w:rPr>
          <w:sz w:val="24"/>
          <w:lang w:val="bg-BG"/>
        </w:rPr>
        <w:t xml:space="preserve"> (Резюме на окончателен доклад — CLYMBOL (Роля на свързаните със здравето искове и символи в поведението на потребителите)), 8 март 2017 г.</w:t>
      </w:r>
    </w:p>
  </w:footnote>
  <w:footnote w:id="16">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 xml:space="preserve">Pichierri, M. et al., The interplay between health claim type and individual regulatory focus in determining consumers’ intentions toward extra-virgin olive oil (Взаимодействието между вида здравна претенция и индивидуалния регулаторен фокус при определяне на намеренията на потребителите по отношение на необработеното маслиново масло екстра качество), </w:t>
      </w:r>
      <w:r w:rsidRPr="00596122">
        <w:rPr>
          <w:i/>
          <w:sz w:val="24"/>
          <w:lang w:val="bg-BG"/>
        </w:rPr>
        <w:t>Food Research International</w:t>
      </w:r>
      <w:r w:rsidRPr="00596122">
        <w:rPr>
          <w:sz w:val="24"/>
          <w:lang w:val="bg-BG"/>
        </w:rPr>
        <w:t>, том 136, статия 109467, Elsevier, октомври 2020 г.</w:t>
      </w:r>
    </w:p>
  </w:footnote>
  <w:footnote w:id="17">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 xml:space="preserve">Световна здравна организация, </w:t>
      </w:r>
      <w:hyperlink r:id="rId1" w:history="1">
        <w:r w:rsidRPr="00596122">
          <w:rPr>
            <w:rStyle w:val="Hyperlink"/>
            <w:i/>
            <w:sz w:val="24"/>
            <w:lang w:val="bg-BG"/>
          </w:rPr>
          <w:t>WHO European Regional Obesity Report 2022</w:t>
        </w:r>
      </w:hyperlink>
      <w:r w:rsidRPr="00596122">
        <w:rPr>
          <w:sz w:val="24"/>
          <w:lang w:val="bg-BG"/>
        </w:rPr>
        <w:t xml:space="preserve"> (Доклад на СЗО относно затлъстяването на регионално равнище в Европа за 2022 г.), Световна здравна организация, Женева, 2022 г.</w:t>
      </w:r>
    </w:p>
  </w:footnote>
  <w:footnote w:id="18">
    <w:p w:rsidR="00066666" w:rsidRPr="00596122" w:rsidRDefault="00066666" w:rsidP="00596122">
      <w:pPr>
        <w:pStyle w:val="FootnoteText"/>
        <w:ind w:left="567" w:hanging="567"/>
        <w:rPr>
          <w:rFonts w:eastAsia="Arial"/>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OВ C 342, 6.9.2022 г., стр. 109.</w:t>
      </w:r>
    </w:p>
  </w:footnote>
  <w:footnote w:id="19">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 xml:space="preserve">Европейски орган за безопасност на храните, </w:t>
      </w:r>
      <w:r w:rsidRPr="00596122">
        <w:rPr>
          <w:i/>
          <w:sz w:val="24"/>
          <w:lang w:val="bg-BG"/>
        </w:rPr>
        <w:t xml:space="preserve">EFSA explains draft scientific opinion on a tolerable upper intake level for dietary sugars </w:t>
      </w:r>
      <w:r w:rsidRPr="00596122">
        <w:rPr>
          <w:sz w:val="24"/>
          <w:lang w:val="bg-BG"/>
        </w:rPr>
        <w:t>(ЕОБХ обяснява проект на научно становище относно допустимото горно ниво на прием на захари, съдържащи се в храната), Европейски орган за безопасност на храните, 2021 г.</w:t>
      </w:r>
    </w:p>
  </w:footnote>
  <w:footnote w:id="20">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 xml:space="preserve">Ashwell, M. и др., Nature of the evidence base and strengths, challenges and recommendations in the area of nutrition and health claims:a position paper from the Academy of Nutrition Sciences (Същност на доказателствената база и силни страни, предизвикателства и препоръки в областта на хранителните и здравните претенции: документ за изразяване на позиция на Академията по науките за храненето), </w:t>
      </w:r>
      <w:r w:rsidRPr="00596122">
        <w:rPr>
          <w:i/>
          <w:sz w:val="24"/>
          <w:lang w:val="bg-BG"/>
        </w:rPr>
        <w:t>British Journal of Nutrition</w:t>
      </w:r>
      <w:r w:rsidRPr="00596122">
        <w:rPr>
          <w:sz w:val="24"/>
          <w:lang w:val="bg-BG"/>
        </w:rPr>
        <w:t>, том 130, брой 2, 28 юли 2023 г., стр. 221 – 238.</w:t>
      </w:r>
    </w:p>
  </w:footnote>
  <w:footnote w:id="21">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Европейски съюз, Eurobarometer – Making our food fit for the future – new trends and challenges (Евробарометър – Да пригодим храната си към бъдещето – нови тенденции и предизвикателства), октомври 2020 г.</w:t>
      </w:r>
    </w:p>
  </w:footnote>
  <w:footnote w:id="22">
    <w:p w:rsidR="00066666" w:rsidRPr="00596122" w:rsidRDefault="00066666" w:rsidP="00596122">
      <w:pPr>
        <w:pStyle w:val="FootnoteText"/>
        <w:ind w:left="567" w:hanging="567"/>
        <w:rPr>
          <w:sz w:val="24"/>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 xml:space="preserve">Решение на Съда от 8 юни 2017 г., </w:t>
      </w:r>
      <w:r w:rsidRPr="00596122">
        <w:rPr>
          <w:i/>
          <w:sz w:val="24"/>
          <w:lang w:val="bg-BG"/>
        </w:rPr>
        <w:t>Dextro Energy GmbH &amp; Co. KG</w:t>
      </w:r>
      <w:r w:rsidRPr="00596122">
        <w:rPr>
          <w:sz w:val="24"/>
          <w:lang w:val="bg-BG"/>
        </w:rPr>
        <w:t xml:space="preserve"> срещу </w:t>
      </w:r>
      <w:r w:rsidRPr="00596122">
        <w:rPr>
          <w:i/>
          <w:sz w:val="24"/>
          <w:lang w:val="bg-BG"/>
        </w:rPr>
        <w:t>Европейската</w:t>
      </w:r>
      <w:r w:rsidRPr="00596122">
        <w:rPr>
          <w:sz w:val="24"/>
          <w:lang w:val="bg-BG"/>
        </w:rPr>
        <w:t xml:space="preserve"> </w:t>
      </w:r>
      <w:r w:rsidRPr="00596122">
        <w:rPr>
          <w:i/>
          <w:sz w:val="24"/>
          <w:lang w:val="bg-BG"/>
        </w:rPr>
        <w:t>комисия</w:t>
      </w:r>
      <w:r w:rsidRPr="00596122">
        <w:rPr>
          <w:sz w:val="24"/>
          <w:lang w:val="bg-BG"/>
        </w:rPr>
        <w:t>, C-296/16, ECLI:EU:C:2017:437.</w:t>
      </w:r>
    </w:p>
  </w:footnote>
  <w:footnote w:id="23">
    <w:p w:rsidR="00066666" w:rsidRPr="00596122" w:rsidRDefault="00066666" w:rsidP="00596122">
      <w:pPr>
        <w:pStyle w:val="FootnoteText"/>
        <w:ind w:left="567" w:hanging="567"/>
        <w:rPr>
          <w:sz w:val="24"/>
          <w:vertAlign w:val="superscript"/>
          <w:lang w:val="bg-BG"/>
        </w:rPr>
      </w:pPr>
      <w:r w:rsidRPr="00596122">
        <w:rPr>
          <w:rStyle w:val="FootnoteReference"/>
          <w:sz w:val="24"/>
          <w:lang w:val="bg-BG"/>
        </w:rPr>
        <w:footnoteRef/>
      </w:r>
      <w:r w:rsidR="00596122" w:rsidRPr="00596122">
        <w:rPr>
          <w:sz w:val="24"/>
          <w:lang w:val="bg-BG"/>
        </w:rPr>
        <w:t xml:space="preserve"> </w:t>
      </w:r>
      <w:r w:rsidR="00596122" w:rsidRPr="00596122">
        <w:rPr>
          <w:sz w:val="24"/>
          <w:lang w:val="bg-BG"/>
        </w:rPr>
        <w:tab/>
      </w:r>
      <w:r w:rsidRPr="00596122">
        <w:rPr>
          <w:sz w:val="24"/>
          <w:lang w:val="bg-BG"/>
        </w:rPr>
        <w:t xml:space="preserve">Munblit, D. и др., Health and nutrition claims for infant formula are poorly substantiated and potentially harmful (Здравните и хранителните претенции за храните за кърмачета са слабо обосновани и потенциално вредни), British Medical Journal, том 369, статия m875, 2020 г., и Cheung, K.Y., и др., Health and nutrition claims for infant formula: international cross sectional survey (Здравните и хранителните претенции за храните за кърмачета: международно междусекторно проучване), </w:t>
      </w:r>
      <w:r w:rsidRPr="00596122">
        <w:rPr>
          <w:i/>
          <w:sz w:val="24"/>
          <w:lang w:val="bg-BG"/>
        </w:rPr>
        <w:t>British Medical Journal</w:t>
      </w:r>
      <w:r w:rsidRPr="00596122">
        <w:rPr>
          <w:sz w:val="24"/>
          <w:lang w:val="bg-BG"/>
        </w:rPr>
        <w:t xml:space="preserve">, том 380, брой 8371, 2023 г. </w:t>
      </w:r>
    </w:p>
    <w:p w:rsidR="00066666" w:rsidRPr="00596122" w:rsidRDefault="00596122" w:rsidP="00596122">
      <w:pPr>
        <w:pStyle w:val="FootnoteText"/>
        <w:ind w:left="567" w:hanging="567"/>
        <w:rPr>
          <w:sz w:val="24"/>
          <w:vertAlign w:val="superscript"/>
          <w:lang w:val="bg-BG"/>
        </w:rPr>
      </w:pPr>
      <w:r w:rsidRPr="00596122">
        <w:rPr>
          <w:sz w:val="24"/>
          <w:lang w:val="bg-BG"/>
        </w:rPr>
        <w:t xml:space="preserve"> </w:t>
      </w:r>
      <w:r w:rsidRPr="00596122">
        <w:rPr>
          <w:sz w:val="24"/>
          <w:lang w:val="bg-BG"/>
        </w:rPr>
        <w:tab/>
      </w:r>
    </w:p>
    <w:p w:rsidR="00066666" w:rsidRPr="00596122" w:rsidRDefault="00596122" w:rsidP="00596122">
      <w:pPr>
        <w:pStyle w:val="FootnoteText"/>
        <w:ind w:left="567" w:hanging="567"/>
        <w:rPr>
          <w:sz w:val="24"/>
          <w:lang w:val="bg-BG"/>
        </w:rPr>
      </w:pPr>
      <w:r w:rsidRPr="00596122">
        <w:rPr>
          <w:sz w:val="24"/>
          <w:lang w:val="bg-BG"/>
        </w:rPr>
        <w:t xml:space="preserve"> </w:t>
      </w:r>
      <w:r w:rsidRPr="00596122">
        <w:rPr>
          <w:sz w:val="24"/>
          <w:lang w:val="bg-BG"/>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1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1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1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BG"/>
    <w:docVar w:name="dvnumam" w:val="0"/>
    <w:docVar w:name="dvpe" w:val="753.549"/>
    <w:docVar w:name="dvrapporteur" w:val="Докладчик: "/>
    <w:docVar w:name="dvtitre" w:val="Резолюция на Европейския парламент от ... 2024 г. за изпълнението на Регламент (ЕО) № 1924/2006 относно хранителни и здравни претенции за храните(2023/2081(ΙΝΙ))"/>
  </w:docVars>
  <w:rsids>
    <w:rsidRoot w:val="009E337F"/>
    <w:rsid w:val="00002272"/>
    <w:rsid w:val="00064002"/>
    <w:rsid w:val="00066666"/>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122"/>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F21"/>
    <w:rsid w:val="008C2AC6"/>
    <w:rsid w:val="00930C23"/>
    <w:rsid w:val="0093193B"/>
    <w:rsid w:val="009509D8"/>
    <w:rsid w:val="00950B64"/>
    <w:rsid w:val="00981893"/>
    <w:rsid w:val="0099503E"/>
    <w:rsid w:val="009E337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259B"/>
    <w:rsid w:val="00CF071A"/>
    <w:rsid w:val="00D058B8"/>
    <w:rsid w:val="00D56C11"/>
    <w:rsid w:val="00D834A0"/>
    <w:rsid w:val="00D872DF"/>
    <w:rsid w:val="00D91E21"/>
    <w:rsid w:val="00DA7FCD"/>
    <w:rsid w:val="00E249F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E89842"/>
  <w15:chartTrackingRefBased/>
  <w15:docId w15:val="{1A9C6051-714B-4F0E-A27A-66B74FB9E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66666"/>
    <w:pPr>
      <w:spacing w:after="240"/>
      <w:ind w:left="567" w:hanging="567"/>
    </w:pPr>
  </w:style>
  <w:style w:type="paragraph" w:customStyle="1" w:styleId="EPComma">
    <w:name w:val="EPComma"/>
    <w:basedOn w:val="Normal"/>
    <w:rsid w:val="00066666"/>
    <w:pPr>
      <w:spacing w:before="480" w:after="240"/>
    </w:pPr>
  </w:style>
  <w:style w:type="character" w:styleId="Hyperlink">
    <w:name w:val="Hyperlink"/>
    <w:basedOn w:val="DefaultParagraphFont"/>
    <w:uiPriority w:val="99"/>
    <w:unhideWhenUsed/>
    <w:rsid w:val="00066666"/>
    <w:rPr>
      <w:color w:val="0563C1" w:themeColor="hyperlink"/>
      <w:u w:val="single"/>
    </w:rPr>
  </w:style>
  <w:style w:type="character" w:styleId="Emphasis">
    <w:name w:val="Emphasis"/>
    <w:basedOn w:val="DefaultParagraphFont"/>
    <w:uiPriority w:val="20"/>
    <w:qFormat/>
    <w:rsid w:val="00066666"/>
    <w:rPr>
      <w:i/>
      <w:iCs/>
    </w:rPr>
  </w:style>
  <w:style w:type="character" w:customStyle="1" w:styleId="NormalHanging12aChar">
    <w:name w:val="NormalHanging12a Char"/>
    <w:basedOn w:val="DefaultParagraphFont"/>
    <w:link w:val="NormalHanging12a"/>
    <w:locked/>
    <w:rsid w:val="00066666"/>
    <w:rPr>
      <w:sz w:val="24"/>
      <w:lang w:val="bg-BG"/>
    </w:rPr>
  </w:style>
  <w:style w:type="paragraph" w:styleId="BalloonText">
    <w:name w:val="Balloon Text"/>
    <w:basedOn w:val="Normal"/>
    <w:link w:val="BalloonTextChar"/>
    <w:rsid w:val="008A6F21"/>
    <w:rPr>
      <w:rFonts w:ascii="Segoe UI" w:hAnsi="Segoe UI" w:cs="Segoe UI"/>
      <w:sz w:val="18"/>
      <w:szCs w:val="18"/>
    </w:rPr>
  </w:style>
  <w:style w:type="character" w:customStyle="1" w:styleId="BalloonTextChar">
    <w:name w:val="Balloon Text Char"/>
    <w:basedOn w:val="DefaultParagraphFont"/>
    <w:link w:val="BalloonText"/>
    <w:rsid w:val="008A6F21"/>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56ED3-4F81-4F13-BC7B-0F0826266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4608</Words>
  <Characters>27837</Characters>
  <Application>Microsoft Office Word</Application>
  <DocSecurity>0</DocSecurity>
  <Lines>632</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2024-02-15T13:10:00Z</dcterms:created>
  <dcterms:modified xsi:type="dcterms:W3CDTF">2024-02-15T13:10:00Z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P9_TA(2024)0040_</vt:lpwstr>
  </property>
  <property fmtid="{D5CDD505-2E9C-101B-9397-08002B2CF9AE}" pid="4" name="&lt;Type&gt;">
    <vt:lpwstr>RR</vt:lpwstr>
  </property>
</Properties>
</file>