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57BF" w:rsidTr="0010095E">
        <w:trPr>
          <w:trHeight w:hRule="exact" w:val="1418"/>
        </w:trPr>
        <w:tc>
          <w:tcPr>
            <w:tcW w:w="6804" w:type="dxa"/>
            <w:shd w:val="clear" w:color="auto" w:fill="auto"/>
            <w:vAlign w:val="center"/>
          </w:tcPr>
          <w:p w:rsidR="00751A4A" w:rsidRPr="00F657BF" w:rsidRDefault="006165FC" w:rsidP="0010095E">
            <w:pPr>
              <w:pStyle w:val="EPName"/>
            </w:pPr>
            <w:r w:rsidRPr="00F657BF">
              <w:t>Ευρωπαϊκό Κοινοβούλιο</w:t>
            </w:r>
          </w:p>
          <w:p w:rsidR="00751A4A" w:rsidRPr="00F657BF" w:rsidRDefault="00817416" w:rsidP="00756632">
            <w:pPr>
              <w:pStyle w:val="EPTerm"/>
              <w:rPr>
                <w:rStyle w:val="HideTWBExt"/>
                <w:noProof w:val="0"/>
                <w:vanish w:val="0"/>
                <w:color w:val="auto"/>
              </w:rPr>
            </w:pPr>
            <w:r w:rsidRPr="00F657BF">
              <w:t>2019-2024</w:t>
            </w:r>
          </w:p>
        </w:tc>
        <w:tc>
          <w:tcPr>
            <w:tcW w:w="2268" w:type="dxa"/>
            <w:shd w:val="clear" w:color="auto" w:fill="auto"/>
          </w:tcPr>
          <w:p w:rsidR="00751A4A" w:rsidRPr="00F657BF" w:rsidRDefault="00187494" w:rsidP="0010095E">
            <w:pPr>
              <w:pStyle w:val="EPLogo"/>
            </w:pPr>
            <w:r w:rsidRPr="00F657B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657BF" w:rsidRDefault="00D058B8" w:rsidP="004C5D52">
      <w:pPr>
        <w:pStyle w:val="LineTop"/>
      </w:pPr>
    </w:p>
    <w:p w:rsidR="00680577" w:rsidRPr="00F657BF" w:rsidRDefault="006165FC" w:rsidP="00680577">
      <w:pPr>
        <w:pStyle w:val="EPBodyTA1"/>
      </w:pPr>
      <w:r w:rsidRPr="00F657BF">
        <w:t>ΚΕΙΜΕΝΑ ΠΟΥ ΕΓΚΡΙΘΗΚΑΝ</w:t>
      </w:r>
    </w:p>
    <w:p w:rsidR="00D058B8" w:rsidRPr="00F657BF" w:rsidRDefault="00D058B8" w:rsidP="00D058B8">
      <w:pPr>
        <w:pStyle w:val="LineBottom"/>
      </w:pPr>
    </w:p>
    <w:p w:rsidR="006165FC" w:rsidRPr="00F657BF" w:rsidRDefault="006165FC" w:rsidP="006165FC">
      <w:pPr>
        <w:pStyle w:val="ATHeading1"/>
      </w:pPr>
      <w:bookmarkStart w:id="0" w:name="TANumber"/>
      <w:r w:rsidRPr="00F657BF">
        <w:t>P9_TA(2024)00</w:t>
      </w:r>
      <w:r w:rsidR="00F657BF" w:rsidRPr="00F657BF">
        <w:t>4</w:t>
      </w:r>
      <w:r w:rsidRPr="00F657BF">
        <w:t>0</w:t>
      </w:r>
      <w:bookmarkEnd w:id="0"/>
    </w:p>
    <w:p w:rsidR="006165FC" w:rsidRPr="00F657BF" w:rsidRDefault="00252BDC" w:rsidP="006165FC">
      <w:pPr>
        <w:pStyle w:val="ATHeading2"/>
      </w:pPr>
      <w:bookmarkStart w:id="1" w:name="title"/>
      <w:r w:rsidRPr="00F657BF">
        <w:t>Εφαρμογή του κανονισμού (ΕΚ) αριθ. 1924/2006 για τους ισχυρισμούς διατροφής και υγείας που διατυπώνονται στα τρόφιμα</w:t>
      </w:r>
      <w:bookmarkEnd w:id="1"/>
    </w:p>
    <w:p w:rsidR="006165FC" w:rsidRPr="00F657BF" w:rsidRDefault="006165FC" w:rsidP="006165FC">
      <w:pPr>
        <w:rPr>
          <w:i/>
          <w:vanish/>
        </w:rPr>
      </w:pPr>
      <w:r w:rsidRPr="00F657BF">
        <w:rPr>
          <w:i/>
        </w:rPr>
        <w:fldChar w:fldCharType="begin"/>
      </w:r>
      <w:r w:rsidRPr="00F657BF">
        <w:rPr>
          <w:i/>
        </w:rPr>
        <w:instrText xml:space="preserve"> TC"(</w:instrText>
      </w:r>
      <w:bookmarkStart w:id="2" w:name="DocNumber"/>
      <w:r w:rsidRPr="00F657BF">
        <w:rPr>
          <w:i/>
        </w:rPr>
        <w:instrText>A9-0416/2023</w:instrText>
      </w:r>
      <w:bookmarkEnd w:id="2"/>
      <w:r w:rsidRPr="00F657BF">
        <w:rPr>
          <w:i/>
        </w:rPr>
        <w:instrText xml:space="preserve"> - Εισηγήτρια: Tilly Metz)"\l3 \n&gt; \* MERGEFORMAT </w:instrText>
      </w:r>
      <w:r w:rsidRPr="00F657BF">
        <w:rPr>
          <w:i/>
        </w:rPr>
        <w:fldChar w:fldCharType="end"/>
      </w:r>
    </w:p>
    <w:p w:rsidR="006165FC" w:rsidRPr="00F657BF" w:rsidRDefault="006165FC" w:rsidP="006165FC">
      <w:pPr>
        <w:rPr>
          <w:vanish/>
        </w:rPr>
      </w:pPr>
      <w:bookmarkStart w:id="3" w:name="Commission"/>
      <w:r w:rsidRPr="00F657BF">
        <w:rPr>
          <w:vanish/>
        </w:rPr>
        <w:t>Έγγραφο συνόδου</w:t>
      </w:r>
      <w:bookmarkEnd w:id="3"/>
    </w:p>
    <w:p w:rsidR="006165FC" w:rsidRPr="00F657BF" w:rsidRDefault="006165FC" w:rsidP="006165FC">
      <w:pPr>
        <w:rPr>
          <w:vanish/>
        </w:rPr>
      </w:pPr>
      <w:bookmarkStart w:id="4" w:name="PE"/>
      <w:r w:rsidRPr="00F657BF">
        <w:rPr>
          <w:vanish/>
        </w:rPr>
        <w:t>PE753.549</w:t>
      </w:r>
      <w:bookmarkEnd w:id="4"/>
    </w:p>
    <w:p w:rsidR="006165FC" w:rsidRPr="00F657BF" w:rsidRDefault="006165FC" w:rsidP="006165FC">
      <w:pPr>
        <w:pStyle w:val="ATHeading3"/>
      </w:pPr>
      <w:bookmarkStart w:id="5" w:name="Sujet"/>
      <w:r w:rsidRPr="00F657BF">
        <w:t xml:space="preserve">Ψήφισμα του Ευρωπαϊκού Κοινοβουλίου </w:t>
      </w:r>
      <w:r w:rsidR="00252BDC" w:rsidRPr="00F657BF">
        <w:t xml:space="preserve">της </w:t>
      </w:r>
      <w:r w:rsidR="0060190F" w:rsidRPr="00F657BF">
        <w:t>18</w:t>
      </w:r>
      <w:r w:rsidR="00252BDC" w:rsidRPr="00F657BF">
        <w:t xml:space="preserve">ης Ιανουαρίου 2024 </w:t>
      </w:r>
      <w:r w:rsidRPr="00F657BF">
        <w:t>σχετικά με την εφαρμογή του κανονισμού (ΕΚ) αριθ. 1924/2006 για τους ισχυρισμούς διατροφής και υγείας που διατυπώνονται στα τρόφιμα</w:t>
      </w:r>
      <w:bookmarkEnd w:id="5"/>
      <w:r w:rsidRPr="00F657BF">
        <w:t xml:space="preserve"> </w:t>
      </w:r>
      <w:bookmarkStart w:id="6" w:name="References"/>
      <w:r w:rsidRPr="00F657BF">
        <w:t>(2023/2081(INI))</w:t>
      </w:r>
      <w:bookmarkEnd w:id="6"/>
    </w:p>
    <w:p w:rsidR="00B048D0" w:rsidRPr="00F657BF" w:rsidRDefault="00B048D0" w:rsidP="00B048D0">
      <w:pPr>
        <w:pStyle w:val="EPComma"/>
      </w:pPr>
      <w:bookmarkStart w:id="7" w:name="TextBodyBegin"/>
      <w:bookmarkEnd w:id="7"/>
      <w:r w:rsidRPr="00F657BF">
        <w:rPr>
          <w:i/>
          <w:iCs/>
        </w:rPr>
        <w:t>Το Ευρωπαϊκό Κοινοβούλιο,</w:t>
      </w:r>
    </w:p>
    <w:p w:rsidR="00B048D0" w:rsidRPr="00F657BF" w:rsidRDefault="00B048D0" w:rsidP="00252BDC">
      <w:pPr>
        <w:pStyle w:val="NormalHanging12a"/>
        <w:widowControl/>
      </w:pPr>
      <w:r w:rsidRPr="00F657BF">
        <w:t>–</w:t>
      </w:r>
      <w:r w:rsidRPr="00F657BF">
        <w:tab/>
        <w:t>έχοντας υπόψη τα άρθρα 168 και 169 της Συνθήκης για τη λειτουργία της Ευρωπαϊκής Ένωσης,</w:t>
      </w:r>
    </w:p>
    <w:p w:rsidR="00B048D0" w:rsidRPr="00F657BF" w:rsidRDefault="00B048D0" w:rsidP="00252BDC">
      <w:pPr>
        <w:pStyle w:val="NormalHanging12a"/>
        <w:widowControl/>
        <w:rPr>
          <w:szCs w:val="24"/>
        </w:rPr>
      </w:pPr>
      <w:r w:rsidRPr="00F657BF">
        <w:t>–</w:t>
      </w:r>
      <w:r w:rsidRPr="00F657BF">
        <w:rPr>
          <w:color w:val="000000"/>
        </w:rPr>
        <w:tab/>
        <w:t>έχοντας υπόψη τον κανονισμό (ΕΚ) αριθ. 1924/2006 του Ευρωπαϊκού Κοινοβουλίου και του Συμβουλίου</w:t>
      </w:r>
      <w:r w:rsidR="00252BDC" w:rsidRPr="00F657BF">
        <w:rPr>
          <w:color w:val="000000"/>
        </w:rPr>
        <w:t>,</w:t>
      </w:r>
      <w:r w:rsidRPr="00F657BF">
        <w:rPr>
          <w:color w:val="000000"/>
        </w:rPr>
        <w:t xml:space="preserve"> της 20ής Δεκεμβρίου 2006</w:t>
      </w:r>
      <w:r w:rsidR="00252BDC" w:rsidRPr="00F657BF">
        <w:rPr>
          <w:color w:val="000000"/>
        </w:rPr>
        <w:t>,</w:t>
      </w:r>
      <w:r w:rsidRPr="00F657BF">
        <w:rPr>
          <w:color w:val="000000"/>
        </w:rPr>
        <w:t xml:space="preserve"> σχετικά με τους ισχυρισμούς επί θεμάτων διατροφής και υγείας που διατυπώνονται για τα τρόφιμα</w:t>
      </w:r>
      <w:r w:rsidRPr="00F657BF">
        <w:rPr>
          <w:rStyle w:val="FootnoteReference"/>
          <w:bCs/>
          <w:color w:val="000000"/>
          <w:szCs w:val="24"/>
        </w:rPr>
        <w:footnoteReference w:id="1"/>
      </w:r>
      <w:r w:rsidRPr="00F657BF">
        <w:rPr>
          <w:color w:val="000000"/>
        </w:rPr>
        <w:t>,</w:t>
      </w:r>
    </w:p>
    <w:p w:rsidR="00B048D0" w:rsidRPr="00F657BF" w:rsidRDefault="00B048D0" w:rsidP="00252BDC">
      <w:pPr>
        <w:pStyle w:val="NormalHanging12a"/>
        <w:widowControl/>
      </w:pPr>
      <w:r w:rsidRPr="00F657BF">
        <w:t>–</w:t>
      </w:r>
      <w:r w:rsidRPr="00F657BF">
        <w:tab/>
        <w:t>έχοντας υπόψη τον κανονισμό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w:t>
      </w:r>
      <w:r w:rsidRPr="00F657BF">
        <w:rPr>
          <w:rStyle w:val="FootnoteReference"/>
          <w:bCs/>
          <w:color w:val="000000"/>
          <w:szCs w:val="24"/>
        </w:rPr>
        <w:footnoteReference w:id="2"/>
      </w:r>
      <w:r w:rsidRPr="00F657BF">
        <w:t>,</w:t>
      </w:r>
    </w:p>
    <w:p w:rsidR="00B048D0" w:rsidRPr="00F657BF" w:rsidRDefault="00B048D0" w:rsidP="00252BDC">
      <w:pPr>
        <w:pStyle w:val="NormalHanging12a"/>
        <w:widowControl/>
        <w:rPr>
          <w:szCs w:val="24"/>
        </w:rPr>
      </w:pPr>
      <w:r w:rsidRPr="00F657BF">
        <w:t>–</w:t>
      </w:r>
      <w:r w:rsidRPr="00F657BF">
        <w:rPr>
          <w:color w:val="000000"/>
        </w:rPr>
        <w:tab/>
        <w:t>έχοντας υπόψη τον κανονισμό (ΕΕ) αριθ. 1169/2011 του Ευρωπαϊκού Κοινοβουλίου και του Συμβουλίου, της 25ης Οκτωβρίου 2011, σχετικά με την παροχή πληροφοριών για τα τρόφιμα στους καταναλωτές, την τροποποίηση των κανονισμών του Ευρωπαϊκού Κοινοβουλίου και του Συμβουλίου (ΕΚ) αριθ. 1924/2006 και (ΕΚ) αριθ. 1925/2006 και την κατάργηση της οδηγίας 87/250/ΕΟΚ της Επιτροπής, της οδηγίας 90/496/ΕΟΚ του Συμβουλίου, της οδηγίας 1999/10/ΕΚ της Επιτροπής, της οδηγίας 2000/13/ΕΚ του Ευρωπαϊκού Κοινοβουλίου και του Συμβουλίου, των οδηγιών της Επιτροπής 2002/67/ΕΚ και 2008/5/ΕΚ και του κανονισμού (ΕΚ) αριθ. 608/2004 της Επιτροπής</w:t>
      </w:r>
      <w:r w:rsidRPr="00F657BF">
        <w:rPr>
          <w:rStyle w:val="FootnoteReference"/>
          <w:bCs/>
          <w:color w:val="000000"/>
          <w:szCs w:val="24"/>
        </w:rPr>
        <w:footnoteReference w:id="3"/>
      </w:r>
      <w:r w:rsidRPr="00F657BF">
        <w:rPr>
          <w:color w:val="000000"/>
        </w:rPr>
        <w:t>,</w:t>
      </w:r>
    </w:p>
    <w:p w:rsidR="00B048D0" w:rsidRPr="00F657BF" w:rsidRDefault="00B048D0" w:rsidP="00252BDC">
      <w:pPr>
        <w:pStyle w:val="NormalHanging12a"/>
        <w:widowControl/>
        <w:rPr>
          <w:szCs w:val="24"/>
        </w:rPr>
      </w:pPr>
      <w:r w:rsidRPr="00F657BF">
        <w:t>–</w:t>
      </w:r>
      <w:r w:rsidRPr="00F657BF">
        <w:rPr>
          <w:color w:val="000000"/>
        </w:rPr>
        <w:tab/>
        <w:t>έχοντας υπόψη την οδηγία 2002/46/ΕΚ του Ευρωπαϊκού Κοινοβουλίου και του Συμβουλίου, της 10ης Ιουνίου 2002, για την προσέγγιση των νομοθεσιών των κρατών μελών περί των συμπληρωμάτων διατροφής</w:t>
      </w:r>
      <w:r w:rsidRPr="00F657BF">
        <w:rPr>
          <w:rStyle w:val="FootnoteReference"/>
          <w:bCs/>
          <w:color w:val="000000"/>
          <w:szCs w:val="24"/>
        </w:rPr>
        <w:footnoteReference w:id="4"/>
      </w:r>
      <w:r w:rsidRPr="00F657BF">
        <w:rPr>
          <w:color w:val="000000"/>
        </w:rPr>
        <w:t>,</w:t>
      </w:r>
    </w:p>
    <w:p w:rsidR="00B048D0" w:rsidRPr="00F657BF" w:rsidRDefault="00B048D0" w:rsidP="00252BDC">
      <w:pPr>
        <w:pStyle w:val="NormalHanging12a"/>
        <w:widowControl/>
        <w:rPr>
          <w:szCs w:val="24"/>
        </w:rPr>
      </w:pPr>
      <w:r w:rsidRPr="00F657BF">
        <w:lastRenderedPageBreak/>
        <w:t>–</w:t>
      </w:r>
      <w:r w:rsidRPr="00F657BF">
        <w:rPr>
          <w:color w:val="000000"/>
        </w:rPr>
        <w:tab/>
        <w:t>έχοντας υπόψη τον κανονισμό (ΕΚ) αριθ. 1925/2006 του Ευρωπαϊκού Κοινοβουλίου και του Συμβουλίου, της 20ής Δεκεμβρίου 2006, σχετικά με την προσθήκη βιταμινών και ανόργανων συστατικών και ορισμένων άλλων ουσιών στα τρόφιμα</w:t>
      </w:r>
      <w:r w:rsidRPr="00F657BF">
        <w:rPr>
          <w:rStyle w:val="FootnoteReference"/>
          <w:bCs/>
          <w:color w:val="000000"/>
          <w:szCs w:val="24"/>
        </w:rPr>
        <w:footnoteReference w:id="5"/>
      </w:r>
      <w:r w:rsidRPr="00F657BF">
        <w:rPr>
          <w:color w:val="000000"/>
        </w:rPr>
        <w:t>,</w:t>
      </w:r>
    </w:p>
    <w:p w:rsidR="00B048D0" w:rsidRPr="00F657BF" w:rsidRDefault="00B048D0" w:rsidP="00252BDC">
      <w:pPr>
        <w:pStyle w:val="NormalHanging12a"/>
        <w:widowControl/>
        <w:rPr>
          <w:bCs/>
          <w:color w:val="000000"/>
          <w:szCs w:val="24"/>
        </w:rPr>
      </w:pPr>
      <w:r w:rsidRPr="00F657BF">
        <w:t>–</w:t>
      </w:r>
      <w:r w:rsidRPr="00F657BF">
        <w:rPr>
          <w:color w:val="000000"/>
        </w:rPr>
        <w:tab/>
        <w:t>έχοντας υπόψη τον κανονισμό (ΕΕ) αριθ. 609/2013 του Ευρωπαϊκού Κοινοβουλίου και του Συμβουλίου, της 12ης Ιουνίου 2013, για τα τρόφιμα τα οποία προορίζονται για βρέφη και μικρά παιδιά και για τα τρόφιμα που προορίζονται για ειδικούς ιατρικούς σκοπούς, και ως υποκατάστατα του συνόλου του διαιτολογίου για τον έλεγχο του σωματικού βάρους και για την κατάργηση της οδηγίας 92/52/ΕΟΚ του Συμβουλίου, των οδηγιών της Επιτροπής 96/8/ΕΚ, 1999/21/ΕΚ, 2006/125/ΕΚ και 2006/141/ΕΚ, της οδηγίας 2009/39/ΕΚ του Ευρωπαϊκού Κοινοβουλίου και του Συμβουλίου και των κανονισμών της Επιτροπής (ΕΚ) αριθ. 41/2009 και (ΕΚ) αριθ. 953/2009</w:t>
      </w:r>
      <w:r w:rsidRPr="00F657BF">
        <w:rPr>
          <w:rStyle w:val="FootnoteReference"/>
          <w:bCs/>
          <w:color w:val="000000"/>
          <w:szCs w:val="24"/>
        </w:rPr>
        <w:footnoteReference w:id="6"/>
      </w:r>
      <w:r w:rsidRPr="00F657BF">
        <w:rPr>
          <w:color w:val="000000"/>
        </w:rPr>
        <w:t>,</w:t>
      </w:r>
    </w:p>
    <w:p w:rsidR="00B048D0" w:rsidRPr="00F657BF" w:rsidRDefault="00B048D0" w:rsidP="00252BDC">
      <w:pPr>
        <w:pStyle w:val="NormalHanging12a"/>
        <w:widowControl/>
        <w:rPr>
          <w:szCs w:val="24"/>
        </w:rPr>
      </w:pPr>
      <w:r w:rsidRPr="00F657BF">
        <w:t>–</w:t>
      </w:r>
      <w:r w:rsidRPr="00F657BF">
        <w:rPr>
          <w:b/>
          <w:i/>
        </w:rPr>
        <w:tab/>
      </w:r>
      <w:r w:rsidRPr="00F657BF">
        <w:t>έχοντας υπόψη τον κανονισμό (ΕΕ) 2022/2065 του Ευρωπαϊκού Κοινοβουλίου και του Συμβουλίου, της 19ης Οκτωβρίου 2022, σχετικά με την ενιαία αγορά ψηφιακών υπηρεσιών και την τροποποίηση της οδηγίας 2000/31/ΕΚ (πράξη για τις ψηφιακές υπηρεσίες)</w:t>
      </w:r>
      <w:r w:rsidRPr="00F657BF">
        <w:rPr>
          <w:rStyle w:val="FootnoteReference"/>
          <w:szCs w:val="24"/>
        </w:rPr>
        <w:footnoteReference w:id="7"/>
      </w:r>
      <w:r w:rsidRPr="00F657BF">
        <w:t xml:space="preserve">, </w:t>
      </w:r>
    </w:p>
    <w:p w:rsidR="00B048D0" w:rsidRPr="00F657BF" w:rsidRDefault="00B048D0" w:rsidP="00252BDC">
      <w:pPr>
        <w:pStyle w:val="NormalHanging12a"/>
        <w:widowControl/>
        <w:rPr>
          <w:szCs w:val="24"/>
        </w:rPr>
      </w:pPr>
      <w:r w:rsidRPr="00F657BF">
        <w:t>–</w:t>
      </w:r>
      <w:r w:rsidRPr="00F657BF">
        <w:tab/>
        <w:t>έχοντας υπόψη τον κανονισμό (ΕΕ) 2021/522 του Ευρωπαϊκού Κοινοβουλίου και του Συμβουλίου, της 24ης Μαρτίου 2021, για τη θέσπιση Προγράμματος σχετικά με τη δράση της Ένωσης στον τομέα της υγείας [Πρόγραμμα «Η ΕΕ για την υγεία» (EU4Health)] για την περίοδο 2021-2027 και για την κατάργηση του κανονισμού (ΕΕ) αριθ. 282/2014</w:t>
      </w:r>
      <w:r w:rsidRPr="00F657BF">
        <w:rPr>
          <w:rStyle w:val="FootnoteReference"/>
          <w:szCs w:val="24"/>
        </w:rPr>
        <w:footnoteReference w:id="8"/>
      </w:r>
      <w:r w:rsidRPr="00F657BF">
        <w:t>,</w:t>
      </w:r>
      <w:bookmarkStart w:id="8" w:name="_GoBack"/>
      <w:bookmarkEnd w:id="8"/>
    </w:p>
    <w:p w:rsidR="00B048D0" w:rsidRPr="00F657BF" w:rsidRDefault="00B048D0" w:rsidP="00252BDC">
      <w:pPr>
        <w:pStyle w:val="NormalHanging12a"/>
        <w:widowControl/>
        <w:rPr>
          <w:bCs/>
          <w:color w:val="000000"/>
          <w:szCs w:val="24"/>
        </w:rPr>
      </w:pPr>
      <w:r w:rsidRPr="00F657BF">
        <w:t>–</w:t>
      </w:r>
      <w:r w:rsidRPr="00F657BF">
        <w:rPr>
          <w:color w:val="000000"/>
        </w:rPr>
        <w:tab/>
        <w:t>έχοντας υπόψη το ψήφισμά του, της 20ής Οκτωβρίου 2021, σχετικά με τη στρατηγική «Από το αγρόκτημα στο πιάτο» για ένα δίκαιο, υγιές και φιλικό προς το περιβάλλον σύστημα τροφίμων</w:t>
      </w:r>
      <w:r w:rsidRPr="00F657BF">
        <w:rPr>
          <w:rStyle w:val="FootnoteReference"/>
          <w:bCs/>
          <w:color w:val="000000"/>
          <w:szCs w:val="24"/>
        </w:rPr>
        <w:footnoteReference w:id="9"/>
      </w:r>
      <w:r w:rsidRPr="00F657BF">
        <w:rPr>
          <w:color w:val="000000"/>
        </w:rPr>
        <w:t>,</w:t>
      </w:r>
    </w:p>
    <w:p w:rsidR="00B048D0" w:rsidRPr="00F657BF" w:rsidRDefault="00B048D0" w:rsidP="00252BDC">
      <w:pPr>
        <w:pStyle w:val="NormalHanging12a"/>
        <w:widowControl/>
        <w:rPr>
          <w:szCs w:val="24"/>
        </w:rPr>
      </w:pPr>
      <w:r w:rsidRPr="00F657BF">
        <w:t>–</w:t>
      </w:r>
      <w:r w:rsidRPr="00F657BF">
        <w:rPr>
          <w:color w:val="000000"/>
        </w:rPr>
        <w:tab/>
        <w:t>έχοντας υπόψη την ανακοίνωση της Επιτροπής, της 20ής Μαΐου 2020, με τίτλο «Από το αγρόκτημα στο πιάτο - Μια στρατηγική για ένα δίκαιο, υγιές και φιλικό προς το περιβάλλον σύστημα τροφίμων» (COM(2020)0381),</w:t>
      </w:r>
    </w:p>
    <w:p w:rsidR="00B048D0" w:rsidRPr="00F657BF" w:rsidRDefault="00B048D0" w:rsidP="00252BDC">
      <w:pPr>
        <w:pStyle w:val="NormalHanging12a"/>
        <w:widowControl/>
        <w:rPr>
          <w:bCs/>
          <w:color w:val="000000"/>
          <w:szCs w:val="24"/>
        </w:rPr>
      </w:pPr>
      <w:r w:rsidRPr="00F657BF">
        <w:t>–</w:t>
      </w:r>
      <w:r w:rsidRPr="00F657BF">
        <w:rPr>
          <w:color w:val="000000"/>
        </w:rPr>
        <w:tab/>
        <w:t>έχοντας υπόψη το έγγραφο εργασίας των υπηρεσιών της Επιτροπής, της 20ής Μαΐου 2020, με τίτλο «Συνοπτική παρουσίαση της αξιολόγησης του κανονισμού (ΕΚ) αριθ. 1924/2006 σχετικά με τους ισχυρι20ούς διατροφής και υγείας που διατυπώνονται στα τρόφιμα όσον αφορά τα θρεπτικά χαρακτηριστικά και τους ισχυρισμούς υγείας που διατυπώνονται για τα φυτά και τα παρασκευάσματά τους, καθώς και του γενικού κανονιστικού πλαισίου για τη χρήση τους στα τρόφιμα» (SWD(2020)0096),</w:t>
      </w:r>
    </w:p>
    <w:p w:rsidR="00B048D0" w:rsidRPr="00F657BF" w:rsidRDefault="00B048D0" w:rsidP="00252BDC">
      <w:pPr>
        <w:pStyle w:val="NormalHanging12a"/>
        <w:widowControl/>
        <w:rPr>
          <w:szCs w:val="24"/>
        </w:rPr>
      </w:pPr>
      <w:r w:rsidRPr="00F657BF">
        <w:lastRenderedPageBreak/>
        <w:t>–</w:t>
      </w:r>
      <w:r w:rsidRPr="00F657BF">
        <w:rPr>
          <w:b/>
          <w:i/>
        </w:rPr>
        <w:tab/>
      </w:r>
      <w:r w:rsidRPr="00F657BF">
        <w:t>έχοντας υπόψη την επιστημονική γνώμη της Ευρωπαϊκής Αρχής για την Ασφάλεια των Τροφίμων (EFSA), της 15ης Δεκεμβρίου 2021, με τίτλο «</w:t>
      </w:r>
      <w:proofErr w:type="spellStart"/>
      <w:r w:rsidRPr="00F657BF">
        <w:t>Tolerable</w:t>
      </w:r>
      <w:proofErr w:type="spellEnd"/>
      <w:r w:rsidRPr="00F657BF">
        <w:t xml:space="preserve"> </w:t>
      </w:r>
      <w:proofErr w:type="spellStart"/>
      <w:r w:rsidRPr="00F657BF">
        <w:t>upper</w:t>
      </w:r>
      <w:proofErr w:type="spellEnd"/>
      <w:r w:rsidRPr="00F657BF">
        <w:t xml:space="preserve"> </w:t>
      </w:r>
      <w:proofErr w:type="spellStart"/>
      <w:r w:rsidRPr="00F657BF">
        <w:t>intake</w:t>
      </w:r>
      <w:proofErr w:type="spellEnd"/>
      <w:r w:rsidRPr="00F657BF">
        <w:t xml:space="preserve"> </w:t>
      </w:r>
      <w:proofErr w:type="spellStart"/>
      <w:r w:rsidRPr="00F657BF">
        <w:t>level</w:t>
      </w:r>
      <w:proofErr w:type="spellEnd"/>
      <w:r w:rsidRPr="00F657BF">
        <w:t xml:space="preserve"> for </w:t>
      </w:r>
      <w:proofErr w:type="spellStart"/>
      <w:r w:rsidRPr="00F657BF">
        <w:t>dietary</w:t>
      </w:r>
      <w:proofErr w:type="spellEnd"/>
      <w:r w:rsidRPr="00F657BF">
        <w:t xml:space="preserve"> </w:t>
      </w:r>
      <w:proofErr w:type="spellStart"/>
      <w:r w:rsidRPr="00F657BF">
        <w:t>sugars</w:t>
      </w:r>
      <w:proofErr w:type="spellEnd"/>
      <w:r w:rsidRPr="00F657BF">
        <w:t>» (Ανώτατο ανεκτό επίπεδο πρόσληψης σακχάρων στη διατροφή)</w:t>
      </w:r>
      <w:r w:rsidRPr="00F657BF">
        <w:rPr>
          <w:rStyle w:val="FootnoteReference"/>
          <w:szCs w:val="24"/>
        </w:rPr>
        <w:footnoteReference w:id="10"/>
      </w:r>
      <w:r w:rsidRPr="00F657BF">
        <w:t>,</w:t>
      </w:r>
    </w:p>
    <w:p w:rsidR="00B048D0" w:rsidRPr="00F657BF" w:rsidRDefault="00B048D0" w:rsidP="00252BDC">
      <w:pPr>
        <w:pStyle w:val="NormalHanging12a"/>
        <w:widowControl/>
        <w:rPr>
          <w:szCs w:val="24"/>
        </w:rPr>
      </w:pPr>
      <w:r w:rsidRPr="00F657BF">
        <w:t>–</w:t>
      </w:r>
      <w:r w:rsidRPr="00F657BF">
        <w:tab/>
        <w:t>έχοντας υπόψη τη δημοσίευση του 2022 του ΠΟΥ με τίτλο «</w:t>
      </w:r>
      <w:proofErr w:type="spellStart"/>
      <w:r w:rsidRPr="00F657BF">
        <w:t>Nutrition</w:t>
      </w:r>
      <w:proofErr w:type="spellEnd"/>
      <w:r w:rsidRPr="00F657BF">
        <w:t xml:space="preserve"> </w:t>
      </w:r>
      <w:proofErr w:type="spellStart"/>
      <w:r w:rsidRPr="00F657BF">
        <w:t>labelling</w:t>
      </w:r>
      <w:proofErr w:type="spellEnd"/>
      <w:r w:rsidRPr="00F657BF">
        <w:t xml:space="preserve">: </w:t>
      </w:r>
      <w:proofErr w:type="spellStart"/>
      <w:r w:rsidRPr="00F657BF">
        <w:t>policy</w:t>
      </w:r>
      <w:proofErr w:type="spellEnd"/>
      <w:r w:rsidRPr="00F657BF">
        <w:t xml:space="preserve"> </w:t>
      </w:r>
      <w:proofErr w:type="spellStart"/>
      <w:r w:rsidRPr="00F657BF">
        <w:t>brief</w:t>
      </w:r>
      <w:proofErr w:type="spellEnd"/>
      <w:r w:rsidRPr="00F657BF">
        <w:t>» (Διατροφική επισήμανση: σύνοψη πολιτικής)</w:t>
      </w:r>
      <w:r w:rsidRPr="00F657BF">
        <w:rPr>
          <w:rStyle w:val="FootnoteReference"/>
          <w:szCs w:val="24"/>
        </w:rPr>
        <w:footnoteReference w:id="11"/>
      </w:r>
      <w:r w:rsidRPr="00F657BF">
        <w:t>,</w:t>
      </w:r>
    </w:p>
    <w:p w:rsidR="00B048D0" w:rsidRPr="00F657BF" w:rsidRDefault="00B048D0" w:rsidP="00252BDC">
      <w:pPr>
        <w:pStyle w:val="NormalHanging12a"/>
        <w:widowControl/>
        <w:rPr>
          <w:szCs w:val="24"/>
        </w:rPr>
      </w:pPr>
      <w:r w:rsidRPr="00F657BF">
        <w:t>–</w:t>
      </w:r>
      <w:r w:rsidRPr="00F657BF">
        <w:tab/>
        <w:t>έχοντας υπόψη τη δημοσίευση του ΠΟΥ με τίτλο «</w:t>
      </w:r>
      <w:proofErr w:type="spellStart"/>
      <w:r w:rsidRPr="00F657BF">
        <w:t>Guiding</w:t>
      </w:r>
      <w:proofErr w:type="spellEnd"/>
      <w:r w:rsidRPr="00F657BF">
        <w:t xml:space="preserve"> </w:t>
      </w:r>
      <w:proofErr w:type="spellStart"/>
      <w:r w:rsidRPr="00F657BF">
        <w:t>principles</w:t>
      </w:r>
      <w:proofErr w:type="spellEnd"/>
      <w:r w:rsidRPr="00F657BF">
        <w:t xml:space="preserve"> and </w:t>
      </w:r>
      <w:proofErr w:type="spellStart"/>
      <w:r w:rsidRPr="00F657BF">
        <w:t>framework</w:t>
      </w:r>
      <w:proofErr w:type="spellEnd"/>
      <w:r w:rsidRPr="00F657BF">
        <w:t xml:space="preserve"> </w:t>
      </w:r>
      <w:proofErr w:type="spellStart"/>
      <w:r w:rsidRPr="00F657BF">
        <w:t>manual</w:t>
      </w:r>
      <w:proofErr w:type="spellEnd"/>
      <w:r w:rsidRPr="00F657BF">
        <w:t xml:space="preserve"> for </w:t>
      </w:r>
      <w:proofErr w:type="spellStart"/>
      <w:r w:rsidRPr="00F657BF">
        <w:t>front</w:t>
      </w:r>
      <w:proofErr w:type="spellEnd"/>
      <w:r w:rsidRPr="00F657BF">
        <w:t xml:space="preserve"> of-</w:t>
      </w:r>
      <w:proofErr w:type="spellStart"/>
      <w:r w:rsidRPr="00F657BF">
        <w:t>pack</w:t>
      </w:r>
      <w:proofErr w:type="spellEnd"/>
      <w:r w:rsidRPr="00F657BF">
        <w:t xml:space="preserve"> </w:t>
      </w:r>
      <w:proofErr w:type="spellStart"/>
      <w:r w:rsidRPr="00F657BF">
        <w:t>marking</w:t>
      </w:r>
      <w:proofErr w:type="spellEnd"/>
      <w:r w:rsidRPr="00F657BF">
        <w:t xml:space="preserve"> for </w:t>
      </w:r>
      <w:proofErr w:type="spellStart"/>
      <w:r w:rsidRPr="00F657BF">
        <w:t>promotion</w:t>
      </w:r>
      <w:proofErr w:type="spellEnd"/>
      <w:r w:rsidRPr="00F657BF">
        <w:t xml:space="preserve"> </w:t>
      </w:r>
      <w:proofErr w:type="spellStart"/>
      <w:r w:rsidRPr="00F657BF">
        <w:t>healthy</w:t>
      </w:r>
      <w:proofErr w:type="spellEnd"/>
      <w:r w:rsidRPr="00F657BF">
        <w:t xml:space="preserve"> </w:t>
      </w:r>
      <w:proofErr w:type="spellStart"/>
      <w:r w:rsidRPr="00F657BF">
        <w:t>diets</w:t>
      </w:r>
      <w:proofErr w:type="spellEnd"/>
      <w:r w:rsidRPr="00F657BF">
        <w:t>» (Κατευθυντήριες αρχές και εγχειρίδιο πλαισίου για την επισήμανση στο εμπρόσθιο μέρος της συσκευασίας για την προώθηση της υγιεινής διατροφής)</w:t>
      </w:r>
      <w:r w:rsidRPr="00F657BF">
        <w:rPr>
          <w:rStyle w:val="FootnoteReference"/>
          <w:szCs w:val="24"/>
        </w:rPr>
        <w:footnoteReference w:id="12"/>
      </w:r>
      <w:r w:rsidRPr="00F657BF">
        <w:t>,</w:t>
      </w:r>
    </w:p>
    <w:p w:rsidR="00B048D0" w:rsidRPr="00F657BF" w:rsidRDefault="00B048D0" w:rsidP="00252BDC">
      <w:pPr>
        <w:pStyle w:val="NormalHanging12a"/>
        <w:widowControl/>
        <w:rPr>
          <w:szCs w:val="24"/>
        </w:rPr>
      </w:pPr>
      <w:r w:rsidRPr="00F657BF">
        <w:t>–</w:t>
      </w:r>
      <w:r w:rsidRPr="00F657BF">
        <w:tab/>
        <w:t xml:space="preserve">έχοντας υπόψη τον τρίτο στόχο βιώσιμης ανάπτυξης των Ηνωμένων Εθνών για τη διασφάλιση υγιούς ζωής και την προώθηση της ευημερίας για όλους και σε όλες τις ηλικίες, </w:t>
      </w:r>
    </w:p>
    <w:p w:rsidR="00B048D0" w:rsidRPr="00F657BF" w:rsidRDefault="00B048D0" w:rsidP="00252BDC">
      <w:pPr>
        <w:pStyle w:val="NormalHanging12a"/>
        <w:widowControl/>
        <w:rPr>
          <w:szCs w:val="24"/>
        </w:rPr>
      </w:pPr>
      <w:r w:rsidRPr="00F657BF">
        <w:t>–</w:t>
      </w:r>
      <w:r w:rsidRPr="00F657BF">
        <w:tab/>
        <w:t>έχοντας υπόψη τη δημοσίευση της UNICEF, του Δεκεμβρίου του 2013, με τίτλο «</w:t>
      </w:r>
      <w:proofErr w:type="spellStart"/>
      <w:r w:rsidRPr="00F657BF">
        <w:t>Children’s</w:t>
      </w:r>
      <w:proofErr w:type="spellEnd"/>
      <w:r w:rsidRPr="00F657BF">
        <w:t xml:space="preserve"> </w:t>
      </w:r>
      <w:proofErr w:type="spellStart"/>
      <w:r w:rsidRPr="00F657BF">
        <w:t>rights</w:t>
      </w:r>
      <w:proofErr w:type="spellEnd"/>
      <w:r w:rsidRPr="00F657BF">
        <w:t xml:space="preserve"> in </w:t>
      </w:r>
      <w:proofErr w:type="spellStart"/>
      <w:r w:rsidRPr="00F657BF">
        <w:t>impact</w:t>
      </w:r>
      <w:proofErr w:type="spellEnd"/>
      <w:r w:rsidRPr="00F657BF">
        <w:t xml:space="preserve"> </w:t>
      </w:r>
      <w:proofErr w:type="spellStart"/>
      <w:r w:rsidRPr="00F657BF">
        <w:t>assessments</w:t>
      </w:r>
      <w:proofErr w:type="spellEnd"/>
      <w:r w:rsidRPr="00F657BF">
        <w:t xml:space="preserve"> - A </w:t>
      </w:r>
      <w:proofErr w:type="spellStart"/>
      <w:r w:rsidRPr="00F657BF">
        <w:t>guide</w:t>
      </w:r>
      <w:proofErr w:type="spellEnd"/>
      <w:r w:rsidRPr="00F657BF">
        <w:t xml:space="preserve"> for </w:t>
      </w:r>
      <w:proofErr w:type="spellStart"/>
      <w:r w:rsidRPr="00F657BF">
        <w:t>integrating</w:t>
      </w:r>
      <w:proofErr w:type="spellEnd"/>
      <w:r w:rsidRPr="00F657BF">
        <w:t xml:space="preserve"> </w:t>
      </w:r>
      <w:proofErr w:type="spellStart"/>
      <w:r w:rsidRPr="00F657BF">
        <w:t>children’s</w:t>
      </w:r>
      <w:proofErr w:type="spellEnd"/>
      <w:r w:rsidRPr="00F657BF">
        <w:t xml:space="preserve"> </w:t>
      </w:r>
      <w:proofErr w:type="spellStart"/>
      <w:r w:rsidRPr="00F657BF">
        <w:t>rights</w:t>
      </w:r>
      <w:proofErr w:type="spellEnd"/>
      <w:r w:rsidRPr="00F657BF">
        <w:t xml:space="preserve"> </w:t>
      </w:r>
      <w:proofErr w:type="spellStart"/>
      <w:r w:rsidRPr="00F657BF">
        <w:t>into</w:t>
      </w:r>
      <w:proofErr w:type="spellEnd"/>
      <w:r w:rsidRPr="00F657BF">
        <w:t xml:space="preserve"> </w:t>
      </w:r>
      <w:proofErr w:type="spellStart"/>
      <w:r w:rsidRPr="00F657BF">
        <w:t>impact</w:t>
      </w:r>
      <w:proofErr w:type="spellEnd"/>
      <w:r w:rsidRPr="00F657BF">
        <w:t xml:space="preserve"> </w:t>
      </w:r>
      <w:proofErr w:type="spellStart"/>
      <w:r w:rsidRPr="00F657BF">
        <w:t>assessments</w:t>
      </w:r>
      <w:proofErr w:type="spellEnd"/>
      <w:r w:rsidRPr="00F657BF">
        <w:t xml:space="preserve"> and </w:t>
      </w:r>
      <w:proofErr w:type="spellStart"/>
      <w:r w:rsidRPr="00F657BF">
        <w:t>taking</w:t>
      </w:r>
      <w:proofErr w:type="spellEnd"/>
      <w:r w:rsidRPr="00F657BF">
        <w:t xml:space="preserve"> </w:t>
      </w:r>
      <w:proofErr w:type="spellStart"/>
      <w:r w:rsidRPr="00F657BF">
        <w:t>action</w:t>
      </w:r>
      <w:proofErr w:type="spellEnd"/>
      <w:r w:rsidRPr="00F657BF">
        <w:t xml:space="preserve"> for </w:t>
      </w:r>
      <w:proofErr w:type="spellStart"/>
      <w:r w:rsidRPr="00F657BF">
        <w:t>children</w:t>
      </w:r>
      <w:proofErr w:type="spellEnd"/>
      <w:r w:rsidRPr="00F657BF">
        <w:t xml:space="preserve">» (Τα δικαιώματα των παιδιών στις εκτιμήσεις επιπτώσεων - </w:t>
      </w:r>
      <w:r w:rsidR="00252BDC" w:rsidRPr="00F657BF">
        <w:t>Ο</w:t>
      </w:r>
      <w:r w:rsidRPr="00F657BF">
        <w:t>δηγός για την ενσωμάτωση των δικαιωμάτων των παιδιών στις εκτιμήσεις επιπτώσεων και την ανάληψη δράσης για τα παιδιά)</w:t>
      </w:r>
      <w:r w:rsidRPr="00F657BF">
        <w:rPr>
          <w:rStyle w:val="FootnoteReference"/>
          <w:szCs w:val="24"/>
        </w:rPr>
        <w:footnoteReference w:id="13"/>
      </w:r>
      <w:r w:rsidRPr="00F657BF">
        <w:t>,</w:t>
      </w:r>
    </w:p>
    <w:p w:rsidR="00B048D0" w:rsidRPr="00F657BF" w:rsidRDefault="00B048D0" w:rsidP="00252BDC">
      <w:pPr>
        <w:pStyle w:val="NormalHanging12a"/>
        <w:widowControl/>
        <w:rPr>
          <w:szCs w:val="24"/>
        </w:rPr>
      </w:pPr>
      <w:r w:rsidRPr="00F657BF">
        <w:t>–</w:t>
      </w:r>
      <w:r w:rsidRPr="00F657BF">
        <w:rPr>
          <w:color w:val="000000"/>
        </w:rPr>
        <w:tab/>
        <w:t>έχοντας υπόψη το άρθρο 54 του Κανονισμού του, καθώς και το άρθρο 1 παράγραφος 1 στοιχείο ε) και το Παράρτημα 3 της απόφασης της Διάσκεψης των Προέδρων της 12ης Δεκεμβρίου 2002 σχετικά με τη διαδικασία έγκρισης για τη σύνταξη εκθέσεων πρωτοβουλίας,</w:t>
      </w:r>
    </w:p>
    <w:p w:rsidR="00B048D0" w:rsidRPr="00F657BF" w:rsidRDefault="00B048D0" w:rsidP="00252BDC">
      <w:pPr>
        <w:pStyle w:val="NormalHanging12a"/>
        <w:widowControl/>
        <w:rPr>
          <w:szCs w:val="24"/>
        </w:rPr>
      </w:pPr>
      <w:r w:rsidRPr="00F657BF">
        <w:t>–</w:t>
      </w:r>
      <w:r w:rsidRPr="00F657BF">
        <w:rPr>
          <w:color w:val="000000"/>
        </w:rPr>
        <w:tab/>
      </w:r>
      <w:r w:rsidRPr="00F657BF">
        <w:t xml:space="preserve">έχοντας υπόψη την έκθεσης της Επιτροπής Περιβάλλοντος, Δημόσιας Υγείας και Ασφάλειας των Τροφίμων (A9-0416/2023), </w:t>
      </w:r>
    </w:p>
    <w:p w:rsidR="00B048D0" w:rsidRPr="00F657BF" w:rsidRDefault="00B048D0" w:rsidP="00252BDC">
      <w:pPr>
        <w:pStyle w:val="NormalHanging12a"/>
        <w:widowControl/>
      </w:pPr>
      <w:r w:rsidRPr="00F657BF">
        <w:rPr>
          <w:color w:val="000000"/>
        </w:rPr>
        <w:t>Α.</w:t>
      </w:r>
      <w:r w:rsidRPr="00F657BF">
        <w:rPr>
          <w:b/>
          <w:i/>
          <w:color w:val="000000"/>
        </w:rPr>
        <w:tab/>
      </w:r>
      <w:r w:rsidRPr="00F657BF">
        <w:rPr>
          <w:color w:val="000000"/>
        </w:rPr>
        <w:t>λαμβάνοντας υπόψη ότι ο κανονισμός (ΕΚ) αριθ. 1924/2006 (κανονισμός για τους ισχυρισμούς διατροφής και υγείας, ή NHCR) θεσπίστηκε με στόχο τη διασφάλιση του υψηλότερου δυνατού επιπέδου προστασίας των καταναλωτών και τη διευκόλυνση των επιλογών των καταναλωτών· λαμβάνοντας υπόψη ότι ο NHCR εφαρμόζεται στους προαιρετικούς ισχυρισμούς διατροφής και υγείας στα τρόφιμα σε όλες τις εμπορικές ανακοινώσεις, συμπεριλαμβανομένης της επισήμανσης και της διαφήμισης, καθώς και στις ανακοινώσεις προς τους επαγγελματίες του τομέα της υγείας</w:t>
      </w:r>
      <w:r w:rsidRPr="00F657BF">
        <w:rPr>
          <w:rStyle w:val="FootnoteReference"/>
          <w:color w:val="000000"/>
          <w:szCs w:val="24"/>
        </w:rPr>
        <w:footnoteReference w:id="14"/>
      </w:r>
      <w:r w:rsidRPr="00F657BF">
        <w:rPr>
          <w:color w:val="000000"/>
        </w:rPr>
        <w:t>· λαμβάνοντας υπόψη ότι η Επιτροπή εγκρίνει ισχυρισμούς υγείας που βασίζονται σε επιστημονικά στοιχεία και είναι κατανοητοί για τους καταναλωτές, μετά από επιστημονική αξιολόγηση των ισχυρισμών από την EFSA·</w:t>
      </w:r>
    </w:p>
    <w:p w:rsidR="00B048D0" w:rsidRPr="00F657BF" w:rsidRDefault="00B048D0" w:rsidP="00252BDC">
      <w:pPr>
        <w:pStyle w:val="NormalHanging12a"/>
        <w:widowControl/>
      </w:pPr>
      <w:r w:rsidRPr="00F657BF">
        <w:t>Β.</w:t>
      </w:r>
      <w:r w:rsidRPr="00F657BF">
        <w:tab/>
        <w:t>λαμβάνοντας υπόψη ότι οι ισχυρισμοί μπορούν να κατηγοριοποιηθούν σε «λειτουργικούς ισχυρισμούς υγείας», «ισχυρισμούς μείωσης του κινδύνου» και «ισχυρισμούς που αφορούν την ανάπτυξη των παιδιών»· λαμβάνοντας υπόψη ότι τον Ιούλιο του 2023 εγκρίθηκαν 269 ισχυρισμοί υγείας για χρήση στην ΕΕ· λαμβάνοντας υπόψη ότι οι ισχυρισμοί που αναφέρονται στην ανάπτυξη και την υγεία των παιδιών στην επισήμανση των τροφίμων μπορούν να εγκρίνονται σύμφωνα με τις διαδικασίες και τις απαιτήσεις που καθορίζονται από τον NHCR·</w:t>
      </w:r>
    </w:p>
    <w:p w:rsidR="00B048D0" w:rsidRPr="00F657BF" w:rsidRDefault="00B048D0" w:rsidP="00252BDC">
      <w:pPr>
        <w:pStyle w:val="NormalHanging12a"/>
        <w:widowControl/>
        <w:rPr>
          <w:color w:val="000000"/>
          <w:szCs w:val="24"/>
        </w:rPr>
      </w:pPr>
      <w:r w:rsidRPr="00F657BF">
        <w:rPr>
          <w:color w:val="000000"/>
        </w:rPr>
        <w:t>Γ.</w:t>
      </w:r>
      <w:r w:rsidRPr="00F657BF">
        <w:rPr>
          <w:color w:val="000000"/>
        </w:rPr>
        <w:tab/>
        <w:t>λαμβάνοντας υπόψη ότι τουλάχιστον το 18 % των νέων προϊόντων που εισέρχονται στην αγορά τροφίμων και ποτών της ΕΕ φέρουν ισχυρισμούς διατροφής ή υγείας, ενώ εκτιμάται ότι το ένα τέταρτο όλων των τροφίμων που διατίθενται στην αγορά της ΕΕ φέρουν τέτοιους ισχυρισμούς</w:t>
      </w:r>
      <w:r w:rsidRPr="00F657BF">
        <w:rPr>
          <w:rStyle w:val="FootnoteReference"/>
          <w:color w:val="000000"/>
          <w:szCs w:val="24"/>
        </w:rPr>
        <w:footnoteReference w:id="15"/>
      </w:r>
      <w:r w:rsidRPr="00F657BF">
        <w:rPr>
          <w:color w:val="000000"/>
        </w:rPr>
        <w:t>· λαμβάνοντας υπόψη ότι, όπως εξηγείται στην αιτιολογική σκέψη 10 του NHCR, τα τρόφιμα που προωθούνται με ισχυρισμούς μπορεί να εκλαμβάνονται από τους καταναλωτές ως έχοντα διατροφικό, φυσιολογικό ή άλλο πλεονέκτημα για την υγεία έναντι παρόμοιων ή άλλων προϊόντων στα οποία δεν προστίθενται τέτοιες θρεπτικές και άλλες ουσίες, γεγονός που μπορεί να ενθαρρύνει τους καταναλωτές να κάνουν επιλογές που επηρεάζουν άμεσα τη συνολική πρόσληψη μεμονωμένων θρεπτικών ουσιών ή άλλων ουσιών κατά τρόπο αντίθετο προς τις επιστημονικές συμβουλές·</w:t>
      </w:r>
    </w:p>
    <w:p w:rsidR="00B048D0" w:rsidRPr="00F657BF" w:rsidRDefault="00B048D0" w:rsidP="00252BDC">
      <w:pPr>
        <w:pStyle w:val="NormalHanging12a"/>
        <w:widowControl/>
      </w:pPr>
      <w:r w:rsidRPr="00F657BF">
        <w:rPr>
          <w:color w:val="000000"/>
        </w:rPr>
        <w:t>Δ.</w:t>
      </w:r>
      <w:r w:rsidRPr="00F657BF">
        <w:rPr>
          <w:color w:val="000000"/>
        </w:rPr>
        <w:tab/>
        <w:t>λαμβάνοντας υπόψη ότι, σύμφωνα με το άρθρο 13 παράγραφος 3 του NHCR, η Επιτροπή έπρεπε να εγκρίνει κοινοτικό κατάλογο επιτρεπόμενων ισχυρισμών το αργότερο έως τις 31 Ιανουαρίου 2010·</w:t>
      </w:r>
    </w:p>
    <w:p w:rsidR="00B048D0" w:rsidRPr="00F657BF" w:rsidRDefault="00B048D0" w:rsidP="00252BDC">
      <w:pPr>
        <w:pStyle w:val="NormalHanging12a"/>
        <w:widowControl/>
        <w:rPr>
          <w:szCs w:val="22"/>
        </w:rPr>
      </w:pPr>
      <w:r w:rsidRPr="00F657BF">
        <w:rPr>
          <w:color w:val="000000"/>
        </w:rPr>
        <w:t>Ε.</w:t>
      </w:r>
      <w:r w:rsidRPr="00F657BF">
        <w:rPr>
          <w:color w:val="000000"/>
        </w:rPr>
        <w:tab/>
        <w:t>λαμβάνοντας υπόψη ότι η παρουσία ισχυρισμών διατροφής ή υγείας επηρεάζει τις διατροφικές επιλογές των καταναλωτών, καθώς και άλλα χαρακτηριστικά όπως η τιμή, η μάρκα, το χρώμα και το σχήμα της συσκευασίας· λαμβάνοντας υπόψη ότι οι ισχυρισμοί για την υγεία, ιδίως οι ισχυρισμοί για τη μείωση των κινδύνων, έχουν μεγαλύτερο αντίκτυπο στη στάση των καταναλωτών από ό, τι οι ισχυρισμοί διατροφής</w:t>
      </w:r>
      <w:r w:rsidRPr="00F657BF">
        <w:rPr>
          <w:rStyle w:val="FootnoteReference"/>
          <w:color w:val="000000"/>
          <w:szCs w:val="24"/>
        </w:rPr>
        <w:footnoteReference w:id="16"/>
      </w:r>
      <w:r w:rsidRPr="00F657BF">
        <w:rPr>
          <w:color w:val="000000"/>
        </w:rPr>
        <w:t>· λαμβάνοντας υπόψη ότι η κατανόηση των ισχυρισμών διατροφής και υγείας από τους καταναλωτές επηρεάζεται από διάφορους παράγοντες, συμπεριλαμβανομένων των διατροφικών γνώσεων και των επιπέδων μόρφωσης, και αυτό θα πρέπει να ληφθεί υπόψη, προκειμένου να διευκολυνθεί η μετάβαση σε πιο υγιεινή διατροφή και να τονωθεί η αλλαγή της σύνθεσης των τροφίμων· λαμβάνοντας, ωστόσο, υπόψη ότι οι εκστρατείες ενημέρωσης, εκπαίδευσης και ευαισθητοποίησης δεν επαρκούν από μόνες τους για την επίτευξη της απαιτούμενης αλλαγής προς πιο βιώσιμες και υγιεινές επιλογές των καταναλωτών, καθώς αυτές μπορούν να επηρεαστούν από άλλα βασικά στοιχεία του περιβάλλοντος τροφίμων, όπως η οικονομική προσιτότητα, η εμπορία και η διαθεσιμότητα·</w:t>
      </w:r>
    </w:p>
    <w:p w:rsidR="00B048D0" w:rsidRPr="00F657BF" w:rsidRDefault="00B048D0" w:rsidP="00252BDC">
      <w:pPr>
        <w:pStyle w:val="NormalHanging12a"/>
        <w:widowControl/>
      </w:pPr>
      <w:r w:rsidRPr="00F657BF">
        <w:t>ΣΤ.</w:t>
      </w:r>
      <w:r w:rsidRPr="00F657BF">
        <w:tab/>
        <w:t>λαμβάνοντας υπόψη ότι ο NHCR επέβαλε σε στην Επιτροπή να ορίσει θρεπτικά χαρακτηριστικά για τρόφιμα ή συγκεκριμένες κατηγορίες τροφίμων έως τις 19</w:t>
      </w:r>
      <w:r w:rsidR="00252BDC" w:rsidRPr="00F657BF">
        <w:t> </w:t>
      </w:r>
      <w:r w:rsidRPr="00F657BF">
        <w:t>Ιανουαρίου 2009· λαμβάνοντας υπόψη ότι δεν έχουν ακόμη θεσπιστεί στην πράξη θρεπτικά χαρακτηριστικά· λαμβάνοντας υπόψη ότι το 2020 η έκθεση αξιολόγησης της Επιτροπής σχετικά με τον NHCR επιβεβαίωσε την ανάγκη να αναπτυχθούν θρεπτικά χαρακτηριστικά ως εργαλείο για την προστασία των καταναλωτών από την έκθεσή τους σε τρόφιμα με κακή διατροφική σύνθεση· λαμβάνοντας υπόψη ότι η στρατηγική «Από το αγρόκτημα στο πιάτο» επιβεβαίωσε εκ νέου ότι τα θρεπτικά χαρακτηριστικά θα πρέπει να καθοριστούν προκειμένου να περιοριστεί η εμπορία και η προώθηση ανθυγιεινών τροφίμων μέσω ισχυρισμών για τη διατροφή και την υγεία·</w:t>
      </w:r>
    </w:p>
    <w:p w:rsidR="00B048D0" w:rsidRPr="00F657BF" w:rsidRDefault="00B048D0" w:rsidP="00252BDC">
      <w:pPr>
        <w:pStyle w:val="NormalHanging12a"/>
        <w:widowControl/>
      </w:pPr>
      <w:r w:rsidRPr="00F657BF">
        <w:t>Ζ.</w:t>
      </w:r>
      <w:r w:rsidRPr="00F657BF">
        <w:tab/>
        <w:t>λαμβάνοντας υπόψη ότι στο ψήφισμά του του 2021 σχετικά με τη στρατηγική «Από το αγρόκτημα στο πιάτο» το Κοινοβούλιο εξέφρασε ρητά την ικανοποίησή του για την ανακοίνωση νομοθετικής πρότασης για τη θέσπιση θρεπτικών χαρακτηριστικών προκειμένου να απαγορευτεί η χρήση ισχυρισμών διατροφής και υγείας σε τρόφιμα με υψηλή περιεκτικότητα σε λιπαρά, ζάχαρη και/ή αλάτι ή γενικώς ανθυγιεινά τρόφιμα και ζήτησε να δοθεί ιδιαίτερη προσοχή στα τρόφιμα για παιδιά και σε άλλα τρόφιμα ειδικής χρήσης·</w:t>
      </w:r>
    </w:p>
    <w:p w:rsidR="00B048D0" w:rsidRPr="00F657BF" w:rsidRDefault="00B048D0" w:rsidP="00252BDC">
      <w:pPr>
        <w:pStyle w:val="NormalHanging12a"/>
        <w:widowControl/>
      </w:pPr>
      <w:r w:rsidRPr="00F657BF">
        <w:t>Η.</w:t>
      </w:r>
      <w:r w:rsidRPr="00F657BF">
        <w:tab/>
        <w:t>λαμβάνοντας υπόψη ότι οι καταναλωτές εξακολουθούν να εκτίθενται σε θετικούς ισχυρισμούς διατροφής ή υγείας για τρόφιμα με υψηλή περιεκτικότητα σε λιπαρά, αλάτι ή ζάχαρη, γεγονός που δεν συνάδει με τον στόχο της υψηλού επιπέδου προστασίας των καταναλωτών·</w:t>
      </w:r>
    </w:p>
    <w:p w:rsidR="00B048D0" w:rsidRPr="00F657BF" w:rsidRDefault="00B048D0" w:rsidP="00252BDC">
      <w:pPr>
        <w:pStyle w:val="NormalHanging12a"/>
        <w:widowControl/>
        <w:rPr>
          <w:szCs w:val="24"/>
        </w:rPr>
      </w:pPr>
      <w:r w:rsidRPr="00F657BF">
        <w:t>Θ.</w:t>
      </w:r>
      <w:r w:rsidRPr="00F657BF">
        <w:tab/>
        <w:t>λαμβάνοντας υπόψη ότι τα προβλήματα βάρους και η παχυσαρκία αυξάνονται ραγδαία στα περισσότερα κράτη μέλη, με περισσότερους από τους μισούς ευρωπαίους ενήλικες και ένα στα τρία παιδιά να είναι υπέρβαροι ή παχύσαρκοι</w:t>
      </w:r>
      <w:r w:rsidRPr="00F657BF">
        <w:rPr>
          <w:rStyle w:val="FootnoteReference"/>
          <w:szCs w:val="24"/>
        </w:rPr>
        <w:footnoteReference w:id="17"/>
      </w:r>
      <w:r w:rsidRPr="00F657BF">
        <w:t>· λαμβάνοντας υπόψη ότι το υπερβολικό βάρος και η παχυσαρκία των παιδιών αυξάνουν τις παγκόσμιες προκλήσεις για τη δημόσια υγεία· λαμβάνοντας υπόψη ότι υπάρχουν επαρκείς ενδείξεις ότι η παιδική παχυσαρκία επηρεάζεται από την εμπορία τροφίμων με υψηλή περιεκτικότητα σε λίπη, αλάτι και ζάχαρη, ωστόσο τα παιδιά εξακολουθούν να εκτίθενται σε υψηλά επίπεδα εμπορίας που χρησιμοποιούν ισχυρές και πειστικές τεχνικές, μεταξύ άλλων όλο και περισσότερο με ψηφιακά μέσα·</w:t>
      </w:r>
    </w:p>
    <w:p w:rsidR="00B048D0" w:rsidRPr="00F657BF" w:rsidRDefault="00B048D0" w:rsidP="00252BDC">
      <w:pPr>
        <w:pStyle w:val="NormalHanging12a"/>
        <w:widowControl/>
        <w:rPr>
          <w:rFonts w:eastAsia="Calibri"/>
        </w:rPr>
      </w:pPr>
      <w:r w:rsidRPr="00F657BF">
        <w:t>Ι.</w:t>
      </w:r>
      <w:r w:rsidRPr="00F657BF">
        <w:tab/>
        <w:t xml:space="preserve">λαμβάνοντας υπόψη ότι η ανθυγιεινή διατροφή με υψηλή περιεκτικότητα σε αλάτι, ζάχαρη και λιπαρά, συμπεριλαμβανομένων των κορεσμένων λιπαρών και των </w:t>
      </w:r>
      <w:proofErr w:type="spellStart"/>
      <w:r w:rsidRPr="00F657BF">
        <w:t>trans</w:t>
      </w:r>
      <w:proofErr w:type="spellEnd"/>
      <w:r w:rsidRPr="00F657BF">
        <w:t>-λιπαρών, αποτελεί πρωταρχικό παράγοντα κινδύνου για ασθένειες και θνησιμότητα στην Ευρώπη και, σύμφωνα με τον ΠΟΥ, προκαλεί 8 εκατομμύρια πρόωρους θανάτους κάθε χρόνο· λαμβάνοντας υπόψη ότι 1 στους 5 θανάτους το 2017 οφειλόταν σε ανθυγιεινή διατροφή, κυρίως μέσω καρδιαγγειακών παθήσεων και καρκίνων· λαμβάνοντας υπόψη ότι απαιτείται μεγαλύτερη έμφαση στην πρόληψη των ασθενειών·</w:t>
      </w:r>
    </w:p>
    <w:p w:rsidR="00B048D0" w:rsidRPr="00F657BF" w:rsidRDefault="00B048D0" w:rsidP="00252BDC">
      <w:pPr>
        <w:pStyle w:val="NormalHanging12a"/>
        <w:widowControl/>
      </w:pPr>
      <w:r w:rsidRPr="00F657BF">
        <w:t>ΙΑ.</w:t>
      </w:r>
      <w:r w:rsidRPr="00F657BF">
        <w:tab/>
        <w:t>λαμβάνοντας υπόψη ότι, στο ψήφισμά του της 16ης Φεβρουαρίου 2022 σχετικά με την ενδυνάμωση της Ευρώπης για την καταπολέμηση του καρκίνου – προς μια ολοκληρωμένη και συντονισμένη στρατηγική</w:t>
      </w:r>
      <w:r w:rsidRPr="00F657BF">
        <w:rPr>
          <w:rStyle w:val="FootnoteReference"/>
        </w:rPr>
        <w:footnoteReference w:id="18"/>
      </w:r>
      <w:r w:rsidRPr="00F657BF">
        <w:t>, το Ευρωπαϊκό Κοινοβούλιο τόνισε τον ρόλο της υγιεινής διατροφής στην πρόληψη και τον περιορισμό της συχνότητας εμφάνισης καρκίνου·</w:t>
      </w:r>
    </w:p>
    <w:p w:rsidR="00B048D0" w:rsidRPr="00F657BF" w:rsidRDefault="00B048D0" w:rsidP="00252BDC">
      <w:pPr>
        <w:pStyle w:val="NormalHanging12a"/>
        <w:widowControl/>
        <w:rPr>
          <w:szCs w:val="24"/>
        </w:rPr>
      </w:pPr>
      <w:r w:rsidRPr="00F657BF">
        <w:t>ΙΒ.</w:t>
      </w:r>
      <w:r w:rsidRPr="00F657BF">
        <w:tab/>
        <w:t>λαμβάνοντας υπόψη ότι η EFSA δεν κατάφερε να ορίσει «ασφαλές επίπεδο πρόσληψης» ελεύθερων και πρόσθετων σακχάρων επειδή «ο κίνδυνος δυσμενών επιπτώσεων στην υγεία (απόκριση) αυξήθηκε σε όλο το φάσμα των παρατηρούμενων επιπέδων πρόσληψης (δόσεις) με σταθερό (γραμμικό) τρόπο, δηλαδή όσο υψηλότερη είναι η πρόσληψη, τόσο μεγαλύτερος είναι ο κίνδυνος δυσμενών επιπτώσεων»</w:t>
      </w:r>
      <w:r w:rsidRPr="00F657BF">
        <w:rPr>
          <w:rStyle w:val="FootnoteReference"/>
          <w:szCs w:val="24"/>
        </w:rPr>
        <w:footnoteReference w:id="19"/>
      </w:r>
      <w:r w:rsidRPr="00F657BF">
        <w:t xml:space="preserve">· λαμβάνοντας υπόψη ότι ο Οργανισμός Ερευνών Καρκίνου του ΠΟΥ έχει ταξινομήσει τη γλυκαντική ουσία </w:t>
      </w:r>
      <w:proofErr w:type="spellStart"/>
      <w:r w:rsidRPr="00F657BF">
        <w:t>ασπαρτάμη</w:t>
      </w:r>
      <w:proofErr w:type="spellEnd"/>
      <w:r w:rsidRPr="00F657BF">
        <w:t xml:space="preserve"> ως ενδεχομένως καρκινογόνο για τον άνθρωπο· λαμβάνοντας υπόψη ότι, σύμφωνα με συστηματική ανασκόπηση του ΠΟΥ, τα γλυκαντικά χωρίς ζάχαρη μπορεί να συνδέονται με αυξημένο κίνδυνο διαβήτη τύπου 2, καρδιαγγειακές παθήσεις, θνησιμότητα από οποιαδήποτε αιτία και αυξημένο σωματικό βάρος· λαμβάνοντας υπόψη ότι μια πιο υγιεινή διατροφή που περιλαμβάνει αυξημένη κατανάλωση τροφίμων φυτικής προέλευσης, όπως νωπά φρούτα και λαχανικά, ολόκληρα σιτηρά και ψυχανθή, και αποφεύγει την υπερκατανάλωση κρέατος και εξαιρετικά επεξεργασμένων προϊόντων, συμβάλλει στη βελτίωση της υγείας, στη μείωση της θνησιμότητας από μη μεταδοτικές ασθένειες που σχετίζονται με τη διατροφή και αποφέρει περιβαλλοντικά οφέλη·</w:t>
      </w:r>
    </w:p>
    <w:p w:rsidR="00B048D0" w:rsidRPr="00F657BF" w:rsidRDefault="00B048D0" w:rsidP="00252BDC">
      <w:pPr>
        <w:pStyle w:val="NormalHanging12a"/>
        <w:widowControl/>
        <w:rPr>
          <w:szCs w:val="24"/>
        </w:rPr>
      </w:pPr>
      <w:r w:rsidRPr="00F657BF">
        <w:rPr>
          <w:color w:val="000000"/>
        </w:rPr>
        <w:t>ΙΓ.</w:t>
      </w:r>
      <w:r w:rsidRPr="00F657BF">
        <w:rPr>
          <w:color w:val="000000"/>
        </w:rPr>
        <w:tab/>
        <w:t>λαμβάνοντας υπόψη ότι αποτελεσματικά εργαλεία πληροφόρησης, όπως οι διατροφικές ετικέτες στο εμπρόσθιο μέρος της συσκευασίας βοηθούν τους πολίτες να κάνουν πιο υγιεινές επιλογές τροφίμων και να αποφεύγουν την ανθυγιεινή κατανάλωση τροφίμων με υψηλή περιεκτικότητα σε αλάτι, λιπαρά και ζάχαρη· λαμβάνοντας υπόψη ότι το Κοινοβούλιο υποστήριξε την έγκριση ετικέτας αυτού του είδους στο ψήφισμά του πρωτοβουλίας της 20ής Οκτωβρίου 2021 σχετικά με τη στρατηγική «Από το αγρόκτημα στο πιάτο», στο οποίο κάλεσε την Επιτροπή να διασφαλίσει την ανάπτυξη υποχρεωτικής και εναρμονισμένης διατροφικής επισήμανσης στο εμπρόσθιο μέρος της συσκευασίας στην ΕΕ με βάση επιστημονικά στοιχεία και αποδεδειγμένη κατανόηση από τους καταναλωτές, προκειμένου να στηρίξει την παροχή ακριβών πληροφοριών σχετικά με τα τρόφιμα και πιο υγιεινές εναλλακτικές λύσεις·</w:t>
      </w:r>
      <w:r w:rsidRPr="00F657BF">
        <w:t xml:space="preserve"> </w:t>
      </w:r>
    </w:p>
    <w:p w:rsidR="00B048D0" w:rsidRPr="00F657BF" w:rsidRDefault="00B048D0" w:rsidP="00252BDC">
      <w:pPr>
        <w:pStyle w:val="NormalHanging12a"/>
        <w:widowControl/>
        <w:rPr>
          <w:szCs w:val="24"/>
        </w:rPr>
      </w:pPr>
      <w:r w:rsidRPr="00F657BF">
        <w:t>ΙΔ.</w:t>
      </w:r>
      <w:r w:rsidRPr="00F657BF">
        <w:tab/>
        <w:t xml:space="preserve">λαμβάνοντας υπόψη ότι το 2012 η Επιτροπή κατάρτισε κατάλογο 2.078 ισχυρισμών υγείας που αφορούν φυτικές ουσίες, κυρίως λόγω της απουσίας μελετών ανθρώπινης παρέμβασης, γεγονός που οδήγησε στην αναστολή της διαδικασίας αξιολόγησης και έγκρισης της EFSA το 2010· λαμβάνοντας υπόψη ότι οι ισχυρισμοί επί θεμάτων υγείας που βρίσκονται σε «αναστολή» </w:t>
      </w:r>
      <w:r w:rsidR="00252BDC" w:rsidRPr="00F657BF">
        <w:t>–</w:t>
      </w:r>
      <w:r w:rsidRPr="00F657BF">
        <w:t>τόσο αυτοί που έχουν αξιολογηθεί αρνητικά όσο και αυτοί που δεν έχουν ακόμη επανεξεταστεί</w:t>
      </w:r>
      <w:r w:rsidR="00252BDC" w:rsidRPr="00F657BF">
        <w:t>–</w:t>
      </w:r>
      <w:r w:rsidRPr="00F657BF">
        <w:t xml:space="preserve"> μπορούν να χρησιμοποιηθούν στην αγορά της ΕΕ σύμφωνα με τα μεταβατικά μέτρα που ορίζονται στον NHCR, έως ότου ληφθεί απόφαση σχετικά με τον κατάλογο «αναστολής».</w:t>
      </w:r>
    </w:p>
    <w:p w:rsidR="00B048D0" w:rsidRPr="00F657BF" w:rsidRDefault="00B048D0" w:rsidP="00252BDC">
      <w:pPr>
        <w:pStyle w:val="NormalHanging12a"/>
        <w:widowControl/>
      </w:pPr>
      <w:r w:rsidRPr="00F657BF">
        <w:rPr>
          <w:color w:val="000000"/>
        </w:rPr>
        <w:t>ΙΕ.</w:t>
      </w:r>
      <w:r w:rsidRPr="00F657BF">
        <w:rPr>
          <w:color w:val="000000"/>
        </w:rPr>
        <w:tab/>
        <w:t>λαμβάνοντας υπόψη ότι το 2020 η Επιτροπή, στην έκθεση αξιολόγησής της για τον NHCR, κατέληξε στο συμπέρασμα ότι οι καταναλωτές εξακολουθούν να εκτίθενται σε ισχυρισμούς υγείας για φυτικά προϊόντα με διαφορετικά επίπεδα επιστημονικής αξιολόγησης, συμπεριλαμβανομένων των μη τεκμηριωμένων ισχυρισμών υγείας για τους οποίους μπορεί να πιστεύουν ότι τα δηλωθέντα ευεργετικά αποτελέσματα έχουν αξιολογηθεί επιστημονικά όταν αυτό δεν συμβαίνει·</w:t>
      </w:r>
    </w:p>
    <w:p w:rsidR="00B048D0" w:rsidRPr="00F657BF" w:rsidRDefault="00B048D0" w:rsidP="00252BDC">
      <w:pPr>
        <w:pStyle w:val="NormalHanging12a"/>
        <w:widowControl/>
      </w:pPr>
      <w:r w:rsidRPr="00F657BF">
        <w:t>ΙΣΤ.</w:t>
      </w:r>
      <w:r w:rsidRPr="00F657BF">
        <w:tab/>
        <w:t>λαμβάνοντας υπόψη ότι ο μεγαλύτερος συντονισμός του πλαισίου ασφάλειας για τα φυτικά προϊόντα θα μπορούσε να συμβάλει στη βελτίωση της προστασίας των καταναλωτών·</w:t>
      </w:r>
    </w:p>
    <w:p w:rsidR="00B048D0" w:rsidRPr="00F657BF" w:rsidRDefault="00B048D0" w:rsidP="00252BDC">
      <w:pPr>
        <w:pStyle w:val="NormalHanging12a"/>
        <w:widowControl/>
      </w:pPr>
      <w:r w:rsidRPr="00F657BF">
        <w:rPr>
          <w:color w:val="000000"/>
        </w:rPr>
        <w:t>ΙΖ.</w:t>
      </w:r>
      <w:r w:rsidRPr="00F657BF">
        <w:rPr>
          <w:color w:val="000000"/>
        </w:rPr>
        <w:tab/>
        <w:t xml:space="preserve">λαμβάνοντας υπόψη ότι η νομοθεσία για τα φυτικά προϊόντα στα τρόφιμα και τα συμπληρώματα διατροφής δεν είναι εναρμονισμένη σε επίπεδο ΕΕ· λαμβάνοντας υπόψη ότι τα κράτη μέλη διαθέτουν είτε θετικούς, αρνητικούς είτε ανύπαρκτους καταλόγους ουσιών φυτικών προϊόντων που επιτρέπονται στα τρόφιμα· λαμβάνοντας υπόψη ότι η ταξινόμηση των φυτικών προϊόντων είτε ως τροφίμων είτε ως φαρμάκων εμπίπτει στην αρμοδιότητα κάθε κράτους μέλους· λαμβάνοντας υπόψη ότι σκοπός ενός φαρμάκου είναι η θεραπεία ή η πρόληψη ασθενειών στον άνθρωπο και ότι τα συμπληρώματα διατροφής προορίζονται για καταναλωτές που δεν έχουν άμεσες ιατρικές ανάγκες· </w:t>
      </w:r>
      <w:r w:rsidRPr="00F657BF">
        <w:t>λαμβάνοντας υπόψη ότι, επομένως, είναι σημαντικό να διατηρηθεί μια σαφής διάκριση μεταξύ τροφίμων και φαρμάκων·</w:t>
      </w:r>
    </w:p>
    <w:p w:rsidR="00B048D0" w:rsidRPr="00F657BF" w:rsidRDefault="00B048D0" w:rsidP="00252BDC">
      <w:pPr>
        <w:pStyle w:val="NormalHanging12a"/>
        <w:widowControl/>
        <w:rPr>
          <w:color w:val="000000"/>
          <w:szCs w:val="24"/>
        </w:rPr>
      </w:pPr>
      <w:r w:rsidRPr="00F657BF">
        <w:rPr>
          <w:color w:val="000000"/>
        </w:rPr>
        <w:t>ΙΗ.</w:t>
      </w:r>
      <w:r w:rsidRPr="00F657BF">
        <w:rPr>
          <w:color w:val="000000"/>
        </w:rPr>
        <w:tab/>
        <w:t>λαμβάνοντας υπόψη ότι τα φάρμακα φυτικής προέλευσης πρέπει να υποβάλλονται σε διαδικασίες έγκρισης πριν από την εισαγωγή τους στην αγορά της ΕΕ, γεγονός που απαιτεί την απόδειξη της ασφάλειας και της αποτελεσματικότητας των προϊόντων και την εκπλήρωση πρόσθετων νομικών απαιτήσεων σε τομείς όπως οι αξιολογήσεις ποιότητας, η φαρμακοεπαγρύπνηση και η συμμόρφωση με την ορθή παρασκευαστική πρακτική· λαμβάνοντας υπόψη ότι τα φάρμακα φυτικής προέλευσης που χρησιμοποιούνται με ασφάλεια εδώ και 30 έτη, συμπεριλαμβανομένων 15 ετών στην ΕΕ, μπορούν να χρησιμοποιούν απλουστευμένη διαδικασία καταχώρισης για τα παραδοσιακά φάρμακα φυτικής προέλευσης, στο πλαίσιο της οποίας γίνονται δεκτά δεδομένα «παραδοσιακής χρήσης» για την τεκμηρίωση της ασφάλειας και της αποτελεσματικότητας του προϊόντος·</w:t>
      </w:r>
    </w:p>
    <w:p w:rsidR="00B048D0" w:rsidRPr="00F657BF" w:rsidRDefault="00B048D0" w:rsidP="00252BDC">
      <w:pPr>
        <w:pStyle w:val="NormalHanging12a"/>
        <w:widowControl/>
      </w:pPr>
      <w:r w:rsidRPr="00F657BF">
        <w:rPr>
          <w:color w:val="000000"/>
        </w:rPr>
        <w:t>ΙΘ.</w:t>
      </w:r>
      <w:r w:rsidRPr="00F657BF">
        <w:rPr>
          <w:color w:val="000000"/>
        </w:rPr>
        <w:tab/>
        <w:t>λαμβάνοντας υπόψη ότι η επιβολή του NHCR όσον αφορά τους ισχυρισμούς για φυτικά προϊόντα έχει καθυστερήσει σημαντικά· λαμβάνοντας υπόψη ότι ο στόχος του NHCR για τη διασφάλιση υψηλού επιπέδου προστασίας των καταναλωτών απαιτεί ταχεία δράση από την Επιτροπή είτε για την πλήρη επιβολή είτε για την αναθεώρηση του NHCR, καθώς δεν είναι κατάλληλη για τον επιδιωκόμενο σκοπό από ορισμένες απόψεις·</w:t>
      </w:r>
    </w:p>
    <w:p w:rsidR="00B048D0" w:rsidRPr="00F657BF" w:rsidRDefault="00B048D0" w:rsidP="00252BDC">
      <w:pPr>
        <w:pStyle w:val="NormalHanging12a"/>
        <w:widowControl/>
      </w:pPr>
      <w:r w:rsidRPr="00F657BF">
        <w:t>Κ.</w:t>
      </w:r>
      <w:r w:rsidRPr="00F657BF">
        <w:tab/>
        <w:t>λαμβάνοντας υπόψη ότι τα κράτη μέλη είναι υπεύθυνα για την επιβολή του NHCR εντός της δικαιοδοσίας τους· ότι τα κράτη μέλη υποχρεούνται να εφαρμόζουν την αρχή της αμοιβαίας αναγνώρισης· λαμβάνοντας υπόψη ότι, λόγω των διαφορών ερμηνείας και των αποκλίσεων επιβολής μεταξύ των κρατών μελών, τα μέτρα επιβολής μετά την εσφαλμένη χρήση των απαιτήσεων ποικίλλουν, από συμβουλές σχετικά με τον τρόπο προσαρμογής των απαιτήσεων έως πρόστιμα για την αθέμιτη χρήση τους·</w:t>
      </w:r>
    </w:p>
    <w:p w:rsidR="00B048D0" w:rsidRPr="00F657BF" w:rsidRDefault="00B048D0" w:rsidP="00252BDC">
      <w:pPr>
        <w:pStyle w:val="NormalHanging12a"/>
        <w:widowControl/>
      </w:pPr>
      <w:r w:rsidRPr="00F657BF">
        <w:t>ΚΑ.</w:t>
      </w:r>
      <w:r w:rsidRPr="00F657BF">
        <w:tab/>
        <w:t xml:space="preserve">λαμβάνοντας υπόψη ότι τα μέσα κοινωνικής δικτύωσης συμβάλλουν σημαντικά στη διαφήμιση και την πώληση τροφίμων και συμπληρωμάτων διατροφής, ενώ ο βαθμός στον οποίο ο NHCR ρυθμίζει τις σχετικές με την υγεία διαδικτυακές επικοινωνίες για τα τρόφιμα παραμένει ασαφής· λαμβάνοντας υπόψη ότι οι ανακοινώσεις </w:t>
      </w:r>
      <w:proofErr w:type="spellStart"/>
      <w:r w:rsidRPr="00F657BF">
        <w:t>επηρεαστών</w:t>
      </w:r>
      <w:proofErr w:type="spellEnd"/>
      <w:r w:rsidRPr="00F657BF">
        <w:t xml:space="preserve"> γνώμης ή στα μέσα κοινωνικής δικτύωσης δεν είναι πάντα σαφώς εμπορικές ή μη εμπορικές</w:t>
      </w:r>
      <w:r w:rsidRPr="00F657BF">
        <w:rPr>
          <w:rStyle w:val="FootnoteReference"/>
          <w:rFonts w:eastAsia="Calibri"/>
          <w:szCs w:val="24"/>
        </w:rPr>
        <w:footnoteReference w:id="20"/>
      </w:r>
      <w:r w:rsidRPr="00F657BF">
        <w:t xml:space="preserve"> και μπορούν να οδηγήσουν σε μη επαληθευμένους ψευδείς και παραπλανητικούς ισχυρισμούς για τα τρόφιμα, για παράδειγμα όσον αφορά τη διαφήμιση της πρωτεΐνης ή άλλων συμπληρωμάτων για την ενίσχυση της ανάπτυξης των μυών·</w:t>
      </w:r>
    </w:p>
    <w:p w:rsidR="00B048D0" w:rsidRPr="00F657BF" w:rsidRDefault="00F657BF" w:rsidP="00F657BF">
      <w:pPr>
        <w:pStyle w:val="NormalHanging12a"/>
        <w:widowControl/>
        <w:ind w:left="570" w:hanging="570"/>
      </w:pPr>
      <w:r w:rsidRPr="00F657BF">
        <w:t>1.</w:t>
      </w:r>
      <w:r w:rsidRPr="00F657BF">
        <w:tab/>
      </w:r>
      <w:r w:rsidR="00B048D0" w:rsidRPr="00F657BF">
        <w:t>σημειώνει ότι κύριος στόχος του NHCR είναι να διασφαλίσει ότι οι ισχυρισμοί για τα τρόφιμα βασίζονται σε γενικώς αποδεκτά επιστημονικά στοιχεία και μπορεί να αναμένεται ότι θα γίνουν κατανοητοί από τον μέσο καταναλωτή· υπογραμμίζει ότι, στην πράξη, εξακολουθούν να αναφέρονται παραπλανητικοί ισχυρισμοί τόσο στις διαδικτυακές όσο και στις μη διαδικτυακές πωλήσεις τροφίμων·</w:t>
      </w:r>
    </w:p>
    <w:p w:rsidR="00B048D0" w:rsidRPr="00F657BF" w:rsidRDefault="00F657BF" w:rsidP="00F657BF">
      <w:pPr>
        <w:pStyle w:val="NormalHanging12a"/>
        <w:widowControl/>
        <w:ind w:left="570" w:hanging="570"/>
      </w:pPr>
      <w:r w:rsidRPr="00F657BF">
        <w:t>2.</w:t>
      </w:r>
      <w:r w:rsidRPr="00F657BF">
        <w:tab/>
      </w:r>
      <w:r w:rsidR="00B048D0" w:rsidRPr="00F657BF">
        <w:t>επισημαίνει το αυξανόμενο ενδιαφέρον των καταναλωτών για τις πληροφορίες για τα τρόφιμα</w:t>
      </w:r>
      <w:r w:rsidR="00B048D0" w:rsidRPr="00F657BF">
        <w:rPr>
          <w:rStyle w:val="FootnoteReference"/>
          <w:szCs w:val="24"/>
        </w:rPr>
        <w:footnoteReference w:id="21"/>
      </w:r>
      <w:r w:rsidR="00B048D0" w:rsidRPr="00F657BF">
        <w:t>· τονίζει την ανάγκη να διασφαλιστεί ότι οι πληροφορίες σχετικά με τη διατροφική αξία ή την αξία των τροφίμων για την υγεία που εμφανίζονται στις ετικέτες και χρησιμοποιούνται για σκοπούς παρουσίασης, εμπορίας και διαφήμισης είναι ακριβείς, βασισμένες στην επιστήμη και ουσιαστικές· ζητά να επικαιροποιείται τακτικά ο κατάλογος των εγκεκριμένων ισχυρισμών διατροφής και υγείας στα τρόφιμα, σύμφωνα με τις επιστημονικές εξελίξεις στους τομείς των τροφίμων και της διατροφής·</w:t>
      </w:r>
    </w:p>
    <w:p w:rsidR="00B048D0" w:rsidRPr="00F657BF" w:rsidRDefault="00F657BF" w:rsidP="00F657BF">
      <w:pPr>
        <w:pStyle w:val="NormalHanging12a"/>
        <w:widowControl/>
        <w:ind w:left="570" w:hanging="570"/>
      </w:pPr>
      <w:r w:rsidRPr="00F657BF">
        <w:t>3.</w:t>
      </w:r>
      <w:r w:rsidRPr="00F657BF">
        <w:tab/>
      </w:r>
      <w:r w:rsidR="00B048D0" w:rsidRPr="00F657BF">
        <w:t>τονίζει την ανάγκη να διασφαλιστεί ότι οι ισχυρισμοί υγείας εξακολουθούν να ευθυγραμμίζονται με τις πολιτικές και τις προτεραιότητες της ΕΕ για την υγεία· επαναλαμβάνει τη σημασία της διακριτικής ευχέρειας της Επιτροπής να μην εγκρίνει ισχυρισμούς όταν αυτές θα μπορούσαν να οδηγήσουν σε αντικρουόμενα και συγκεχυμένα μηνύματα προς τους καταναλωτές</w:t>
      </w:r>
      <w:r w:rsidR="00B048D0" w:rsidRPr="00F657BF">
        <w:rPr>
          <w:vertAlign w:val="superscript"/>
        </w:rPr>
        <w:footnoteReference w:id="22"/>
      </w:r>
      <w:r w:rsidR="00B048D0" w:rsidRPr="00F657BF">
        <w:t>·</w:t>
      </w:r>
    </w:p>
    <w:p w:rsidR="00B048D0" w:rsidRPr="00F657BF" w:rsidRDefault="00B048D0" w:rsidP="00252BDC">
      <w:pPr>
        <w:pStyle w:val="NormalHanging12a"/>
        <w:widowControl/>
        <w:ind w:left="0" w:firstLine="0"/>
        <w:rPr>
          <w:b/>
          <w:i/>
        </w:rPr>
      </w:pPr>
      <w:r w:rsidRPr="00F657BF">
        <w:rPr>
          <w:b/>
          <w:i/>
        </w:rPr>
        <w:t>Συνεκτίμηση των θρεπτικών χαρακτηριστικών στις αξιολογήσεις ισχυρισμών υγείας</w:t>
      </w:r>
    </w:p>
    <w:p w:rsidR="00B048D0" w:rsidRPr="00F657BF" w:rsidRDefault="00F657BF" w:rsidP="00F657BF">
      <w:pPr>
        <w:pStyle w:val="NormalHanging12a"/>
        <w:widowControl/>
        <w:ind w:left="570" w:hanging="570"/>
      </w:pPr>
      <w:r w:rsidRPr="00F657BF">
        <w:t>4.</w:t>
      </w:r>
      <w:r w:rsidRPr="00F657BF">
        <w:tab/>
      </w:r>
      <w:r w:rsidR="00B048D0" w:rsidRPr="00F657BF">
        <w:t>Υπενθυμίζει ότι, σύμφωνα με το άρθρο 4 του NHCR, η Επιτροπή θα έπρεπε να είχε θεσπίσει θρεπτικά χαρακτηριστικά για τον περιορισμό της χρήσης ισχυρισμών διατροφής και υγείας σε τρόφιμα με υψηλή περιεκτικότητα σε λιπαρά, ζάχαρη και/ή αλάτι έως τις 19 Ιανουαρίου 2009· εκφράζει τη λύπη του για το γεγονός ότι η πρόταση της Επιτροπής σχετικά με τα θρεπτικά χαρακτηριστικά δεν έχει ακόμη υποβληθεί, παρά το γεγονός ότι έχει προγραμματιστεί για το 2022 στο πλαίσιο της αναθεώρησης της νομοθεσίας της ΕΕ σχετικά με την παροχή πληροφοριών για τα τρόφιμα στους καταναλωτές· επιμένει ότι ο καθορισμός περιγραμμάτων θρεπτικών συστατικών με συγκεκριμένα όρια θρεπτικών συστατικών για τη χρήση ισχυρισμών υγείας και διατροφής, σύμφωνα με το άρθρο 4 του NHCR, παραμένει συναφής και αναγκαίος για την επίτευξη των στόχων του NHCR·</w:t>
      </w:r>
    </w:p>
    <w:p w:rsidR="00B048D0" w:rsidRPr="00F657BF" w:rsidRDefault="00F657BF" w:rsidP="00F657BF">
      <w:pPr>
        <w:pStyle w:val="NormalHanging12a"/>
        <w:widowControl/>
        <w:ind w:left="570" w:hanging="570"/>
        <w:rPr>
          <w:szCs w:val="24"/>
        </w:rPr>
      </w:pPr>
      <w:r w:rsidRPr="00F657BF">
        <w:rPr>
          <w:szCs w:val="24"/>
        </w:rPr>
        <w:t>5.</w:t>
      </w:r>
      <w:r w:rsidRPr="00F657BF">
        <w:rPr>
          <w:szCs w:val="24"/>
        </w:rPr>
        <w:tab/>
      </w:r>
      <w:r w:rsidR="00B048D0" w:rsidRPr="00F657BF">
        <w:t>υπενθυμίζει ότι οι ισχυρισμοί δεν θα πρέπει να παραπλανούν τους καταναλωτές σχετικά με την πραγματική θρεπτική αξία ενός προϊόντος· επισημαίνει ότι, ελλείψει θρεπτικών χαρακτηριστικών, οι ισχυρισμοί μπορούν να τονίσουν μια θετική πτυχή ενός συνολικά ανθυγιεινού προϊόντος ή ενός προϊόντος που υπερβαίνει τα όρια συγκεκριμένων θρεπτικών ουσιών, όπως τα λιπαρά, τα σάκχαρα και το αλάτι· τονίζει ότι πολλά προϊόντα διατροφής, συμπεριλαμβανομένων ορισμένων που απευθύνονται σε παιδιά, εξακολουθούν να χρησιμοποιούν ισχυρισμούς διατροφής και υγείας, παρότι περιέχουν υψηλά επίπεδα θρεπτικών συστατικών που προκαλούν ανησυχία· υπογραμμίζει ότι η ανάπτυξη ειδικών θρεπτικών χαρακτηριστικών, όπως προβλέπεται στο άρθρο 4 του NHCR και σύμφωνα με τους στόχους του NHCR, είναι απαραίτητη για τον περιορισμό της χρήσης ισχυρισμών διατροφής και υγείας σε τρόφιμα με υψηλή περιεκτικότητα σε λιπαρά, ζάχαρη και/ή αλάτι· υπογραμμίζει ότι τα μελλοντικά θρεπτικά χαρακτηριστικά, τα οποία θα πρέπει να βασίζονται σε αξιόπιστα και ανεξάρτητα επιστημονικά στοιχεία, θα μπορούσαν να βοηθήσουν τους καταναλωτές να κάνουν ενημερωμένες, υγιεινές και βιώσιμες επιλογές σχετικά με τα τρόφιμα·</w:t>
      </w:r>
    </w:p>
    <w:p w:rsidR="00B048D0" w:rsidRPr="00F657BF" w:rsidRDefault="00F657BF" w:rsidP="00F657BF">
      <w:pPr>
        <w:pStyle w:val="NormalHanging12a"/>
        <w:widowControl/>
        <w:ind w:left="570" w:hanging="570"/>
      </w:pPr>
      <w:r w:rsidRPr="00F657BF">
        <w:t>6.</w:t>
      </w:r>
      <w:r w:rsidRPr="00F657BF">
        <w:tab/>
      </w:r>
      <w:r w:rsidR="00B048D0" w:rsidRPr="00F657BF">
        <w:t>εκφράζει τη λύπη του για την έλλειψη συστηματικής και τεκμηριωμένης προσέγγισης για τη δημιουργία περιβαλλόντων τροφίμων που θα βοηθούν τους καταναλωτές να κάνουν συνειδητές επιλογές και θα τονώνουν τη στροφή προς μια πιο υγιεινή διατροφή, συμπεριλαμβανομένης της αυξημένης κατανάλωσης τροφίμων φυτικής προέλευσης, όπως φρέσκων φρούτων και λαχανικών, ολόκληρων σπόρων και ψυχανθών· θεωρεί ότι, εκτός από την ορθή εφαρμογή του NHCR, η Επιτροπή και τα κράτη μέλη θα πρέπει να επενδύσουν περισσότερο στην εκπαίδευση στον τομέα των τροφίμων και της διατροφής, όπως ενημερωτικές εκστρατείες, μέσω διαφόρων προγραμμάτων, συμπεριλαμβανομένου του EU4Health, ιδίως με τη στήριξη δράσεων στα σχολεία με σκοπό τη διδασκαλία παιδιών και εφήβων σχετικά με την υγιεινή και ισορροπημένη διατροφή· επισημαίνει την επιρροή των κοινωνικών καθοριστικών παραγόντων στον γραμματισμό των καταναλωτών όσον αφορά τους ισχυρισμούς για τα τρόφιμα· τονίζει ότι οι εκστρατείες ενημέρωσης, εκπαίδευσης και ευαισθητοποίησης δεν επαρκούν από μόνες τους για τη διασφάλιση συνειδητών επιλογών των καταναλωτών και πρέπει να συνοδεύονται από πολιτικές που βελτιώνουν το περιβάλλον τροφίμων·</w:t>
      </w:r>
    </w:p>
    <w:p w:rsidR="00B048D0" w:rsidRPr="00F657BF" w:rsidRDefault="00B048D0" w:rsidP="00252BDC">
      <w:pPr>
        <w:pStyle w:val="NormalHanging12a"/>
        <w:widowControl/>
        <w:ind w:left="0" w:firstLine="0"/>
        <w:rPr>
          <w:b/>
          <w:i/>
        </w:rPr>
      </w:pPr>
      <w:r w:rsidRPr="00F657BF">
        <w:rPr>
          <w:b/>
          <w:i/>
        </w:rPr>
        <w:t>Ενημέρωση των καταναλωτών</w:t>
      </w:r>
    </w:p>
    <w:p w:rsidR="00B048D0" w:rsidRPr="00F657BF" w:rsidRDefault="00F657BF" w:rsidP="00F657BF">
      <w:pPr>
        <w:pStyle w:val="NormalHanging12a"/>
        <w:widowControl/>
        <w:ind w:left="570" w:hanging="570"/>
        <w:rPr>
          <w:szCs w:val="24"/>
        </w:rPr>
      </w:pPr>
      <w:r w:rsidRPr="00F657BF">
        <w:rPr>
          <w:szCs w:val="24"/>
        </w:rPr>
        <w:t>7.</w:t>
      </w:r>
      <w:r w:rsidRPr="00F657BF">
        <w:rPr>
          <w:szCs w:val="24"/>
        </w:rPr>
        <w:tab/>
      </w:r>
      <w:r w:rsidR="00B048D0" w:rsidRPr="00F657BF">
        <w:t xml:space="preserve">Επισημαίνει ότι οι καταναλωτές τείνουν να </w:t>
      </w:r>
      <w:proofErr w:type="spellStart"/>
      <w:r w:rsidR="00B048D0" w:rsidRPr="00F657BF">
        <w:t>υπερκαταναλώνουν</w:t>
      </w:r>
      <w:proofErr w:type="spellEnd"/>
      <w:r w:rsidR="00B048D0" w:rsidRPr="00F657BF">
        <w:t xml:space="preserve"> τρόφιμα που φέρουν ισχυρισμούς για καλύτερη υγεία, φαινόμενο που είναι γνωστό ως «φαινόμενο φωτοστέφανου»· τάσσεται υπέρ της συμπερίληψης τόσο ελάχιστων όσο και μέγιστων ορίων χρήσης στις ετικέτες των προϊόντων όλων των τροφίμων και των συμπληρωμάτων διατροφής που φέρουν ισχυρισμούς υγείας, καθώς και σύσταση για διαβούλευση με επαγγελματία του τομέα της υγείας πριν από την κατανάλωση συμπληρωμάτων διατροφής, ιδίως προκειμένου να αποφευχθούν πιθανές δυσμενείς αλληλεπιδράσεις με συγκεκριμένες θεραπείες και να αποφευχθεί η ενίσχυση πιθανών διατροφικών διαταραχών· επισημαίνει ότι η ασυμμετρία πληροφόρησης αναμένεται να συνεχιστεί σε ένα ταχέως μεταβαλλόμενο περιβάλλον τροφίμων και ζητεί τη χρηματοδότηση της έρευνας για την κατανόηση των ισχυρισμών από τους καταναλωτές·</w:t>
      </w:r>
    </w:p>
    <w:p w:rsidR="00B048D0" w:rsidRPr="00F657BF" w:rsidRDefault="00F657BF" w:rsidP="00F657BF">
      <w:pPr>
        <w:pStyle w:val="NormalHanging12a"/>
        <w:widowControl/>
        <w:ind w:left="570" w:hanging="570"/>
      </w:pPr>
      <w:r w:rsidRPr="00F657BF">
        <w:t>8.</w:t>
      </w:r>
      <w:r w:rsidRPr="00F657BF">
        <w:tab/>
      </w:r>
      <w:r w:rsidR="00B048D0" w:rsidRPr="00F657BF">
        <w:t xml:space="preserve">εκφράζει τη λύπη του για την καθυστέρηση της πρότασης αναθεώρησης του κανονισμού (ΕΕ) αριθ. 1169/2011 σχετικά με την παροχή πληροφοριών για τα τρόφιμα στους καταναλωτές αναφορικά με την ανάπτυξη διατροφικών ετικετών στο εμπρόσθιο μέρος της συσκευασίας, οι οποίες αποδεδειγμένα βοηθούν αποτελεσματικά τους καταναλωτές να κάνουν πιο υγιεινές επιλογές τροφίμων και ποτών· ζητά από την Επιτροπή και τα κράτη μέλη να ενθαρρύνουν τους καταναλωτές και να τους βοηθήσουν να κάνουν ενημερωμένες, υγιεινές και βιώσιμες επιλογές ως προς τα τρόφιμα, με τη θέσπιση υποχρεωτικής και εναρμονισμένης διατροφικής επισήμανσης της ΕΕ στο εμπρόσθιο μέρος της συσκευασίας, η οποία θα αναπτυχθεί βάσει αξιόπιστων και ανεξάρτητων επιστημονικών στοιχείων· σημειώνει ότι μελέτες δείχνουν ότι οι επιπτώσεις των τροφίμων στην υγεία δεν μπορούν να εξηγηθούν μόνο από τη διατροφική σύνθεση, αλλά και από το επίπεδο επεξεργασίας, ιδίως στην περίπτωση των </w:t>
      </w:r>
      <w:proofErr w:type="spellStart"/>
      <w:r w:rsidR="00B048D0" w:rsidRPr="00F657BF">
        <w:t>υπερεπεξεργασμένων</w:t>
      </w:r>
      <w:proofErr w:type="spellEnd"/>
      <w:r w:rsidR="00B048D0" w:rsidRPr="00F657BF">
        <w:t xml:space="preserve"> τροφίμων· τονίζει, ως εκ τούτου, ότι η συμπερίληψη πληροφοριών σχετικά με την επεξεργασία των τροφίμων σε ερμηνευτικές διατροφικές ετικέτες στο εμπρόσθιο μέρος της συσκευασίας μπορεί να είναι προς το συμφέρον της δημόσιας υγείας και των καταναλωτών και μπορεί να αποδειχθεί αποτελεσματική όσον αφορά την παροχή βοήθειας στους καταναλωτές ώστε να κάνουν υγιεινότερες διατροφικές επιλογές· ζητά τη λήψη ρυθμιστικών μέτρων για τη μείωση της επιβάρυνσης που συνεπάγονται τα τρόφιμα υψηλής επεξεργασίας για τη δημόσια υγεία·</w:t>
      </w:r>
    </w:p>
    <w:p w:rsidR="00B048D0" w:rsidRPr="00F657BF" w:rsidRDefault="00B048D0" w:rsidP="00252BDC">
      <w:pPr>
        <w:pStyle w:val="NormalHanging12a"/>
        <w:widowControl/>
        <w:ind w:left="0" w:firstLine="0"/>
        <w:rPr>
          <w:b/>
          <w:i/>
        </w:rPr>
      </w:pPr>
      <w:r w:rsidRPr="00F657BF">
        <w:rPr>
          <w:b/>
          <w:i/>
        </w:rPr>
        <w:t>Σημασία των ισχυρισμών</w:t>
      </w:r>
    </w:p>
    <w:p w:rsidR="00B048D0" w:rsidRPr="00F657BF" w:rsidRDefault="00F657BF" w:rsidP="00F657BF">
      <w:pPr>
        <w:pStyle w:val="NormalHanging12a"/>
        <w:widowControl/>
        <w:ind w:left="570" w:hanging="570"/>
        <w:rPr>
          <w:szCs w:val="24"/>
        </w:rPr>
      </w:pPr>
      <w:r w:rsidRPr="00F657BF">
        <w:rPr>
          <w:szCs w:val="24"/>
        </w:rPr>
        <w:t>9.</w:t>
      </w:r>
      <w:r w:rsidRPr="00F657BF">
        <w:rPr>
          <w:szCs w:val="24"/>
        </w:rPr>
        <w:tab/>
      </w:r>
      <w:r w:rsidR="00B048D0" w:rsidRPr="00F657BF">
        <w:t>Σημειώνει ότι πολλοί από τους ισχυρισμούς που χρησιμοποιούνται στην αγορά της ΕΕ αφορούν θρεπτικές ουσίες τις οποίες πολύ λίγοι ευρωπαίοι καταναλωτές δεν έχουν στη διατροφή τους· ζητά να εξετάσει η Επιτροπή τη νομοθετική δυνατότητα επέκτασης των αρμοδιοτήτων της EFSA ώστε να συμπεριλάβει την αξιολόγηση της σημασίας της χρήσης τέτοιων ισχυρισμών, καθώς και την επιστημονική βάση των ισχυρισμών αυτών· υποστηρίζει σθεναρά την εν εξελίξει δημοσίευση από την EFSA συγκεκριμένων κατευθυντήριων γραμμών ανάλογα με τη χρήση ενός ισχυρισμού·</w:t>
      </w:r>
    </w:p>
    <w:p w:rsidR="00B048D0" w:rsidRPr="00F657BF" w:rsidRDefault="00F657BF" w:rsidP="00F657BF">
      <w:pPr>
        <w:pStyle w:val="NormalHanging12a"/>
        <w:widowControl/>
        <w:ind w:left="570" w:hanging="570"/>
        <w:rPr>
          <w:szCs w:val="24"/>
        </w:rPr>
      </w:pPr>
      <w:r w:rsidRPr="00F657BF">
        <w:rPr>
          <w:szCs w:val="24"/>
        </w:rPr>
        <w:t>10.</w:t>
      </w:r>
      <w:r w:rsidRPr="00F657BF">
        <w:rPr>
          <w:szCs w:val="24"/>
        </w:rPr>
        <w:tab/>
      </w:r>
      <w:r w:rsidR="00B048D0" w:rsidRPr="00F657BF">
        <w:t>καλεί την Επιτροπή να αξιολογήσει τη δυνατότητα περιορισμού της χρήσης του επιτρεπόμενου διατροφικού ισχυρισμού «χωρίς προσθήκη σακχάρων» για προϊόντα που περιέχουν γλυκαντικές ουσίες ή υψηλά επίπεδα ελεύθερων σακχάρων·</w:t>
      </w:r>
    </w:p>
    <w:p w:rsidR="00B048D0" w:rsidRPr="00F657BF" w:rsidRDefault="00F657BF" w:rsidP="00F657BF">
      <w:pPr>
        <w:pStyle w:val="NormalHanging12a"/>
        <w:widowControl/>
        <w:ind w:left="570" w:hanging="570"/>
        <w:rPr>
          <w:szCs w:val="24"/>
        </w:rPr>
      </w:pPr>
      <w:r w:rsidRPr="00F657BF">
        <w:rPr>
          <w:szCs w:val="24"/>
        </w:rPr>
        <w:t>11.</w:t>
      </w:r>
      <w:r w:rsidRPr="00F657BF">
        <w:rPr>
          <w:szCs w:val="24"/>
        </w:rPr>
        <w:tab/>
      </w:r>
      <w:r w:rsidR="00B048D0" w:rsidRPr="00F657BF">
        <w:t>επισημαίνει ότι, ακόμη και όταν οι ισχυρισμοί για τα παρασκευάσματα για βρέφη είναι επιστημονικά τεκμηριωμένοι, όπως ο ισχυρισμός υγείας «η πρόσληψη DHA συμβάλλει στη φυσιολογική ανάπτυξη της όρασης των βρεφών ηλικίας έως 12 μηνών», η χρήση τους θα πρέπει να αποφεύγει να επηρεάζει τις επιλογές διατροφής των βρεφών και να περιορίζει τις βελτιώσεις στα παρασκευάσματα για βρέφη</w:t>
      </w:r>
      <w:r w:rsidR="00B048D0" w:rsidRPr="00F657BF">
        <w:rPr>
          <w:szCs w:val="24"/>
          <w:vertAlign w:val="superscript"/>
        </w:rPr>
        <w:footnoteReference w:id="23"/>
      </w:r>
      <w:r w:rsidR="00B048D0" w:rsidRPr="00F657BF">
        <w:t xml:space="preserve">· </w:t>
      </w:r>
    </w:p>
    <w:p w:rsidR="00B048D0" w:rsidRPr="00F657BF" w:rsidRDefault="00F657BF" w:rsidP="00F657BF">
      <w:pPr>
        <w:pStyle w:val="NormalHanging12a"/>
        <w:widowControl/>
        <w:ind w:left="570" w:hanging="570"/>
      </w:pPr>
      <w:r w:rsidRPr="00F657BF">
        <w:t>12.</w:t>
      </w:r>
      <w:r w:rsidRPr="00F657BF">
        <w:tab/>
      </w:r>
      <w:r w:rsidR="00B048D0" w:rsidRPr="00F657BF">
        <w:t>υποστηρίζει την καθιέρωση εκ των προτέρων διαβουλεύσεων μεταξύ των παρασκευαστών και της EFSA, ώστε η EFSA να είναι σε θέση να παρουσιάσει τις προσδοκίες της στο πλαίσιο της υποβολής της αίτησής τους, τηρώντας παράλληλα την αρχή της ανεξαρτησίας της EFSA·</w:t>
      </w:r>
    </w:p>
    <w:p w:rsidR="00B048D0" w:rsidRPr="00F657BF" w:rsidRDefault="00B048D0" w:rsidP="00252BDC">
      <w:pPr>
        <w:pStyle w:val="NormalHanging12a"/>
        <w:widowControl/>
        <w:ind w:left="0" w:firstLine="0"/>
        <w:rPr>
          <w:b/>
          <w:i/>
        </w:rPr>
      </w:pPr>
      <w:r w:rsidRPr="00F657BF">
        <w:rPr>
          <w:b/>
          <w:i/>
        </w:rPr>
        <w:t>Φυτικά προϊόντα</w:t>
      </w:r>
    </w:p>
    <w:p w:rsidR="00B048D0" w:rsidRPr="00F657BF" w:rsidRDefault="00F657BF" w:rsidP="00F657BF">
      <w:pPr>
        <w:pStyle w:val="NormalHanging12a"/>
        <w:widowControl/>
        <w:ind w:left="570" w:hanging="570"/>
        <w:rPr>
          <w:szCs w:val="22"/>
        </w:rPr>
      </w:pPr>
      <w:r w:rsidRPr="00F657BF">
        <w:rPr>
          <w:szCs w:val="22"/>
        </w:rPr>
        <w:t>13.</w:t>
      </w:r>
      <w:r w:rsidRPr="00F657BF">
        <w:rPr>
          <w:szCs w:val="22"/>
        </w:rPr>
        <w:tab/>
      </w:r>
      <w:r w:rsidR="00B048D0" w:rsidRPr="00F657BF">
        <w:t>Επισημαίνει ότι η έλλειψη εναρμόνισης σε επίπεδο ΕΕ όσον αφορά την ταξινόμηση των ουσιών φυτικών προϊόντων είτε ως τροφίμων είτε ως φαρμάκων σημαίνει ότι μια φυτική ουσία μπορεί να επισημαίνεται ως «τρόφιμο» σε ένα κράτος μέλος και ως «φάρμακο» σε άλλο· υπογραμμίζει ότι αυτές οι ασυνέπειες δημιουργούν προκλήσεις για τους παρασκευαστές και τις ρυθμιστικές αρχές και έχουν τη δυνατότητα να επηρεάσουν αρνητικά την ασφάλεια και την ευημερία των καταναλωτών, καθώς είναι δύσκολο για τους καταναλωτές να διακρίνουν μεταξύ παραδοσιακών φαρμάκων φυτικής προέλευσης και φυτικών συμπληρωμάτων διατροφής που βασίζονται στην ίδια φυτική ουσία ή ουσίες, γεγονός που μπορεί να οδηγήσει σε παρανοήσεις σχετικά με τη χρήση τους·</w:t>
      </w:r>
    </w:p>
    <w:p w:rsidR="00B048D0" w:rsidRPr="00F657BF" w:rsidRDefault="00F657BF" w:rsidP="00F657BF">
      <w:pPr>
        <w:pStyle w:val="NormalHanging12a"/>
        <w:widowControl/>
        <w:ind w:left="570" w:hanging="570"/>
      </w:pPr>
      <w:r w:rsidRPr="00F657BF">
        <w:t>14.</w:t>
      </w:r>
      <w:r w:rsidRPr="00F657BF">
        <w:tab/>
      </w:r>
      <w:r w:rsidR="00B048D0" w:rsidRPr="00F657BF">
        <w:t>επισημαίνει την απουσία θετικού ή αρνητικού καταλόγου της ΕΕ για τις ουσίες φυτικών προϊόντων που χρησιμοποιούνται σε τρόφιμα και συμπληρώματα διατροφής, καθώς και την απουσία ολοκληρωμένου καταλόγου ωφέλιμων ή δυσμενών επιπτώσεων των φυτικών προϊόντων στην υγεία, με αποτέλεσμα νομοθετικές ανισότητες μεταξύ των κρατών μελών, κατακερματισμό της αγοράς και δυνητικά μη ασφαλή προϊόντα που φτάνουν στους καταναλωτές·</w:t>
      </w:r>
    </w:p>
    <w:p w:rsidR="00B048D0" w:rsidRPr="00F657BF" w:rsidRDefault="00F657BF" w:rsidP="00F657BF">
      <w:pPr>
        <w:pStyle w:val="NormalHanging12a"/>
        <w:widowControl/>
        <w:ind w:left="570" w:hanging="570"/>
      </w:pPr>
      <w:r w:rsidRPr="00F657BF">
        <w:t>15.</w:t>
      </w:r>
      <w:r w:rsidRPr="00F657BF">
        <w:tab/>
      </w:r>
      <w:r w:rsidR="00B048D0" w:rsidRPr="00F657BF">
        <w:t>αποδοκιμάζει τη συνεχιζόμενη αναστολή της αξιολόγησης των ισχυρισμών για φυτικά προϊόντα και επισημαίνει ότι υπάρχουν σοβαρές νομικές ανησυχίες σχετικά με τη συνέχιση της χρήσης των ισχυρισμών «σε αναστολή» στο πλαίσιο των μεταβατικών μέτρων του NHCR· τονίζει την επιτακτική ανάγκη να εξεταστεί ο κατάλογος «αναστολής» των ισχυρισμών σχετικά με φυτικά προϊόντα με περαιτέρω αξιολόγηση των ισχυρισμών αυτών ως επειγόντως αναγκαίο μέτρο για την προστασία των καταναλωτών, όπως αναγνωρίζεται από την έκθεση αξιολόγησης του 2020 της Επιτροπής για τον NHCR· εκφράζει την έντονη ανησυχία του για το γεγονός ότι η συνέχιση της χρήσης των ισχυρισμών σε «αναστολή» στο πλαίσιο των μεταβατικών μέτρων του NHCR θα μπορούσε να παραπλανήσει τους καταναλωτές και να αποτελέσει κίνδυνο για την υγεία τους, καθώς μπορεί να υποθέσουν λανθασμένα ότι οι ισχυρισμοί σε «αναστολή» έχουν αξιολογηθεί επιστημονικά και έχουν αποτελέσει αντικείμενο διαχείρισης κινδύνου·</w:t>
      </w:r>
    </w:p>
    <w:p w:rsidR="00B048D0" w:rsidRPr="00F657BF" w:rsidRDefault="00F657BF" w:rsidP="00F657BF">
      <w:pPr>
        <w:pStyle w:val="NormalHanging12a"/>
        <w:widowControl/>
        <w:ind w:left="570" w:hanging="570"/>
      </w:pPr>
      <w:r w:rsidRPr="00F657BF">
        <w:t>16.</w:t>
      </w:r>
      <w:r w:rsidRPr="00F657BF">
        <w:tab/>
      </w:r>
      <w:r w:rsidR="00B048D0" w:rsidRPr="00F657BF">
        <w:t>θεωρεί απαραίτητο για την EFSA και την Επιτροπή να επανεξετάσουν άμεσα, σύμφωνα με τις διατάξεις του NHCR, τους ισχυρισμούς υγείας που αφορούν φυτικά προϊόντα στα τρόφιμα· καλεί την Επιτροπή να απορρίψει τους ισχυρισμούς που περιλαμβάνονται στον κατάλογο «σε αναμονή», οι οποίοι έχουν ήδη αξιολογηθεί αρνητικά·</w:t>
      </w:r>
    </w:p>
    <w:p w:rsidR="00B048D0" w:rsidRPr="00F657BF" w:rsidRDefault="00F657BF" w:rsidP="00F657BF">
      <w:pPr>
        <w:pStyle w:val="NormalHanging12a"/>
        <w:widowControl/>
        <w:ind w:left="570" w:hanging="570"/>
      </w:pPr>
      <w:r w:rsidRPr="00F657BF">
        <w:t>17.</w:t>
      </w:r>
      <w:r w:rsidRPr="00F657BF">
        <w:tab/>
      </w:r>
      <w:r w:rsidR="00B048D0" w:rsidRPr="00F657BF">
        <w:t>παροτρύνει τα κράτη μέλη να συνεργαστούν αποτελεσματικά για την καθιέρωση μιας συντονισμένης προσέγγισης για τα φυτικά συμπληρώματα διατροφής και ζητά να παράσχει η Επιτροπή σχετική καθοδήγηση· καλεί την Επιτροπή και τα κράτη μέλη να καταρτίσουν χωρίς καθυστέρηση έναν αρνητικό κατάλογο σε επίπεδο ΕΕ των φυτικών προϊόντων που χρησιμοποιούνται για τρόφιμα με βάση την τοξικότητά τους ή τις δυσμενείς επιπτώσεις τους στην υγεία που έχουν ήδη προσδιοριστεί στα κράτη μέλη·</w:t>
      </w:r>
    </w:p>
    <w:p w:rsidR="00B048D0" w:rsidRPr="00F657BF" w:rsidRDefault="00B048D0" w:rsidP="00252BDC">
      <w:pPr>
        <w:pStyle w:val="NormalHanging12a"/>
        <w:widowControl/>
        <w:ind w:left="0" w:firstLine="0"/>
        <w:rPr>
          <w:b/>
        </w:rPr>
      </w:pPr>
      <w:r w:rsidRPr="00F657BF">
        <w:rPr>
          <w:b/>
          <w:i/>
        </w:rPr>
        <w:t>Επιβολή της νομοθεσίας</w:t>
      </w:r>
    </w:p>
    <w:p w:rsidR="00B048D0" w:rsidRPr="00F657BF" w:rsidRDefault="00F657BF" w:rsidP="00F657BF">
      <w:pPr>
        <w:pStyle w:val="NormalHanging12a"/>
        <w:widowControl/>
        <w:ind w:left="570" w:hanging="570"/>
      </w:pPr>
      <w:r w:rsidRPr="00F657BF">
        <w:t>18.</w:t>
      </w:r>
      <w:r w:rsidRPr="00F657BF">
        <w:tab/>
      </w:r>
      <w:r w:rsidR="00B048D0" w:rsidRPr="00F657BF">
        <w:t>Ζητά να παράσχει η Επιτροπή επικαιροποιημένη καθοδήγηση σχετικά με τον τρόπο αντιμετώπισης των πρακτικών εμπορίας που χρησιμοποιούνται για την παράκαμψη του NHCR·</w:t>
      </w:r>
    </w:p>
    <w:p w:rsidR="00B048D0" w:rsidRPr="00F657BF" w:rsidRDefault="00F657BF" w:rsidP="00F657BF">
      <w:pPr>
        <w:pStyle w:val="NormalHanging12a"/>
        <w:widowControl/>
        <w:ind w:left="570" w:hanging="570"/>
      </w:pPr>
      <w:r w:rsidRPr="00F657BF">
        <w:t>19.</w:t>
      </w:r>
      <w:r w:rsidRPr="00F657BF">
        <w:tab/>
      </w:r>
      <w:r w:rsidR="00B048D0" w:rsidRPr="00F657BF">
        <w:t>καλεί την Επιτροπή και τα κράτη μέλη να δημιουργήσουν ένα δίκτυο γνώσεων με στόχο την υποστήριξη της ομάδας εργασίας για τους ισχυρισμούς διατροφής και υγείας· επισημαίνει ότι το δίκτυο αυτό θα πρέπει να συμβάλλει στο να διευκολύνει την ανταλλαγή βέλτιστων πρακτικών, να γεφυρώσει τα κενά ερμηνείας μεταξύ των κρατών μελών και να αντιμετωπίσει τις ανισότητες όσον αφορά την επιβολή·</w:t>
      </w:r>
    </w:p>
    <w:p w:rsidR="00B048D0" w:rsidRPr="00F657BF" w:rsidRDefault="00B048D0" w:rsidP="00252BDC">
      <w:pPr>
        <w:pStyle w:val="NormalHanging12a"/>
        <w:widowControl/>
        <w:ind w:left="0" w:firstLine="0"/>
        <w:rPr>
          <w:b/>
        </w:rPr>
      </w:pPr>
      <w:r w:rsidRPr="00F657BF">
        <w:rPr>
          <w:b/>
          <w:i/>
        </w:rPr>
        <w:t>Ισχυρισμοί υγείας στις ηλεκτρονικές επικοινωνίες</w:t>
      </w:r>
    </w:p>
    <w:p w:rsidR="00B048D0" w:rsidRPr="00F657BF" w:rsidRDefault="00F657BF" w:rsidP="00F657BF">
      <w:pPr>
        <w:pStyle w:val="NormalHanging12a"/>
        <w:widowControl/>
        <w:ind w:left="570" w:hanging="570"/>
      </w:pPr>
      <w:r w:rsidRPr="00F657BF">
        <w:t>20.</w:t>
      </w:r>
      <w:r w:rsidRPr="00F657BF">
        <w:tab/>
      </w:r>
      <w:r w:rsidR="00B048D0" w:rsidRPr="00F657BF">
        <w:t>Επισημαίνει ότι ο NHCR εγκρίθηκε σε μια εποχή κατά την οποία τα μέσα κοινωνικής δικτύωσης δεν διαδραμάτισαν ακόμη τόσο σημαντικό ρόλο στη διαφήμιση και την πώληση τροφίμων και συμπληρωμάτων διατροφής· εκφράζει την ανησυχία του για το γεγονός ότι ο βαθμός στον οποίο ο NHCR διέπει αποτελεσματικά τις σχετικές με την υγεία διαδικτυακές επικοινωνίες σχετικά με τα τρόφιμα παραμένει ασαφής·</w:t>
      </w:r>
    </w:p>
    <w:p w:rsidR="00B048D0" w:rsidRPr="00F657BF" w:rsidRDefault="00F657BF" w:rsidP="00F657BF">
      <w:pPr>
        <w:pStyle w:val="NormalHanging12a"/>
        <w:widowControl/>
        <w:ind w:left="570" w:hanging="570"/>
        <w:rPr>
          <w:szCs w:val="24"/>
        </w:rPr>
      </w:pPr>
      <w:r w:rsidRPr="00F657BF">
        <w:rPr>
          <w:szCs w:val="24"/>
        </w:rPr>
        <w:t>21.</w:t>
      </w:r>
      <w:r w:rsidRPr="00F657BF">
        <w:rPr>
          <w:szCs w:val="24"/>
        </w:rPr>
        <w:tab/>
      </w:r>
      <w:r w:rsidR="00B048D0" w:rsidRPr="00F657BF">
        <w:t>εκφράζει την ανησυχία του για την παρουσία μη εγκεκριμένων και παραπλανητικών ισχυρισμών διατροφής και υγείας στο διαδίκτυο· τονίζει την ανάγκη να διασφαλιστεί ότι ο NHCR παραμένει σημαντικός στο επιγραμμικό περιβάλλον, ιδίως επειδή ορισμένες πιο ευάλωτες ομάδες, όπως τα παιδιά και οι έφηβοι, ενδέχεται να είναι ιδιαίτερα ευαίσθητοι σε ορισμένους ισχυρισμούς υγείας και πληροφορίες για τα τρόφιμα που ανταλλάσσονται στα μέσα κοινωνικής δικτύωσης, γεγονός που συνιστά κίνδυνο για τη σωματική και ψυχική τους υγεία· θεωρεί σημαντικό, στο πλαίσιο αυτό, να οριστεί τι συνιστά εμπορική επικοινωνία σχετικά με τα τρόφιμα και τα συμπληρώματα διατροφής στα μέσα κοινωνικής δικτύωσης·</w:t>
      </w:r>
    </w:p>
    <w:p w:rsidR="00B048D0" w:rsidRPr="00F657BF" w:rsidRDefault="00F657BF" w:rsidP="00F657BF">
      <w:pPr>
        <w:pStyle w:val="NormalHanging12a"/>
        <w:widowControl/>
        <w:ind w:left="570" w:hanging="570"/>
      </w:pPr>
      <w:r w:rsidRPr="00F657BF">
        <w:t>22.</w:t>
      </w:r>
      <w:r w:rsidRPr="00F657BF">
        <w:tab/>
      </w:r>
      <w:r w:rsidR="00B048D0" w:rsidRPr="00F657BF">
        <w:t>ζητά να ανανεωθεί η προσοχή για την επίτευξη μιας αποτελεσματικής και πανευρωπαϊκής προσέγγισης για την αντιμετώπιση της έκθεσης των παιδιών και των εφήβων στη διαφήμιση και το μάρκετινγκ επεξεργασμένων τροφίμων με υψηλή περιεκτικότητα σε λιπαρά, ζάχαρη και αλάτι σε ραδιοτηλεοπτικά και ψηφιακά μέσα· καλεί την Επιτροπή να εξετάσει το ενδεχόμενο να αναλάβει νομοθετική δράση για την προστασία της υγείας αυτής της ευάλωτης ομάδας καταναλωτών·</w:t>
      </w:r>
    </w:p>
    <w:p w:rsidR="00B048D0" w:rsidRPr="00F657BF" w:rsidRDefault="00F657BF" w:rsidP="00F657BF">
      <w:pPr>
        <w:pStyle w:val="NormalHanging12a"/>
        <w:widowControl/>
        <w:ind w:left="570" w:hanging="570"/>
      </w:pPr>
      <w:r w:rsidRPr="00F657BF">
        <w:t>23.</w:t>
      </w:r>
      <w:r w:rsidRPr="00F657BF">
        <w:tab/>
      </w:r>
      <w:r w:rsidR="00B048D0" w:rsidRPr="00F657BF">
        <w:t>ζητά να καταρτίσει η Επιτροπή ολοκληρωμένες κατευθυντήριες γραμμές για την επιβολή του NHCR στο διαδίκτυο· θεωρεί ότι οι εν λόγω κατευθυντήριες γραμμές θα πρέπει να περιγράφουν σαφείς διαδικασίες και πρότυπα για την παρακολούθηση και τη ρύθμιση των ισχυρισμών υγείας στο διαδίκτυο, διασφαλίζοντας την ακρίβεια και τη διαφάνεια των εν λόγω ισχυρισμών και διασφαλίζοντας την ευημερία των καταναλωτών στο πλαίσιο του νόμου για τις ψηφιακές υπηρεσίες· επισημαίνει τις ευθύνες των κρατών μελών και των παρόχων επιγραμμικών πλατφορμών, όπως ορίζονται στον νόμο για τις ψηφιακές υπηρεσίες, και συγκεκριμένα να ενεργούν κατά της διάδοσης παράνομου περιεχομένου και να διασφαλίζουν διαφάνεια για τους καταναλωτές όσον αφορά την επιγραμμική διαφήμιση·</w:t>
      </w:r>
    </w:p>
    <w:p w:rsidR="00B048D0" w:rsidRPr="00F657BF" w:rsidRDefault="00F657BF" w:rsidP="00F657BF">
      <w:pPr>
        <w:pStyle w:val="NormalHanging12a"/>
        <w:widowControl/>
        <w:ind w:left="570" w:hanging="570"/>
        <w:rPr>
          <w:szCs w:val="24"/>
        </w:rPr>
      </w:pPr>
      <w:r w:rsidRPr="00F657BF">
        <w:rPr>
          <w:szCs w:val="24"/>
        </w:rPr>
        <w:t>24.</w:t>
      </w:r>
      <w:r w:rsidRPr="00F657BF">
        <w:rPr>
          <w:szCs w:val="24"/>
        </w:rPr>
        <w:tab/>
      </w:r>
      <w:r w:rsidR="00B048D0" w:rsidRPr="00F657BF">
        <w:t>καλεί την Επιτροπή και τα κράτη μέλη να δημιουργήσουν μια πλατφόρμα για την ανταλλαγή βέλτιστων πρακτικών ηλεκτρονικής επιβολής του NHCR και να ενθαρρύνουν τη συνεργασία μεταξύ των αρμόδιων αρχών των κρατών μελών·</w:t>
      </w:r>
    </w:p>
    <w:p w:rsidR="00B048D0" w:rsidRPr="00F657BF" w:rsidRDefault="00B048D0" w:rsidP="00252BDC">
      <w:pPr>
        <w:pStyle w:val="NormalHanging12a"/>
        <w:widowControl/>
        <w:ind w:left="0" w:firstLine="0"/>
        <w:jc w:val="center"/>
      </w:pPr>
      <w:r w:rsidRPr="00F657BF">
        <w:t>°</w:t>
      </w:r>
    </w:p>
    <w:p w:rsidR="00B048D0" w:rsidRPr="00F657BF" w:rsidRDefault="00B048D0" w:rsidP="00252BDC">
      <w:pPr>
        <w:pStyle w:val="NormalHanging12a"/>
        <w:widowControl/>
        <w:ind w:left="0" w:firstLine="0"/>
        <w:jc w:val="center"/>
      </w:pPr>
      <w:r w:rsidRPr="00F657BF">
        <w:t>°</w:t>
      </w:r>
      <w:r w:rsidRPr="00F657BF">
        <w:tab/>
        <w:t>°</w:t>
      </w:r>
    </w:p>
    <w:p w:rsidR="00B048D0" w:rsidRPr="00F657BF" w:rsidRDefault="00F657BF" w:rsidP="00F657BF">
      <w:pPr>
        <w:widowControl/>
        <w:spacing w:after="240"/>
        <w:ind w:left="570" w:hanging="570"/>
      </w:pPr>
      <w:r w:rsidRPr="00F657BF">
        <w:t>25.</w:t>
      </w:r>
      <w:r w:rsidRPr="00F657BF">
        <w:tab/>
      </w:r>
      <w:r w:rsidR="00B048D0" w:rsidRPr="00F657BF">
        <w:t xml:space="preserve">αναθέτει στην Πρόεδρό του να διαβιβάσει το παρόν ψήφισμα στο </w:t>
      </w:r>
      <w:r w:rsidR="005952D3" w:rsidRPr="00F657BF">
        <w:t>Συμβούλιο και στην Επιτροπή.</w:t>
      </w:r>
    </w:p>
    <w:p w:rsidR="00252BDC" w:rsidRPr="00F657BF" w:rsidRDefault="00252BDC">
      <w:pPr>
        <w:widowControl/>
        <w:spacing w:after="240"/>
        <w:ind w:left="567" w:hanging="567"/>
      </w:pPr>
      <w:bookmarkStart w:id="9" w:name="TextBodyEnd"/>
      <w:bookmarkEnd w:id="9"/>
    </w:p>
    <w:sectPr w:rsidR="00252BDC" w:rsidRPr="00F657BF" w:rsidSect="005952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65FC" w:rsidRPr="005952D3" w:rsidRDefault="006165FC">
      <w:r w:rsidRPr="005952D3">
        <w:separator/>
      </w:r>
    </w:p>
  </w:endnote>
  <w:endnote w:type="continuationSeparator" w:id="0">
    <w:p w:rsidR="006165FC" w:rsidRPr="005952D3" w:rsidRDefault="006165FC">
      <w:r w:rsidRPr="005952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2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2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2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65FC" w:rsidRPr="005952D3" w:rsidRDefault="006165FC">
      <w:r w:rsidRPr="005952D3">
        <w:separator/>
      </w:r>
    </w:p>
  </w:footnote>
  <w:footnote w:type="continuationSeparator" w:id="0">
    <w:p w:rsidR="006165FC" w:rsidRPr="005952D3" w:rsidRDefault="006165FC">
      <w:r w:rsidRPr="005952D3">
        <w:continuationSeparator/>
      </w:r>
    </w:p>
  </w:footnote>
  <w:footnote w:id="1">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ΕΕ L 404 της 30.12.2006, σ. 9.</w:t>
      </w:r>
    </w:p>
  </w:footnote>
  <w:footnote w:id="2">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ΕΕ L 31 της 1.2.2002, σ. 1.</w:t>
      </w:r>
    </w:p>
  </w:footnote>
  <w:footnote w:id="3">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ΕΕ L 304 της 22.11.2011, σ. 18.</w:t>
      </w:r>
    </w:p>
  </w:footnote>
  <w:footnote w:id="4">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ΕΕ L 183 της 12.7.2002, σ. 51.</w:t>
      </w:r>
    </w:p>
  </w:footnote>
  <w:footnote w:id="5">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rStyle w:val="Emphasis"/>
          <w:i w:val="0"/>
          <w:sz w:val="24"/>
          <w:szCs w:val="24"/>
          <w:shd w:val="clear" w:color="auto" w:fill="FFFFFF"/>
          <w:lang w:val="el-GR"/>
        </w:rPr>
        <w:t xml:space="preserve"> </w:t>
      </w:r>
      <w:r w:rsidR="005952D3" w:rsidRPr="00DA78F9">
        <w:rPr>
          <w:rStyle w:val="Emphasis"/>
          <w:i w:val="0"/>
          <w:sz w:val="24"/>
          <w:szCs w:val="24"/>
          <w:shd w:val="clear" w:color="auto" w:fill="FFFFFF"/>
          <w:lang w:val="el-GR"/>
        </w:rPr>
        <w:tab/>
      </w:r>
      <w:r w:rsidRPr="00DA78F9">
        <w:rPr>
          <w:rStyle w:val="Emphasis"/>
          <w:i w:val="0"/>
          <w:sz w:val="24"/>
          <w:szCs w:val="24"/>
          <w:shd w:val="clear" w:color="auto" w:fill="FFFFFF"/>
          <w:lang w:val="el-GR"/>
        </w:rPr>
        <w:t>ΕΕ L 404 της 30.12.2006, σ. 26.</w:t>
      </w:r>
    </w:p>
  </w:footnote>
  <w:footnote w:id="6">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ΕΕ L 181 της 29.6.2013, σ. 35.</w:t>
      </w:r>
    </w:p>
  </w:footnote>
  <w:footnote w:id="7">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ΕΕ L 277 της 27.10.2022, σ. 1.</w:t>
      </w:r>
    </w:p>
  </w:footnote>
  <w:footnote w:id="8">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ΕΕ L 107 της 26.3.2021, σ. 1.</w:t>
      </w:r>
    </w:p>
  </w:footnote>
  <w:footnote w:id="9">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ΕΕ C 184 της 5.5.2022, σ. 2.</w:t>
      </w:r>
    </w:p>
  </w:footnote>
  <w:footnote w:id="10">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Ευρωπαϊκή Αρχή για την Ασφάλεια των Τροφίμων, «</w:t>
      </w:r>
      <w:proofErr w:type="spellStart"/>
      <w:r w:rsidRPr="00DA78F9">
        <w:rPr>
          <w:sz w:val="24"/>
          <w:szCs w:val="24"/>
          <w:lang w:val="el-GR"/>
        </w:rPr>
        <w:t>Tolerable</w:t>
      </w:r>
      <w:proofErr w:type="spellEnd"/>
      <w:r w:rsidRPr="00DA78F9">
        <w:rPr>
          <w:sz w:val="24"/>
          <w:szCs w:val="24"/>
          <w:lang w:val="el-GR"/>
        </w:rPr>
        <w:t xml:space="preserve"> </w:t>
      </w:r>
      <w:proofErr w:type="spellStart"/>
      <w:r w:rsidRPr="00DA78F9">
        <w:rPr>
          <w:sz w:val="24"/>
          <w:szCs w:val="24"/>
          <w:lang w:val="el-GR"/>
        </w:rPr>
        <w:t>upper</w:t>
      </w:r>
      <w:proofErr w:type="spellEnd"/>
      <w:r w:rsidRPr="00DA78F9">
        <w:rPr>
          <w:sz w:val="24"/>
          <w:szCs w:val="24"/>
          <w:lang w:val="el-GR"/>
        </w:rPr>
        <w:t xml:space="preserve"> </w:t>
      </w:r>
      <w:proofErr w:type="spellStart"/>
      <w:r w:rsidRPr="00DA78F9">
        <w:rPr>
          <w:sz w:val="24"/>
          <w:szCs w:val="24"/>
          <w:lang w:val="el-GR"/>
        </w:rPr>
        <w:t>intake</w:t>
      </w:r>
      <w:proofErr w:type="spellEnd"/>
      <w:r w:rsidRPr="00DA78F9">
        <w:rPr>
          <w:sz w:val="24"/>
          <w:szCs w:val="24"/>
          <w:lang w:val="el-GR"/>
        </w:rPr>
        <w:t xml:space="preserve"> </w:t>
      </w:r>
      <w:proofErr w:type="spellStart"/>
      <w:r w:rsidRPr="00DA78F9">
        <w:rPr>
          <w:sz w:val="24"/>
          <w:szCs w:val="24"/>
          <w:lang w:val="el-GR"/>
        </w:rPr>
        <w:t>level</w:t>
      </w:r>
      <w:proofErr w:type="spellEnd"/>
      <w:r w:rsidRPr="00DA78F9">
        <w:rPr>
          <w:sz w:val="24"/>
          <w:szCs w:val="24"/>
          <w:lang w:val="el-GR"/>
        </w:rPr>
        <w:t xml:space="preserve"> for </w:t>
      </w:r>
      <w:proofErr w:type="spellStart"/>
      <w:r w:rsidRPr="00DA78F9">
        <w:rPr>
          <w:sz w:val="24"/>
          <w:szCs w:val="24"/>
          <w:lang w:val="el-GR"/>
        </w:rPr>
        <w:t>dietary</w:t>
      </w:r>
      <w:proofErr w:type="spellEnd"/>
      <w:r w:rsidRPr="00DA78F9">
        <w:rPr>
          <w:sz w:val="24"/>
          <w:szCs w:val="24"/>
          <w:lang w:val="el-GR"/>
        </w:rPr>
        <w:t xml:space="preserve"> </w:t>
      </w:r>
      <w:proofErr w:type="spellStart"/>
      <w:r w:rsidRPr="00DA78F9">
        <w:rPr>
          <w:sz w:val="24"/>
          <w:szCs w:val="24"/>
          <w:lang w:val="el-GR"/>
        </w:rPr>
        <w:t>sugars</w:t>
      </w:r>
      <w:proofErr w:type="spellEnd"/>
      <w:r w:rsidRPr="00DA78F9">
        <w:rPr>
          <w:sz w:val="24"/>
          <w:szCs w:val="24"/>
          <w:lang w:val="el-GR"/>
        </w:rPr>
        <w:t xml:space="preserve">» (Ανώτατο ανεκτό επίπεδο πρόσληψης σακχάρων στη διατροφή), </w:t>
      </w:r>
      <w:r w:rsidRPr="00DA78F9">
        <w:rPr>
          <w:iCs/>
          <w:sz w:val="24"/>
          <w:szCs w:val="24"/>
          <w:lang w:val="el-GR"/>
        </w:rPr>
        <w:t>EFSA Journal</w:t>
      </w:r>
      <w:r w:rsidRPr="00DA78F9">
        <w:rPr>
          <w:sz w:val="24"/>
          <w:szCs w:val="24"/>
          <w:lang w:val="el-GR"/>
        </w:rPr>
        <w:t>, τόμος 20, τεύχος 2, Ευρωπαϊκή Αρχή για την Ασφάλεια των Τροφίμων, 15</w:t>
      </w:r>
      <w:r w:rsidR="00252BDC" w:rsidRPr="00DA78F9">
        <w:rPr>
          <w:sz w:val="24"/>
          <w:szCs w:val="24"/>
          <w:lang w:val="el-GR"/>
        </w:rPr>
        <w:t> </w:t>
      </w:r>
      <w:r w:rsidRPr="00DA78F9">
        <w:rPr>
          <w:sz w:val="24"/>
          <w:szCs w:val="24"/>
          <w:lang w:val="el-GR"/>
        </w:rPr>
        <w:t>Δεκεμβρίου 2021.</w:t>
      </w:r>
    </w:p>
  </w:footnote>
  <w:footnote w:id="11">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Παγκόσμιος Οργανισμός Υγείας, «</w:t>
      </w:r>
      <w:proofErr w:type="spellStart"/>
      <w:r w:rsidRPr="00DA78F9">
        <w:rPr>
          <w:iCs/>
          <w:sz w:val="24"/>
          <w:szCs w:val="24"/>
          <w:lang w:val="el-GR"/>
        </w:rPr>
        <w:t>Nutrition</w:t>
      </w:r>
      <w:proofErr w:type="spellEnd"/>
      <w:r w:rsidRPr="00DA78F9">
        <w:rPr>
          <w:iCs/>
          <w:sz w:val="24"/>
          <w:szCs w:val="24"/>
          <w:lang w:val="el-GR"/>
        </w:rPr>
        <w:t xml:space="preserve"> </w:t>
      </w:r>
      <w:proofErr w:type="spellStart"/>
      <w:r w:rsidRPr="00DA78F9">
        <w:rPr>
          <w:iCs/>
          <w:sz w:val="24"/>
          <w:szCs w:val="24"/>
          <w:lang w:val="el-GR"/>
        </w:rPr>
        <w:t>labelling</w:t>
      </w:r>
      <w:proofErr w:type="spellEnd"/>
      <w:r w:rsidRPr="00DA78F9">
        <w:rPr>
          <w:iCs/>
          <w:sz w:val="24"/>
          <w:szCs w:val="24"/>
          <w:lang w:val="el-GR"/>
        </w:rPr>
        <w:t>:</w:t>
      </w:r>
      <w:r w:rsidRPr="00DA78F9">
        <w:rPr>
          <w:sz w:val="24"/>
          <w:szCs w:val="24"/>
          <w:lang w:val="el-GR"/>
        </w:rPr>
        <w:t xml:space="preserve"> </w:t>
      </w:r>
      <w:proofErr w:type="spellStart"/>
      <w:r w:rsidRPr="00DA78F9">
        <w:rPr>
          <w:sz w:val="24"/>
          <w:szCs w:val="24"/>
          <w:lang w:val="el-GR"/>
        </w:rPr>
        <w:t>policy</w:t>
      </w:r>
      <w:proofErr w:type="spellEnd"/>
      <w:r w:rsidRPr="00DA78F9">
        <w:rPr>
          <w:sz w:val="24"/>
          <w:szCs w:val="24"/>
          <w:lang w:val="el-GR"/>
        </w:rPr>
        <w:t xml:space="preserve"> </w:t>
      </w:r>
      <w:proofErr w:type="spellStart"/>
      <w:r w:rsidRPr="00DA78F9">
        <w:rPr>
          <w:sz w:val="24"/>
          <w:szCs w:val="24"/>
          <w:lang w:val="el-GR"/>
        </w:rPr>
        <w:t>brief</w:t>
      </w:r>
      <w:proofErr w:type="spellEnd"/>
      <w:r w:rsidRPr="00DA78F9">
        <w:rPr>
          <w:sz w:val="24"/>
          <w:szCs w:val="24"/>
          <w:lang w:val="el-GR"/>
        </w:rPr>
        <w:t>» (Διατροφική επισήμανση: σύνοψη πολιτικής), Παγκόσμιος Οργανισμός Υγείας, Γενεύη, 2022.</w:t>
      </w:r>
    </w:p>
  </w:footnote>
  <w:footnote w:id="12">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Παγκόσμιος Οργανισμός Υγείας, «</w:t>
      </w:r>
      <w:proofErr w:type="spellStart"/>
      <w:r w:rsidRPr="00DA78F9">
        <w:rPr>
          <w:iCs/>
          <w:sz w:val="24"/>
          <w:szCs w:val="24"/>
          <w:lang w:val="el-GR"/>
        </w:rPr>
        <w:t>Guiding</w:t>
      </w:r>
      <w:proofErr w:type="spellEnd"/>
      <w:r w:rsidRPr="00DA78F9">
        <w:rPr>
          <w:iCs/>
          <w:sz w:val="24"/>
          <w:szCs w:val="24"/>
          <w:lang w:val="el-GR"/>
        </w:rPr>
        <w:t xml:space="preserve"> </w:t>
      </w:r>
      <w:proofErr w:type="spellStart"/>
      <w:r w:rsidRPr="00DA78F9">
        <w:rPr>
          <w:iCs/>
          <w:sz w:val="24"/>
          <w:szCs w:val="24"/>
          <w:lang w:val="el-GR"/>
        </w:rPr>
        <w:t>principles</w:t>
      </w:r>
      <w:proofErr w:type="spellEnd"/>
      <w:r w:rsidRPr="00DA78F9">
        <w:rPr>
          <w:iCs/>
          <w:sz w:val="24"/>
          <w:szCs w:val="24"/>
          <w:lang w:val="el-GR"/>
        </w:rPr>
        <w:t xml:space="preserve"> and </w:t>
      </w:r>
      <w:proofErr w:type="spellStart"/>
      <w:r w:rsidRPr="00DA78F9">
        <w:rPr>
          <w:iCs/>
          <w:sz w:val="24"/>
          <w:szCs w:val="24"/>
          <w:lang w:val="el-GR"/>
        </w:rPr>
        <w:t>framework</w:t>
      </w:r>
      <w:proofErr w:type="spellEnd"/>
      <w:r w:rsidRPr="00DA78F9">
        <w:rPr>
          <w:iCs/>
          <w:sz w:val="24"/>
          <w:szCs w:val="24"/>
          <w:lang w:val="el-GR"/>
        </w:rPr>
        <w:t xml:space="preserve"> </w:t>
      </w:r>
      <w:proofErr w:type="spellStart"/>
      <w:r w:rsidRPr="00DA78F9">
        <w:rPr>
          <w:iCs/>
          <w:sz w:val="24"/>
          <w:szCs w:val="24"/>
          <w:lang w:val="el-GR"/>
        </w:rPr>
        <w:t>manual</w:t>
      </w:r>
      <w:proofErr w:type="spellEnd"/>
      <w:r w:rsidRPr="00DA78F9">
        <w:rPr>
          <w:iCs/>
          <w:sz w:val="24"/>
          <w:szCs w:val="24"/>
          <w:lang w:val="el-GR"/>
        </w:rPr>
        <w:t xml:space="preserve"> for </w:t>
      </w:r>
      <w:proofErr w:type="spellStart"/>
      <w:r w:rsidRPr="00DA78F9">
        <w:rPr>
          <w:iCs/>
          <w:sz w:val="24"/>
          <w:szCs w:val="24"/>
          <w:lang w:val="el-GR"/>
        </w:rPr>
        <w:t>front</w:t>
      </w:r>
      <w:proofErr w:type="spellEnd"/>
      <w:r w:rsidRPr="00DA78F9">
        <w:rPr>
          <w:iCs/>
          <w:sz w:val="24"/>
          <w:szCs w:val="24"/>
          <w:lang w:val="el-GR"/>
        </w:rPr>
        <w:t xml:space="preserve"> of-</w:t>
      </w:r>
      <w:proofErr w:type="spellStart"/>
      <w:r w:rsidRPr="00DA78F9">
        <w:rPr>
          <w:iCs/>
          <w:sz w:val="24"/>
          <w:szCs w:val="24"/>
          <w:lang w:val="el-GR"/>
        </w:rPr>
        <w:t>pack</w:t>
      </w:r>
      <w:proofErr w:type="spellEnd"/>
      <w:r w:rsidRPr="00DA78F9">
        <w:rPr>
          <w:iCs/>
          <w:sz w:val="24"/>
          <w:szCs w:val="24"/>
          <w:lang w:val="el-GR"/>
        </w:rPr>
        <w:t xml:space="preserve"> </w:t>
      </w:r>
      <w:proofErr w:type="spellStart"/>
      <w:r w:rsidRPr="00DA78F9">
        <w:rPr>
          <w:iCs/>
          <w:sz w:val="24"/>
          <w:szCs w:val="24"/>
          <w:lang w:val="el-GR"/>
        </w:rPr>
        <w:t>marking</w:t>
      </w:r>
      <w:proofErr w:type="spellEnd"/>
      <w:r w:rsidRPr="00DA78F9">
        <w:rPr>
          <w:iCs/>
          <w:sz w:val="24"/>
          <w:szCs w:val="24"/>
          <w:lang w:val="el-GR"/>
        </w:rPr>
        <w:t xml:space="preserve"> for </w:t>
      </w:r>
      <w:proofErr w:type="spellStart"/>
      <w:r w:rsidRPr="00DA78F9">
        <w:rPr>
          <w:iCs/>
          <w:sz w:val="24"/>
          <w:szCs w:val="24"/>
          <w:lang w:val="el-GR"/>
        </w:rPr>
        <w:t>promotion</w:t>
      </w:r>
      <w:proofErr w:type="spellEnd"/>
      <w:r w:rsidRPr="00DA78F9">
        <w:rPr>
          <w:iCs/>
          <w:sz w:val="24"/>
          <w:szCs w:val="24"/>
          <w:lang w:val="el-GR"/>
        </w:rPr>
        <w:t xml:space="preserve"> </w:t>
      </w:r>
      <w:proofErr w:type="spellStart"/>
      <w:r w:rsidRPr="00DA78F9">
        <w:rPr>
          <w:iCs/>
          <w:sz w:val="24"/>
          <w:szCs w:val="24"/>
          <w:lang w:val="el-GR"/>
        </w:rPr>
        <w:t>healthy</w:t>
      </w:r>
      <w:proofErr w:type="spellEnd"/>
      <w:r w:rsidRPr="00DA78F9">
        <w:rPr>
          <w:iCs/>
          <w:sz w:val="24"/>
          <w:szCs w:val="24"/>
          <w:lang w:val="el-GR"/>
        </w:rPr>
        <w:t xml:space="preserve"> </w:t>
      </w:r>
      <w:proofErr w:type="spellStart"/>
      <w:r w:rsidRPr="00DA78F9">
        <w:rPr>
          <w:iCs/>
          <w:sz w:val="24"/>
          <w:szCs w:val="24"/>
          <w:lang w:val="el-GR"/>
        </w:rPr>
        <w:t>diets</w:t>
      </w:r>
      <w:proofErr w:type="spellEnd"/>
      <w:r w:rsidRPr="00DA78F9">
        <w:rPr>
          <w:sz w:val="24"/>
          <w:szCs w:val="24"/>
          <w:lang w:val="el-GR"/>
        </w:rPr>
        <w:t>» (Κατευθυντήριες αρχές και εγχειρίδιο πλαισίου για την επισήμανση στο εμπρόσθιο μέρος της συσκευασίας για την προώθηση της υγιεινής διατροφής), Παγκόσμιος Οργανισμός Υγείας, Γενεύη, 2019.</w:t>
      </w:r>
    </w:p>
  </w:footnote>
  <w:footnote w:id="13">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rPr>
        <w:footnoteRef/>
      </w:r>
      <w:r w:rsidR="005952D3" w:rsidRPr="00DA78F9">
        <w:rPr>
          <w:sz w:val="24"/>
          <w:szCs w:val="24"/>
          <w:lang w:val="el-GR"/>
        </w:rPr>
        <w:t xml:space="preserve"> </w:t>
      </w:r>
      <w:r w:rsidR="005952D3" w:rsidRPr="00DA78F9">
        <w:rPr>
          <w:sz w:val="24"/>
          <w:szCs w:val="24"/>
          <w:lang w:val="el-GR"/>
        </w:rPr>
        <w:tab/>
      </w:r>
      <w:r w:rsidRPr="00DA78F9">
        <w:rPr>
          <w:sz w:val="24"/>
          <w:szCs w:val="24"/>
        </w:rPr>
        <w:t>UNICEF</w:t>
      </w:r>
      <w:r w:rsidRPr="00DA78F9">
        <w:rPr>
          <w:sz w:val="24"/>
          <w:szCs w:val="24"/>
          <w:lang w:val="el-GR"/>
        </w:rPr>
        <w:t>, «</w:t>
      </w:r>
      <w:proofErr w:type="spellStart"/>
      <w:r w:rsidRPr="00DA78F9">
        <w:rPr>
          <w:iCs/>
          <w:sz w:val="24"/>
          <w:szCs w:val="24"/>
        </w:rPr>
        <w:t>Children</w:t>
      </w:r>
      <w:proofErr w:type="spellEnd"/>
      <w:r w:rsidRPr="00DA78F9">
        <w:rPr>
          <w:iCs/>
          <w:sz w:val="24"/>
          <w:szCs w:val="24"/>
          <w:lang w:val="el-GR"/>
        </w:rPr>
        <w:t>’</w:t>
      </w:r>
      <w:r w:rsidRPr="00DA78F9">
        <w:rPr>
          <w:iCs/>
          <w:sz w:val="24"/>
          <w:szCs w:val="24"/>
        </w:rPr>
        <w:t>s</w:t>
      </w:r>
      <w:r w:rsidRPr="00DA78F9">
        <w:rPr>
          <w:iCs/>
          <w:sz w:val="24"/>
          <w:szCs w:val="24"/>
          <w:lang w:val="el-GR"/>
        </w:rPr>
        <w:t xml:space="preserve"> </w:t>
      </w:r>
      <w:proofErr w:type="spellStart"/>
      <w:r w:rsidRPr="00DA78F9">
        <w:rPr>
          <w:iCs/>
          <w:sz w:val="24"/>
          <w:szCs w:val="24"/>
        </w:rPr>
        <w:t>rights</w:t>
      </w:r>
      <w:proofErr w:type="spellEnd"/>
      <w:r w:rsidRPr="00DA78F9">
        <w:rPr>
          <w:iCs/>
          <w:sz w:val="24"/>
          <w:szCs w:val="24"/>
          <w:lang w:val="el-GR"/>
        </w:rPr>
        <w:t xml:space="preserve"> </w:t>
      </w:r>
      <w:r w:rsidRPr="00DA78F9">
        <w:rPr>
          <w:iCs/>
          <w:sz w:val="24"/>
          <w:szCs w:val="24"/>
        </w:rPr>
        <w:t>in</w:t>
      </w:r>
      <w:r w:rsidRPr="00DA78F9">
        <w:rPr>
          <w:iCs/>
          <w:sz w:val="24"/>
          <w:szCs w:val="24"/>
          <w:lang w:val="el-GR"/>
        </w:rPr>
        <w:t xml:space="preserve"> </w:t>
      </w:r>
      <w:r w:rsidRPr="00DA78F9">
        <w:rPr>
          <w:iCs/>
          <w:sz w:val="24"/>
          <w:szCs w:val="24"/>
        </w:rPr>
        <w:t>impact</w:t>
      </w:r>
      <w:r w:rsidRPr="00DA78F9">
        <w:rPr>
          <w:iCs/>
          <w:sz w:val="24"/>
          <w:szCs w:val="24"/>
          <w:lang w:val="el-GR"/>
        </w:rPr>
        <w:t xml:space="preserve"> </w:t>
      </w:r>
      <w:proofErr w:type="spellStart"/>
      <w:r w:rsidRPr="00DA78F9">
        <w:rPr>
          <w:iCs/>
          <w:sz w:val="24"/>
          <w:szCs w:val="24"/>
        </w:rPr>
        <w:t>assessments</w:t>
      </w:r>
      <w:proofErr w:type="spellEnd"/>
      <w:r w:rsidRPr="00DA78F9">
        <w:rPr>
          <w:iCs/>
          <w:sz w:val="24"/>
          <w:szCs w:val="24"/>
          <w:lang w:val="el-GR"/>
        </w:rPr>
        <w:t xml:space="preserve"> - </w:t>
      </w:r>
      <w:r w:rsidRPr="00DA78F9">
        <w:rPr>
          <w:iCs/>
          <w:sz w:val="24"/>
          <w:szCs w:val="24"/>
        </w:rPr>
        <w:t>A</w:t>
      </w:r>
      <w:r w:rsidRPr="00DA78F9">
        <w:rPr>
          <w:iCs/>
          <w:sz w:val="24"/>
          <w:szCs w:val="24"/>
          <w:lang w:val="el-GR"/>
        </w:rPr>
        <w:t xml:space="preserve"> </w:t>
      </w:r>
      <w:r w:rsidRPr="00DA78F9">
        <w:rPr>
          <w:iCs/>
          <w:sz w:val="24"/>
          <w:szCs w:val="24"/>
        </w:rPr>
        <w:t>guide</w:t>
      </w:r>
      <w:r w:rsidRPr="00DA78F9">
        <w:rPr>
          <w:iCs/>
          <w:sz w:val="24"/>
          <w:szCs w:val="24"/>
          <w:lang w:val="el-GR"/>
        </w:rPr>
        <w:t xml:space="preserve"> </w:t>
      </w:r>
      <w:r w:rsidRPr="00DA78F9">
        <w:rPr>
          <w:iCs/>
          <w:sz w:val="24"/>
          <w:szCs w:val="24"/>
        </w:rPr>
        <w:t>for</w:t>
      </w:r>
      <w:r w:rsidRPr="00DA78F9">
        <w:rPr>
          <w:iCs/>
          <w:sz w:val="24"/>
          <w:szCs w:val="24"/>
          <w:lang w:val="el-GR"/>
        </w:rPr>
        <w:t xml:space="preserve"> </w:t>
      </w:r>
      <w:proofErr w:type="spellStart"/>
      <w:r w:rsidRPr="00DA78F9">
        <w:rPr>
          <w:iCs/>
          <w:sz w:val="24"/>
          <w:szCs w:val="24"/>
        </w:rPr>
        <w:t>integrating</w:t>
      </w:r>
      <w:proofErr w:type="spellEnd"/>
      <w:r w:rsidRPr="00DA78F9">
        <w:rPr>
          <w:iCs/>
          <w:sz w:val="24"/>
          <w:szCs w:val="24"/>
          <w:lang w:val="el-GR"/>
        </w:rPr>
        <w:t xml:space="preserve"> </w:t>
      </w:r>
      <w:proofErr w:type="spellStart"/>
      <w:r w:rsidRPr="00DA78F9">
        <w:rPr>
          <w:iCs/>
          <w:sz w:val="24"/>
          <w:szCs w:val="24"/>
        </w:rPr>
        <w:t>children</w:t>
      </w:r>
      <w:proofErr w:type="spellEnd"/>
      <w:r w:rsidRPr="00DA78F9">
        <w:rPr>
          <w:iCs/>
          <w:sz w:val="24"/>
          <w:szCs w:val="24"/>
          <w:lang w:val="el-GR"/>
        </w:rPr>
        <w:t>’</w:t>
      </w:r>
      <w:r w:rsidRPr="00DA78F9">
        <w:rPr>
          <w:iCs/>
          <w:sz w:val="24"/>
          <w:szCs w:val="24"/>
        </w:rPr>
        <w:t>s</w:t>
      </w:r>
      <w:r w:rsidRPr="00DA78F9">
        <w:rPr>
          <w:iCs/>
          <w:sz w:val="24"/>
          <w:szCs w:val="24"/>
          <w:lang w:val="el-GR"/>
        </w:rPr>
        <w:t xml:space="preserve"> </w:t>
      </w:r>
      <w:proofErr w:type="spellStart"/>
      <w:r w:rsidRPr="00DA78F9">
        <w:rPr>
          <w:iCs/>
          <w:sz w:val="24"/>
          <w:szCs w:val="24"/>
        </w:rPr>
        <w:t>rights</w:t>
      </w:r>
      <w:proofErr w:type="spellEnd"/>
      <w:r w:rsidRPr="00DA78F9">
        <w:rPr>
          <w:iCs/>
          <w:sz w:val="24"/>
          <w:szCs w:val="24"/>
          <w:lang w:val="el-GR"/>
        </w:rPr>
        <w:t xml:space="preserve"> </w:t>
      </w:r>
      <w:proofErr w:type="spellStart"/>
      <w:r w:rsidRPr="00DA78F9">
        <w:rPr>
          <w:iCs/>
          <w:sz w:val="24"/>
          <w:szCs w:val="24"/>
        </w:rPr>
        <w:t>into</w:t>
      </w:r>
      <w:proofErr w:type="spellEnd"/>
      <w:r w:rsidRPr="00DA78F9">
        <w:rPr>
          <w:iCs/>
          <w:sz w:val="24"/>
          <w:szCs w:val="24"/>
          <w:lang w:val="el-GR"/>
        </w:rPr>
        <w:t xml:space="preserve"> </w:t>
      </w:r>
      <w:r w:rsidRPr="00DA78F9">
        <w:rPr>
          <w:iCs/>
          <w:sz w:val="24"/>
          <w:szCs w:val="24"/>
        </w:rPr>
        <w:t>impact</w:t>
      </w:r>
      <w:r w:rsidRPr="00DA78F9">
        <w:rPr>
          <w:iCs/>
          <w:sz w:val="24"/>
          <w:szCs w:val="24"/>
          <w:lang w:val="el-GR"/>
        </w:rPr>
        <w:t xml:space="preserve"> </w:t>
      </w:r>
      <w:proofErr w:type="spellStart"/>
      <w:r w:rsidRPr="00DA78F9">
        <w:rPr>
          <w:iCs/>
          <w:sz w:val="24"/>
          <w:szCs w:val="24"/>
        </w:rPr>
        <w:t>assessments</w:t>
      </w:r>
      <w:proofErr w:type="spellEnd"/>
      <w:r w:rsidRPr="00DA78F9">
        <w:rPr>
          <w:iCs/>
          <w:sz w:val="24"/>
          <w:szCs w:val="24"/>
          <w:lang w:val="el-GR"/>
        </w:rPr>
        <w:t xml:space="preserve"> </w:t>
      </w:r>
      <w:r w:rsidRPr="00DA78F9">
        <w:rPr>
          <w:iCs/>
          <w:sz w:val="24"/>
          <w:szCs w:val="24"/>
        </w:rPr>
        <w:t>and</w:t>
      </w:r>
      <w:r w:rsidRPr="00DA78F9">
        <w:rPr>
          <w:iCs/>
          <w:sz w:val="24"/>
          <w:szCs w:val="24"/>
          <w:lang w:val="el-GR"/>
        </w:rPr>
        <w:t xml:space="preserve"> </w:t>
      </w:r>
      <w:proofErr w:type="spellStart"/>
      <w:r w:rsidRPr="00DA78F9">
        <w:rPr>
          <w:iCs/>
          <w:sz w:val="24"/>
          <w:szCs w:val="24"/>
        </w:rPr>
        <w:t>taking</w:t>
      </w:r>
      <w:proofErr w:type="spellEnd"/>
      <w:r w:rsidRPr="00DA78F9">
        <w:rPr>
          <w:iCs/>
          <w:sz w:val="24"/>
          <w:szCs w:val="24"/>
          <w:lang w:val="el-GR"/>
        </w:rPr>
        <w:t xml:space="preserve"> </w:t>
      </w:r>
      <w:r w:rsidRPr="00DA78F9">
        <w:rPr>
          <w:iCs/>
          <w:sz w:val="24"/>
          <w:szCs w:val="24"/>
        </w:rPr>
        <w:t>action</w:t>
      </w:r>
      <w:r w:rsidRPr="00DA78F9">
        <w:rPr>
          <w:iCs/>
          <w:sz w:val="24"/>
          <w:szCs w:val="24"/>
          <w:lang w:val="el-GR"/>
        </w:rPr>
        <w:t xml:space="preserve"> </w:t>
      </w:r>
      <w:r w:rsidRPr="00DA78F9">
        <w:rPr>
          <w:iCs/>
          <w:sz w:val="24"/>
          <w:szCs w:val="24"/>
        </w:rPr>
        <w:t>for</w:t>
      </w:r>
      <w:r w:rsidRPr="00DA78F9">
        <w:rPr>
          <w:iCs/>
          <w:sz w:val="24"/>
          <w:szCs w:val="24"/>
          <w:lang w:val="el-GR"/>
        </w:rPr>
        <w:t xml:space="preserve"> </w:t>
      </w:r>
      <w:proofErr w:type="spellStart"/>
      <w:r w:rsidRPr="00DA78F9">
        <w:rPr>
          <w:iCs/>
          <w:sz w:val="24"/>
          <w:szCs w:val="24"/>
        </w:rPr>
        <w:t>children</w:t>
      </w:r>
      <w:proofErr w:type="spellEnd"/>
      <w:r w:rsidRPr="00DA78F9">
        <w:rPr>
          <w:sz w:val="24"/>
          <w:szCs w:val="24"/>
          <w:lang w:val="el-GR"/>
        </w:rPr>
        <w:t xml:space="preserve">» (Τα δικαιώματα των παιδιών στις εκτιμήσεις επιπτώσεων - </w:t>
      </w:r>
      <w:r w:rsidR="00AA49D9" w:rsidRPr="00DA78F9">
        <w:rPr>
          <w:sz w:val="24"/>
          <w:szCs w:val="24"/>
          <w:lang w:val="el-GR"/>
        </w:rPr>
        <w:t xml:space="preserve">Οδηγός </w:t>
      </w:r>
      <w:r w:rsidRPr="00DA78F9">
        <w:rPr>
          <w:sz w:val="24"/>
          <w:szCs w:val="24"/>
          <w:lang w:val="el-GR"/>
        </w:rPr>
        <w:t xml:space="preserve">για την ενσωμάτωση των δικαιωμάτων των παιδιών στις εκτιμήσεις επιπτώσεων και την ανάληψη δράσης για τα παιδιά), </w:t>
      </w:r>
      <w:r w:rsidRPr="00DA78F9">
        <w:rPr>
          <w:sz w:val="24"/>
          <w:szCs w:val="24"/>
        </w:rPr>
        <w:t>UNICEF</w:t>
      </w:r>
      <w:r w:rsidRPr="00DA78F9">
        <w:rPr>
          <w:sz w:val="24"/>
          <w:szCs w:val="24"/>
          <w:lang w:val="el-GR"/>
        </w:rPr>
        <w:t>, Γενεύη, Δεκέμβριος</w:t>
      </w:r>
      <w:r w:rsidRPr="00DA78F9">
        <w:rPr>
          <w:sz w:val="24"/>
          <w:szCs w:val="24"/>
        </w:rPr>
        <w:t> </w:t>
      </w:r>
      <w:r w:rsidRPr="00DA78F9">
        <w:rPr>
          <w:sz w:val="24"/>
          <w:szCs w:val="24"/>
          <w:lang w:val="el-GR"/>
        </w:rPr>
        <w:t>2013.</w:t>
      </w:r>
    </w:p>
  </w:footnote>
  <w:footnote w:id="14">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 xml:space="preserve">Απόφαση του Δικαστηρίου, της 14ης Ιουλίου 2016, στην υπόθεση </w:t>
      </w:r>
      <w:proofErr w:type="spellStart"/>
      <w:r w:rsidRPr="00DA78F9">
        <w:rPr>
          <w:iCs/>
          <w:sz w:val="24"/>
          <w:szCs w:val="24"/>
          <w:lang w:val="el-GR"/>
        </w:rPr>
        <w:t>Verband</w:t>
      </w:r>
      <w:proofErr w:type="spellEnd"/>
      <w:r w:rsidRPr="00DA78F9">
        <w:rPr>
          <w:iCs/>
          <w:sz w:val="24"/>
          <w:szCs w:val="24"/>
          <w:lang w:val="el-GR"/>
        </w:rPr>
        <w:t xml:space="preserve"> </w:t>
      </w:r>
      <w:proofErr w:type="spellStart"/>
      <w:r w:rsidRPr="00DA78F9">
        <w:rPr>
          <w:iCs/>
          <w:sz w:val="24"/>
          <w:szCs w:val="24"/>
          <w:lang w:val="el-GR"/>
        </w:rPr>
        <w:t>Sozialer</w:t>
      </w:r>
      <w:proofErr w:type="spellEnd"/>
      <w:r w:rsidRPr="00DA78F9">
        <w:rPr>
          <w:iCs/>
          <w:sz w:val="24"/>
          <w:szCs w:val="24"/>
          <w:lang w:val="el-GR"/>
        </w:rPr>
        <w:t xml:space="preserve"> </w:t>
      </w:r>
      <w:proofErr w:type="spellStart"/>
      <w:r w:rsidRPr="00DA78F9">
        <w:rPr>
          <w:iCs/>
          <w:sz w:val="24"/>
          <w:szCs w:val="24"/>
          <w:lang w:val="el-GR"/>
        </w:rPr>
        <w:t>Wettbewerb</w:t>
      </w:r>
      <w:proofErr w:type="spellEnd"/>
      <w:r w:rsidRPr="00DA78F9">
        <w:rPr>
          <w:iCs/>
          <w:sz w:val="24"/>
          <w:szCs w:val="24"/>
          <w:lang w:val="el-GR"/>
        </w:rPr>
        <w:t xml:space="preserve"> </w:t>
      </w:r>
      <w:proofErr w:type="spellStart"/>
      <w:r w:rsidRPr="00DA78F9">
        <w:rPr>
          <w:iCs/>
          <w:sz w:val="24"/>
          <w:szCs w:val="24"/>
          <w:lang w:val="el-GR"/>
        </w:rPr>
        <w:t>eV</w:t>
      </w:r>
      <w:proofErr w:type="spellEnd"/>
      <w:r w:rsidRPr="00DA78F9">
        <w:rPr>
          <w:iCs/>
          <w:sz w:val="24"/>
          <w:szCs w:val="24"/>
          <w:lang w:val="el-GR"/>
        </w:rPr>
        <w:t xml:space="preserve"> </w:t>
      </w:r>
      <w:r w:rsidRPr="00DA78F9">
        <w:rPr>
          <w:sz w:val="24"/>
          <w:szCs w:val="24"/>
          <w:lang w:val="el-GR"/>
        </w:rPr>
        <w:t xml:space="preserve">κατά </w:t>
      </w:r>
      <w:proofErr w:type="spellStart"/>
      <w:r w:rsidRPr="00DA78F9">
        <w:rPr>
          <w:iCs/>
          <w:sz w:val="24"/>
          <w:szCs w:val="24"/>
          <w:lang w:val="el-GR"/>
        </w:rPr>
        <w:t>Innova</w:t>
      </w:r>
      <w:proofErr w:type="spellEnd"/>
      <w:r w:rsidRPr="00DA78F9">
        <w:rPr>
          <w:iCs/>
          <w:sz w:val="24"/>
          <w:szCs w:val="24"/>
          <w:lang w:val="el-GR"/>
        </w:rPr>
        <w:t xml:space="preserve"> </w:t>
      </w:r>
      <w:proofErr w:type="spellStart"/>
      <w:r w:rsidRPr="00DA78F9">
        <w:rPr>
          <w:iCs/>
          <w:sz w:val="24"/>
          <w:szCs w:val="24"/>
          <w:lang w:val="el-GR"/>
        </w:rPr>
        <w:t>Vital</w:t>
      </w:r>
      <w:proofErr w:type="spellEnd"/>
      <w:r w:rsidRPr="00DA78F9">
        <w:rPr>
          <w:iCs/>
          <w:sz w:val="24"/>
          <w:szCs w:val="24"/>
          <w:lang w:val="el-GR"/>
        </w:rPr>
        <w:t xml:space="preserve"> </w:t>
      </w:r>
      <w:proofErr w:type="spellStart"/>
      <w:r w:rsidRPr="00DA78F9">
        <w:rPr>
          <w:iCs/>
          <w:sz w:val="24"/>
          <w:szCs w:val="24"/>
          <w:lang w:val="el-GR"/>
        </w:rPr>
        <w:t>GmbH</w:t>
      </w:r>
      <w:proofErr w:type="spellEnd"/>
      <w:r w:rsidRPr="00DA78F9">
        <w:rPr>
          <w:sz w:val="24"/>
          <w:szCs w:val="24"/>
          <w:lang w:val="el-GR"/>
        </w:rPr>
        <w:t>, C-19/15, ECLI:EU:C:2016:563.</w:t>
      </w:r>
    </w:p>
  </w:footnote>
  <w:footnote w:id="15">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 xml:space="preserve">Ευρωπαϊκή Επιτροπή, Τελική συνοπτική έκθεση - </w:t>
      </w:r>
      <w:r w:rsidRPr="00DA78F9">
        <w:rPr>
          <w:iCs/>
          <w:sz w:val="24"/>
          <w:szCs w:val="24"/>
          <w:lang w:val="el-GR"/>
        </w:rPr>
        <w:t>CLYMBOL</w:t>
      </w:r>
      <w:r w:rsidRPr="00DA78F9">
        <w:rPr>
          <w:sz w:val="24"/>
          <w:szCs w:val="24"/>
          <w:lang w:val="el-GR"/>
        </w:rPr>
        <w:t xml:space="preserve"> </w:t>
      </w:r>
      <w:r w:rsidRPr="00DA78F9">
        <w:rPr>
          <w:iCs/>
          <w:sz w:val="24"/>
          <w:szCs w:val="24"/>
          <w:lang w:val="el-GR"/>
        </w:rPr>
        <w:t>(«</w:t>
      </w:r>
      <w:proofErr w:type="spellStart"/>
      <w:r w:rsidRPr="00DA78F9">
        <w:rPr>
          <w:iCs/>
          <w:sz w:val="24"/>
          <w:szCs w:val="24"/>
          <w:lang w:val="el-GR"/>
        </w:rPr>
        <w:t>Role</w:t>
      </w:r>
      <w:proofErr w:type="spellEnd"/>
      <w:r w:rsidRPr="00DA78F9">
        <w:rPr>
          <w:iCs/>
          <w:sz w:val="24"/>
          <w:szCs w:val="24"/>
          <w:lang w:val="el-GR"/>
        </w:rPr>
        <w:t xml:space="preserve"> of </w:t>
      </w:r>
      <w:proofErr w:type="spellStart"/>
      <w:r w:rsidRPr="00DA78F9">
        <w:rPr>
          <w:iCs/>
          <w:sz w:val="24"/>
          <w:szCs w:val="24"/>
          <w:lang w:val="el-GR"/>
        </w:rPr>
        <w:t>health-related</w:t>
      </w:r>
      <w:proofErr w:type="spellEnd"/>
      <w:r w:rsidRPr="00DA78F9">
        <w:rPr>
          <w:iCs/>
          <w:sz w:val="24"/>
          <w:szCs w:val="24"/>
          <w:lang w:val="el-GR"/>
        </w:rPr>
        <w:t xml:space="preserve"> </w:t>
      </w:r>
      <w:proofErr w:type="spellStart"/>
      <w:r w:rsidRPr="00DA78F9">
        <w:rPr>
          <w:iCs/>
          <w:sz w:val="24"/>
          <w:szCs w:val="24"/>
          <w:lang w:val="el-GR"/>
        </w:rPr>
        <w:t>claims</w:t>
      </w:r>
      <w:proofErr w:type="spellEnd"/>
      <w:r w:rsidRPr="00DA78F9">
        <w:rPr>
          <w:iCs/>
          <w:sz w:val="24"/>
          <w:szCs w:val="24"/>
          <w:lang w:val="el-GR"/>
        </w:rPr>
        <w:t xml:space="preserve"> and </w:t>
      </w:r>
      <w:proofErr w:type="spellStart"/>
      <w:r w:rsidRPr="00DA78F9">
        <w:rPr>
          <w:iCs/>
          <w:sz w:val="24"/>
          <w:szCs w:val="24"/>
          <w:lang w:val="el-GR"/>
        </w:rPr>
        <w:t>symbols</w:t>
      </w:r>
      <w:proofErr w:type="spellEnd"/>
      <w:r w:rsidRPr="00DA78F9">
        <w:rPr>
          <w:iCs/>
          <w:sz w:val="24"/>
          <w:szCs w:val="24"/>
          <w:lang w:val="el-GR"/>
        </w:rPr>
        <w:t xml:space="preserve"> in </w:t>
      </w:r>
      <w:proofErr w:type="spellStart"/>
      <w:r w:rsidRPr="00DA78F9">
        <w:rPr>
          <w:iCs/>
          <w:sz w:val="24"/>
          <w:szCs w:val="24"/>
          <w:lang w:val="el-GR"/>
        </w:rPr>
        <w:t>consumer</w:t>
      </w:r>
      <w:proofErr w:type="spellEnd"/>
      <w:r w:rsidRPr="00DA78F9">
        <w:rPr>
          <w:iCs/>
          <w:sz w:val="24"/>
          <w:szCs w:val="24"/>
          <w:lang w:val="el-GR"/>
        </w:rPr>
        <w:t xml:space="preserve"> </w:t>
      </w:r>
      <w:proofErr w:type="spellStart"/>
      <w:r w:rsidRPr="00DA78F9">
        <w:rPr>
          <w:iCs/>
          <w:sz w:val="24"/>
          <w:szCs w:val="24"/>
          <w:lang w:val="el-GR"/>
        </w:rPr>
        <w:t>behaviour</w:t>
      </w:r>
      <w:proofErr w:type="spellEnd"/>
      <w:r w:rsidRPr="00DA78F9">
        <w:rPr>
          <w:iCs/>
          <w:sz w:val="24"/>
          <w:szCs w:val="24"/>
          <w:lang w:val="el-GR"/>
        </w:rPr>
        <w:t>»)</w:t>
      </w:r>
      <w:r w:rsidRPr="00DA78F9">
        <w:rPr>
          <w:sz w:val="24"/>
          <w:szCs w:val="24"/>
          <w:lang w:val="el-GR"/>
        </w:rPr>
        <w:t xml:space="preserve"> (Ο ρόλος των ισχυρισμών και των συμβόλων που σχετίζονται με την υγεία στη συμπεριφορά των καταναλωτών), 8</w:t>
      </w:r>
      <w:r w:rsidR="00252BDC" w:rsidRPr="00DA78F9">
        <w:rPr>
          <w:sz w:val="24"/>
          <w:szCs w:val="24"/>
          <w:lang w:val="el-GR"/>
        </w:rPr>
        <w:t> </w:t>
      </w:r>
      <w:r w:rsidRPr="00DA78F9">
        <w:rPr>
          <w:sz w:val="24"/>
          <w:szCs w:val="24"/>
          <w:lang w:val="el-GR"/>
        </w:rPr>
        <w:t>Μαρτίου 2017.</w:t>
      </w:r>
    </w:p>
  </w:footnote>
  <w:footnote w:id="16">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proofErr w:type="spellStart"/>
      <w:r w:rsidRPr="00DA78F9">
        <w:rPr>
          <w:sz w:val="24"/>
          <w:szCs w:val="24"/>
          <w:lang w:val="el-GR"/>
        </w:rPr>
        <w:t>Pichierri</w:t>
      </w:r>
      <w:proofErr w:type="spellEnd"/>
      <w:r w:rsidRPr="00DA78F9">
        <w:rPr>
          <w:sz w:val="24"/>
          <w:szCs w:val="24"/>
          <w:lang w:val="el-GR"/>
        </w:rPr>
        <w:t xml:space="preserve">, M. </w:t>
      </w:r>
      <w:proofErr w:type="spellStart"/>
      <w:r w:rsidRPr="00DA78F9">
        <w:rPr>
          <w:sz w:val="24"/>
          <w:szCs w:val="24"/>
          <w:lang w:val="el-GR"/>
        </w:rPr>
        <w:t>et</w:t>
      </w:r>
      <w:proofErr w:type="spellEnd"/>
      <w:r w:rsidRPr="00DA78F9">
        <w:rPr>
          <w:sz w:val="24"/>
          <w:szCs w:val="24"/>
          <w:lang w:val="el-GR"/>
        </w:rPr>
        <w:t xml:space="preserve"> </w:t>
      </w:r>
      <w:proofErr w:type="spellStart"/>
      <w:r w:rsidRPr="00DA78F9">
        <w:rPr>
          <w:sz w:val="24"/>
          <w:szCs w:val="24"/>
          <w:lang w:val="el-GR"/>
        </w:rPr>
        <w:t>al</w:t>
      </w:r>
      <w:proofErr w:type="spellEnd"/>
      <w:r w:rsidRPr="00DA78F9">
        <w:rPr>
          <w:sz w:val="24"/>
          <w:szCs w:val="24"/>
          <w:lang w:val="el-GR"/>
        </w:rPr>
        <w:t xml:space="preserve">., «The </w:t>
      </w:r>
      <w:proofErr w:type="spellStart"/>
      <w:r w:rsidRPr="00DA78F9">
        <w:rPr>
          <w:sz w:val="24"/>
          <w:szCs w:val="24"/>
          <w:lang w:val="el-GR"/>
        </w:rPr>
        <w:t>interplay</w:t>
      </w:r>
      <w:proofErr w:type="spellEnd"/>
      <w:r w:rsidRPr="00DA78F9">
        <w:rPr>
          <w:sz w:val="24"/>
          <w:szCs w:val="24"/>
          <w:lang w:val="el-GR"/>
        </w:rPr>
        <w:t xml:space="preserve"> </w:t>
      </w:r>
      <w:proofErr w:type="spellStart"/>
      <w:r w:rsidRPr="00DA78F9">
        <w:rPr>
          <w:sz w:val="24"/>
          <w:szCs w:val="24"/>
          <w:lang w:val="el-GR"/>
        </w:rPr>
        <w:t>between</w:t>
      </w:r>
      <w:proofErr w:type="spellEnd"/>
      <w:r w:rsidRPr="00DA78F9">
        <w:rPr>
          <w:sz w:val="24"/>
          <w:szCs w:val="24"/>
          <w:lang w:val="el-GR"/>
        </w:rPr>
        <w:t xml:space="preserve"> </w:t>
      </w:r>
      <w:proofErr w:type="spellStart"/>
      <w:r w:rsidRPr="00DA78F9">
        <w:rPr>
          <w:sz w:val="24"/>
          <w:szCs w:val="24"/>
          <w:lang w:val="el-GR"/>
        </w:rPr>
        <w:t>health</w:t>
      </w:r>
      <w:proofErr w:type="spellEnd"/>
      <w:r w:rsidRPr="00DA78F9">
        <w:rPr>
          <w:sz w:val="24"/>
          <w:szCs w:val="24"/>
          <w:lang w:val="el-GR"/>
        </w:rPr>
        <w:t xml:space="preserve"> </w:t>
      </w:r>
      <w:proofErr w:type="spellStart"/>
      <w:r w:rsidRPr="00DA78F9">
        <w:rPr>
          <w:sz w:val="24"/>
          <w:szCs w:val="24"/>
          <w:lang w:val="el-GR"/>
        </w:rPr>
        <w:t>claim</w:t>
      </w:r>
      <w:proofErr w:type="spellEnd"/>
      <w:r w:rsidRPr="00DA78F9">
        <w:rPr>
          <w:sz w:val="24"/>
          <w:szCs w:val="24"/>
          <w:lang w:val="el-GR"/>
        </w:rPr>
        <w:t xml:space="preserve"> </w:t>
      </w:r>
      <w:proofErr w:type="spellStart"/>
      <w:r w:rsidRPr="00DA78F9">
        <w:rPr>
          <w:sz w:val="24"/>
          <w:szCs w:val="24"/>
          <w:lang w:val="el-GR"/>
        </w:rPr>
        <w:t>type</w:t>
      </w:r>
      <w:proofErr w:type="spellEnd"/>
      <w:r w:rsidRPr="00DA78F9">
        <w:rPr>
          <w:sz w:val="24"/>
          <w:szCs w:val="24"/>
          <w:lang w:val="el-GR"/>
        </w:rPr>
        <w:t xml:space="preserve"> and </w:t>
      </w:r>
      <w:proofErr w:type="spellStart"/>
      <w:r w:rsidRPr="00DA78F9">
        <w:rPr>
          <w:sz w:val="24"/>
          <w:szCs w:val="24"/>
          <w:lang w:val="el-GR"/>
        </w:rPr>
        <w:t>individual</w:t>
      </w:r>
      <w:proofErr w:type="spellEnd"/>
      <w:r w:rsidRPr="00DA78F9">
        <w:rPr>
          <w:sz w:val="24"/>
          <w:szCs w:val="24"/>
          <w:lang w:val="el-GR"/>
        </w:rPr>
        <w:t xml:space="preserve"> </w:t>
      </w:r>
      <w:proofErr w:type="spellStart"/>
      <w:r w:rsidRPr="00DA78F9">
        <w:rPr>
          <w:sz w:val="24"/>
          <w:szCs w:val="24"/>
          <w:lang w:val="el-GR"/>
        </w:rPr>
        <w:t>regulatory</w:t>
      </w:r>
      <w:proofErr w:type="spellEnd"/>
      <w:r w:rsidRPr="00DA78F9">
        <w:rPr>
          <w:sz w:val="24"/>
          <w:szCs w:val="24"/>
          <w:lang w:val="el-GR"/>
        </w:rPr>
        <w:t xml:space="preserve"> </w:t>
      </w:r>
      <w:proofErr w:type="spellStart"/>
      <w:r w:rsidRPr="00DA78F9">
        <w:rPr>
          <w:sz w:val="24"/>
          <w:szCs w:val="24"/>
          <w:lang w:val="el-GR"/>
        </w:rPr>
        <w:t>focus</w:t>
      </w:r>
      <w:proofErr w:type="spellEnd"/>
      <w:r w:rsidRPr="00DA78F9">
        <w:rPr>
          <w:sz w:val="24"/>
          <w:szCs w:val="24"/>
          <w:lang w:val="el-GR"/>
        </w:rPr>
        <w:t xml:space="preserve"> in </w:t>
      </w:r>
      <w:proofErr w:type="spellStart"/>
      <w:r w:rsidRPr="00DA78F9">
        <w:rPr>
          <w:sz w:val="24"/>
          <w:szCs w:val="24"/>
          <w:lang w:val="el-GR"/>
        </w:rPr>
        <w:t>determining</w:t>
      </w:r>
      <w:proofErr w:type="spellEnd"/>
      <w:r w:rsidRPr="00DA78F9">
        <w:rPr>
          <w:sz w:val="24"/>
          <w:szCs w:val="24"/>
          <w:lang w:val="el-GR"/>
        </w:rPr>
        <w:t xml:space="preserve"> </w:t>
      </w:r>
      <w:proofErr w:type="spellStart"/>
      <w:r w:rsidRPr="00DA78F9">
        <w:rPr>
          <w:sz w:val="24"/>
          <w:szCs w:val="24"/>
          <w:lang w:val="el-GR"/>
        </w:rPr>
        <w:t>consumers</w:t>
      </w:r>
      <w:proofErr w:type="spellEnd"/>
      <w:r w:rsidRPr="00DA78F9">
        <w:rPr>
          <w:sz w:val="24"/>
          <w:szCs w:val="24"/>
          <w:lang w:val="el-GR"/>
        </w:rPr>
        <w:t xml:space="preserve">’ </w:t>
      </w:r>
      <w:proofErr w:type="spellStart"/>
      <w:r w:rsidRPr="00DA78F9">
        <w:rPr>
          <w:sz w:val="24"/>
          <w:szCs w:val="24"/>
          <w:lang w:val="el-GR"/>
        </w:rPr>
        <w:t>intentions</w:t>
      </w:r>
      <w:proofErr w:type="spellEnd"/>
      <w:r w:rsidRPr="00DA78F9">
        <w:rPr>
          <w:sz w:val="24"/>
          <w:szCs w:val="24"/>
          <w:lang w:val="el-GR"/>
        </w:rPr>
        <w:t xml:space="preserve"> </w:t>
      </w:r>
      <w:proofErr w:type="spellStart"/>
      <w:r w:rsidRPr="00DA78F9">
        <w:rPr>
          <w:sz w:val="24"/>
          <w:szCs w:val="24"/>
          <w:lang w:val="el-GR"/>
        </w:rPr>
        <w:t>toward</w:t>
      </w:r>
      <w:proofErr w:type="spellEnd"/>
      <w:r w:rsidRPr="00DA78F9">
        <w:rPr>
          <w:sz w:val="24"/>
          <w:szCs w:val="24"/>
          <w:lang w:val="el-GR"/>
        </w:rPr>
        <w:t xml:space="preserve"> </w:t>
      </w:r>
      <w:proofErr w:type="spellStart"/>
      <w:r w:rsidRPr="00DA78F9">
        <w:rPr>
          <w:sz w:val="24"/>
          <w:szCs w:val="24"/>
          <w:lang w:val="el-GR"/>
        </w:rPr>
        <w:t>extra-virgin</w:t>
      </w:r>
      <w:proofErr w:type="spellEnd"/>
      <w:r w:rsidRPr="00DA78F9">
        <w:rPr>
          <w:sz w:val="24"/>
          <w:szCs w:val="24"/>
          <w:lang w:val="el-GR"/>
        </w:rPr>
        <w:t xml:space="preserve"> </w:t>
      </w:r>
      <w:proofErr w:type="spellStart"/>
      <w:r w:rsidRPr="00DA78F9">
        <w:rPr>
          <w:sz w:val="24"/>
          <w:szCs w:val="24"/>
          <w:lang w:val="el-GR"/>
        </w:rPr>
        <w:t>olive</w:t>
      </w:r>
      <w:proofErr w:type="spellEnd"/>
      <w:r w:rsidRPr="00DA78F9">
        <w:rPr>
          <w:sz w:val="24"/>
          <w:szCs w:val="24"/>
          <w:lang w:val="el-GR"/>
        </w:rPr>
        <w:t xml:space="preserve"> </w:t>
      </w:r>
      <w:proofErr w:type="spellStart"/>
      <w:r w:rsidRPr="00DA78F9">
        <w:rPr>
          <w:sz w:val="24"/>
          <w:szCs w:val="24"/>
          <w:lang w:val="el-GR"/>
        </w:rPr>
        <w:t>oil</w:t>
      </w:r>
      <w:proofErr w:type="spellEnd"/>
      <w:r w:rsidRPr="00DA78F9">
        <w:rPr>
          <w:sz w:val="24"/>
          <w:szCs w:val="24"/>
          <w:lang w:val="el-GR"/>
        </w:rPr>
        <w:t xml:space="preserve">», </w:t>
      </w:r>
      <w:proofErr w:type="spellStart"/>
      <w:r w:rsidRPr="00DA78F9">
        <w:rPr>
          <w:sz w:val="24"/>
          <w:szCs w:val="24"/>
          <w:lang w:val="el-GR"/>
        </w:rPr>
        <w:t>Food</w:t>
      </w:r>
      <w:proofErr w:type="spellEnd"/>
      <w:r w:rsidRPr="00DA78F9">
        <w:rPr>
          <w:sz w:val="24"/>
          <w:szCs w:val="24"/>
          <w:lang w:val="el-GR"/>
        </w:rPr>
        <w:t xml:space="preserve"> Research International, τόμος 136, άρθρο 109467, </w:t>
      </w:r>
      <w:proofErr w:type="spellStart"/>
      <w:r w:rsidRPr="00DA78F9">
        <w:rPr>
          <w:sz w:val="24"/>
          <w:szCs w:val="24"/>
          <w:lang w:val="el-GR"/>
        </w:rPr>
        <w:t>Elsevier</w:t>
      </w:r>
      <w:proofErr w:type="spellEnd"/>
      <w:r w:rsidRPr="00DA78F9">
        <w:rPr>
          <w:sz w:val="24"/>
          <w:szCs w:val="24"/>
          <w:lang w:val="el-GR"/>
        </w:rPr>
        <w:t>, Οκτώβριος 2020.</w:t>
      </w:r>
    </w:p>
  </w:footnote>
  <w:footnote w:id="17">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 xml:space="preserve">Παγκόσμιος Οργανισμός Υγείας, </w:t>
      </w:r>
      <w:hyperlink r:id="rId1" w:history="1">
        <w:r w:rsidRPr="00DA78F9">
          <w:rPr>
            <w:rStyle w:val="Hyperlink"/>
            <w:sz w:val="24"/>
            <w:szCs w:val="24"/>
          </w:rPr>
          <w:t xml:space="preserve">«WHO European </w:t>
        </w:r>
        <w:proofErr w:type="spellStart"/>
        <w:r w:rsidRPr="00DA78F9">
          <w:rPr>
            <w:rStyle w:val="Hyperlink"/>
            <w:sz w:val="24"/>
            <w:szCs w:val="24"/>
          </w:rPr>
          <w:t>Regional</w:t>
        </w:r>
        <w:proofErr w:type="spellEnd"/>
        <w:r w:rsidRPr="00DA78F9">
          <w:rPr>
            <w:rStyle w:val="Hyperlink"/>
            <w:sz w:val="24"/>
            <w:szCs w:val="24"/>
          </w:rPr>
          <w:t xml:space="preserve"> </w:t>
        </w:r>
        <w:proofErr w:type="spellStart"/>
        <w:r w:rsidRPr="00DA78F9">
          <w:rPr>
            <w:rStyle w:val="Hyperlink"/>
            <w:sz w:val="24"/>
            <w:szCs w:val="24"/>
          </w:rPr>
          <w:t>Obesity</w:t>
        </w:r>
        <w:proofErr w:type="spellEnd"/>
        <w:r w:rsidRPr="00DA78F9">
          <w:rPr>
            <w:rStyle w:val="Hyperlink"/>
            <w:sz w:val="24"/>
            <w:szCs w:val="24"/>
          </w:rPr>
          <w:t xml:space="preserve"> Report 2022» (</w:t>
        </w:r>
        <w:proofErr w:type="spellStart"/>
        <w:r w:rsidRPr="00DA78F9">
          <w:rPr>
            <w:rStyle w:val="Hyperlink"/>
            <w:sz w:val="24"/>
            <w:szCs w:val="24"/>
          </w:rPr>
          <w:t>Περιφερει</w:t>
        </w:r>
        <w:proofErr w:type="spellEnd"/>
        <w:r w:rsidRPr="00DA78F9">
          <w:rPr>
            <w:rStyle w:val="Hyperlink"/>
            <w:sz w:val="24"/>
            <w:szCs w:val="24"/>
          </w:rPr>
          <w:t xml:space="preserve">ακή </w:t>
        </w:r>
        <w:proofErr w:type="spellStart"/>
        <w:r w:rsidRPr="00DA78F9">
          <w:rPr>
            <w:rStyle w:val="Hyperlink"/>
            <w:sz w:val="24"/>
            <w:szCs w:val="24"/>
          </w:rPr>
          <w:t>έκθεση</w:t>
        </w:r>
        <w:proofErr w:type="spellEnd"/>
        <w:r w:rsidRPr="00DA78F9">
          <w:rPr>
            <w:rStyle w:val="Hyperlink"/>
            <w:sz w:val="24"/>
            <w:szCs w:val="24"/>
          </w:rPr>
          <w:t xml:space="preserve"> </w:t>
        </w:r>
        <w:proofErr w:type="spellStart"/>
        <w:r w:rsidRPr="00DA78F9">
          <w:rPr>
            <w:rStyle w:val="Hyperlink"/>
            <w:sz w:val="24"/>
            <w:szCs w:val="24"/>
          </w:rPr>
          <w:t>του</w:t>
        </w:r>
        <w:proofErr w:type="spellEnd"/>
        <w:r w:rsidRPr="00DA78F9">
          <w:rPr>
            <w:rStyle w:val="Hyperlink"/>
            <w:sz w:val="24"/>
            <w:szCs w:val="24"/>
          </w:rPr>
          <w:t xml:space="preserve"> ΠΟΥ, </w:t>
        </w:r>
        <w:proofErr w:type="spellStart"/>
        <w:r w:rsidRPr="00DA78F9">
          <w:rPr>
            <w:rStyle w:val="Hyperlink"/>
            <w:sz w:val="24"/>
            <w:szCs w:val="24"/>
          </w:rPr>
          <w:t>του</w:t>
        </w:r>
        <w:proofErr w:type="spellEnd"/>
        <w:r w:rsidRPr="00DA78F9">
          <w:rPr>
            <w:rStyle w:val="Hyperlink"/>
            <w:sz w:val="24"/>
            <w:szCs w:val="24"/>
          </w:rPr>
          <w:t xml:space="preserve"> 2022, </w:t>
        </w:r>
        <w:proofErr w:type="spellStart"/>
        <w:r w:rsidRPr="00DA78F9">
          <w:rPr>
            <w:rStyle w:val="Hyperlink"/>
            <w:sz w:val="24"/>
            <w:szCs w:val="24"/>
          </w:rPr>
          <w:t>σχετικά</w:t>
        </w:r>
        <w:proofErr w:type="spellEnd"/>
        <w:r w:rsidRPr="00DA78F9">
          <w:rPr>
            <w:rStyle w:val="Hyperlink"/>
            <w:sz w:val="24"/>
            <w:szCs w:val="24"/>
          </w:rPr>
          <w:t xml:space="preserve"> </w:t>
        </w:r>
        <w:proofErr w:type="spellStart"/>
        <w:r w:rsidRPr="00DA78F9">
          <w:rPr>
            <w:rStyle w:val="Hyperlink"/>
            <w:sz w:val="24"/>
            <w:szCs w:val="24"/>
          </w:rPr>
          <w:t>με</w:t>
        </w:r>
        <w:proofErr w:type="spellEnd"/>
        <w:r w:rsidRPr="00DA78F9">
          <w:rPr>
            <w:rStyle w:val="Hyperlink"/>
            <w:sz w:val="24"/>
            <w:szCs w:val="24"/>
          </w:rPr>
          <w:t xml:space="preserve"> </w:t>
        </w:r>
        <w:proofErr w:type="spellStart"/>
        <w:r w:rsidRPr="00DA78F9">
          <w:rPr>
            <w:rStyle w:val="Hyperlink"/>
            <w:sz w:val="24"/>
            <w:szCs w:val="24"/>
          </w:rPr>
          <w:t>την</w:t>
        </w:r>
        <w:proofErr w:type="spellEnd"/>
        <w:r w:rsidRPr="00DA78F9">
          <w:rPr>
            <w:rStyle w:val="Hyperlink"/>
            <w:sz w:val="24"/>
            <w:szCs w:val="24"/>
          </w:rPr>
          <w:t xml:space="preserve"> πα</w:t>
        </w:r>
        <w:proofErr w:type="spellStart"/>
        <w:r w:rsidRPr="00DA78F9">
          <w:rPr>
            <w:rStyle w:val="Hyperlink"/>
            <w:sz w:val="24"/>
            <w:szCs w:val="24"/>
          </w:rPr>
          <w:t>χυσ</w:t>
        </w:r>
        <w:proofErr w:type="spellEnd"/>
        <w:r w:rsidRPr="00DA78F9">
          <w:rPr>
            <w:rStyle w:val="Hyperlink"/>
            <w:sz w:val="24"/>
            <w:szCs w:val="24"/>
          </w:rPr>
          <w:t xml:space="preserve">αρκία </w:t>
        </w:r>
        <w:proofErr w:type="spellStart"/>
        <w:r w:rsidRPr="00DA78F9">
          <w:rPr>
            <w:rStyle w:val="Hyperlink"/>
            <w:sz w:val="24"/>
            <w:szCs w:val="24"/>
          </w:rPr>
          <w:t>στην</w:t>
        </w:r>
        <w:proofErr w:type="spellEnd"/>
        <w:r w:rsidRPr="00DA78F9">
          <w:rPr>
            <w:rStyle w:val="Hyperlink"/>
            <w:sz w:val="24"/>
            <w:szCs w:val="24"/>
          </w:rPr>
          <w:t xml:space="preserve"> </w:t>
        </w:r>
        <w:proofErr w:type="spellStart"/>
        <w:r w:rsidRPr="00DA78F9">
          <w:rPr>
            <w:rStyle w:val="Hyperlink"/>
            <w:sz w:val="24"/>
            <w:szCs w:val="24"/>
          </w:rPr>
          <w:t>Ευρώ</w:t>
        </w:r>
        <w:proofErr w:type="spellEnd"/>
        <w:r w:rsidRPr="00DA78F9">
          <w:rPr>
            <w:rStyle w:val="Hyperlink"/>
            <w:sz w:val="24"/>
            <w:szCs w:val="24"/>
          </w:rPr>
          <w:t>πη)</w:t>
        </w:r>
      </w:hyperlink>
      <w:r w:rsidRPr="00DA78F9">
        <w:rPr>
          <w:sz w:val="24"/>
          <w:szCs w:val="24"/>
          <w:lang w:val="el-GR"/>
        </w:rPr>
        <w:t>, Παγκόσμιος Οργανισμός Υγείας, Γενεύη, 2022.</w:t>
      </w:r>
    </w:p>
  </w:footnote>
  <w:footnote w:id="18">
    <w:p w:rsidR="00B048D0" w:rsidRPr="00DA78F9" w:rsidRDefault="00B048D0" w:rsidP="00DA78F9">
      <w:pPr>
        <w:pStyle w:val="FootnoteText"/>
        <w:spacing w:line="240" w:lineRule="auto"/>
        <w:ind w:left="567" w:hanging="567"/>
        <w:rPr>
          <w:rFonts w:eastAsia="Arial"/>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ΕΕ C 342 της 6.9.2022, σ. 109.</w:t>
      </w:r>
    </w:p>
  </w:footnote>
  <w:footnote w:id="19">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 xml:space="preserve">Ευρωπαϊκή Αρχή για την Ασφάλεια των Τροφίμων, «EFSA </w:t>
      </w:r>
      <w:proofErr w:type="spellStart"/>
      <w:r w:rsidRPr="00DA78F9">
        <w:rPr>
          <w:sz w:val="24"/>
          <w:szCs w:val="24"/>
          <w:lang w:val="el-GR"/>
        </w:rPr>
        <w:t>explains</w:t>
      </w:r>
      <w:proofErr w:type="spellEnd"/>
      <w:r w:rsidRPr="00DA78F9">
        <w:rPr>
          <w:sz w:val="24"/>
          <w:szCs w:val="24"/>
          <w:lang w:val="el-GR"/>
        </w:rPr>
        <w:t xml:space="preserve"> </w:t>
      </w:r>
      <w:proofErr w:type="spellStart"/>
      <w:r w:rsidRPr="00DA78F9">
        <w:rPr>
          <w:sz w:val="24"/>
          <w:szCs w:val="24"/>
          <w:lang w:val="el-GR"/>
        </w:rPr>
        <w:t>draft</w:t>
      </w:r>
      <w:proofErr w:type="spellEnd"/>
      <w:r w:rsidRPr="00DA78F9">
        <w:rPr>
          <w:sz w:val="24"/>
          <w:szCs w:val="24"/>
          <w:lang w:val="el-GR"/>
        </w:rPr>
        <w:t xml:space="preserve"> </w:t>
      </w:r>
      <w:proofErr w:type="spellStart"/>
      <w:r w:rsidRPr="00DA78F9">
        <w:rPr>
          <w:sz w:val="24"/>
          <w:szCs w:val="24"/>
          <w:lang w:val="el-GR"/>
        </w:rPr>
        <w:t>scientific</w:t>
      </w:r>
      <w:proofErr w:type="spellEnd"/>
      <w:r w:rsidRPr="00DA78F9">
        <w:rPr>
          <w:sz w:val="24"/>
          <w:szCs w:val="24"/>
          <w:lang w:val="el-GR"/>
        </w:rPr>
        <w:t xml:space="preserve"> </w:t>
      </w:r>
      <w:proofErr w:type="spellStart"/>
      <w:r w:rsidRPr="00DA78F9">
        <w:rPr>
          <w:sz w:val="24"/>
          <w:szCs w:val="24"/>
          <w:lang w:val="el-GR"/>
        </w:rPr>
        <w:t>opinion</w:t>
      </w:r>
      <w:proofErr w:type="spellEnd"/>
      <w:r w:rsidRPr="00DA78F9">
        <w:rPr>
          <w:sz w:val="24"/>
          <w:szCs w:val="24"/>
          <w:lang w:val="el-GR"/>
        </w:rPr>
        <w:t xml:space="preserve"> on a </w:t>
      </w:r>
      <w:proofErr w:type="spellStart"/>
      <w:r w:rsidRPr="00DA78F9">
        <w:rPr>
          <w:sz w:val="24"/>
          <w:szCs w:val="24"/>
          <w:lang w:val="el-GR"/>
        </w:rPr>
        <w:t>tolerable</w:t>
      </w:r>
      <w:proofErr w:type="spellEnd"/>
      <w:r w:rsidRPr="00DA78F9">
        <w:rPr>
          <w:sz w:val="24"/>
          <w:szCs w:val="24"/>
          <w:lang w:val="el-GR"/>
        </w:rPr>
        <w:t xml:space="preserve"> </w:t>
      </w:r>
      <w:proofErr w:type="spellStart"/>
      <w:r w:rsidRPr="00DA78F9">
        <w:rPr>
          <w:sz w:val="24"/>
          <w:szCs w:val="24"/>
          <w:lang w:val="el-GR"/>
        </w:rPr>
        <w:t>upper</w:t>
      </w:r>
      <w:proofErr w:type="spellEnd"/>
      <w:r w:rsidRPr="00DA78F9">
        <w:rPr>
          <w:sz w:val="24"/>
          <w:szCs w:val="24"/>
          <w:lang w:val="el-GR"/>
        </w:rPr>
        <w:t xml:space="preserve"> </w:t>
      </w:r>
      <w:proofErr w:type="spellStart"/>
      <w:r w:rsidRPr="00DA78F9">
        <w:rPr>
          <w:sz w:val="24"/>
          <w:szCs w:val="24"/>
          <w:lang w:val="el-GR"/>
        </w:rPr>
        <w:t>intake</w:t>
      </w:r>
      <w:proofErr w:type="spellEnd"/>
      <w:r w:rsidRPr="00DA78F9">
        <w:rPr>
          <w:sz w:val="24"/>
          <w:szCs w:val="24"/>
          <w:lang w:val="el-GR"/>
        </w:rPr>
        <w:t xml:space="preserve"> </w:t>
      </w:r>
      <w:proofErr w:type="spellStart"/>
      <w:r w:rsidRPr="00DA78F9">
        <w:rPr>
          <w:sz w:val="24"/>
          <w:szCs w:val="24"/>
          <w:lang w:val="el-GR"/>
        </w:rPr>
        <w:t>level</w:t>
      </w:r>
      <w:proofErr w:type="spellEnd"/>
      <w:r w:rsidRPr="00DA78F9">
        <w:rPr>
          <w:sz w:val="24"/>
          <w:szCs w:val="24"/>
          <w:lang w:val="el-GR"/>
        </w:rPr>
        <w:t xml:space="preserve"> for </w:t>
      </w:r>
      <w:proofErr w:type="spellStart"/>
      <w:r w:rsidRPr="00DA78F9">
        <w:rPr>
          <w:sz w:val="24"/>
          <w:szCs w:val="24"/>
          <w:lang w:val="el-GR"/>
        </w:rPr>
        <w:t>dietary</w:t>
      </w:r>
      <w:proofErr w:type="spellEnd"/>
      <w:r w:rsidRPr="00DA78F9">
        <w:rPr>
          <w:sz w:val="24"/>
          <w:szCs w:val="24"/>
          <w:lang w:val="el-GR"/>
        </w:rPr>
        <w:t xml:space="preserve"> </w:t>
      </w:r>
      <w:proofErr w:type="spellStart"/>
      <w:r w:rsidRPr="00DA78F9">
        <w:rPr>
          <w:sz w:val="24"/>
          <w:szCs w:val="24"/>
          <w:lang w:val="el-GR"/>
        </w:rPr>
        <w:t>sugars</w:t>
      </w:r>
      <w:proofErr w:type="spellEnd"/>
      <w:r w:rsidRPr="00DA78F9">
        <w:rPr>
          <w:sz w:val="24"/>
          <w:szCs w:val="24"/>
          <w:lang w:val="el-GR"/>
        </w:rPr>
        <w:t>» (Η EFSA εξηγεί το σχέδιο επιστημονικής γνώμης σχετικά με ένα ανώτατο ανεκτό επίπεδο πρόσληψης σακχάρων στη διατροφή), Ευρωπαϊκή Αρχή για την Ασφάλεια των Τροφίμων, 2021.</w:t>
      </w:r>
    </w:p>
  </w:footnote>
  <w:footnote w:id="20">
    <w:p w:rsidR="00B048D0" w:rsidRPr="00DA78F9" w:rsidRDefault="00B048D0" w:rsidP="00DA78F9">
      <w:pPr>
        <w:pStyle w:val="FootnoteText"/>
        <w:spacing w:line="240" w:lineRule="auto"/>
        <w:ind w:left="567" w:hanging="567"/>
        <w:rPr>
          <w:sz w:val="24"/>
          <w:szCs w:val="24"/>
          <w:lang w:val="en-GB"/>
        </w:rPr>
      </w:pPr>
      <w:r w:rsidRPr="00DA78F9">
        <w:rPr>
          <w:rStyle w:val="FootnoteReference"/>
          <w:sz w:val="24"/>
          <w:szCs w:val="24"/>
          <w:lang w:val="el-GR"/>
        </w:rPr>
        <w:footnoteRef/>
      </w:r>
      <w:r w:rsidR="005952D3" w:rsidRPr="00DA78F9">
        <w:rPr>
          <w:sz w:val="24"/>
          <w:szCs w:val="24"/>
          <w:lang w:val="en-GB"/>
        </w:rPr>
        <w:t xml:space="preserve"> </w:t>
      </w:r>
      <w:r w:rsidR="005952D3" w:rsidRPr="00DA78F9">
        <w:rPr>
          <w:sz w:val="24"/>
          <w:szCs w:val="24"/>
          <w:lang w:val="en-GB"/>
        </w:rPr>
        <w:tab/>
      </w:r>
      <w:r w:rsidRPr="00DA78F9">
        <w:rPr>
          <w:sz w:val="24"/>
          <w:szCs w:val="24"/>
          <w:lang w:val="en-GB"/>
        </w:rPr>
        <w:t xml:space="preserve">Ashwell, M. et al., ‘Nature of the evidence base and strengths, challenges and recommendations in the area of nutrition and health claims: A position paper from the Academy of Nutrition Sciences», </w:t>
      </w:r>
      <w:r w:rsidRPr="00DA78F9">
        <w:rPr>
          <w:iCs/>
          <w:sz w:val="24"/>
          <w:szCs w:val="24"/>
          <w:lang w:val="en-GB"/>
        </w:rPr>
        <w:t>British Journal of Nutrition,</w:t>
      </w:r>
      <w:r w:rsidRPr="00DA78F9">
        <w:rPr>
          <w:sz w:val="24"/>
          <w:szCs w:val="24"/>
          <w:lang w:val="en-GB"/>
        </w:rPr>
        <w:t xml:space="preserve"> </w:t>
      </w:r>
      <w:r w:rsidRPr="00DA78F9">
        <w:rPr>
          <w:sz w:val="24"/>
          <w:szCs w:val="24"/>
          <w:lang w:val="el-GR"/>
        </w:rPr>
        <w:t>τόμος</w:t>
      </w:r>
      <w:r w:rsidRPr="00DA78F9">
        <w:rPr>
          <w:sz w:val="24"/>
          <w:szCs w:val="24"/>
          <w:lang w:val="en-GB"/>
        </w:rPr>
        <w:t xml:space="preserve"> 130, </w:t>
      </w:r>
      <w:r w:rsidRPr="00DA78F9">
        <w:rPr>
          <w:sz w:val="24"/>
          <w:szCs w:val="24"/>
          <w:lang w:val="el-GR"/>
        </w:rPr>
        <w:t>τεύχος</w:t>
      </w:r>
      <w:r w:rsidRPr="00DA78F9">
        <w:rPr>
          <w:sz w:val="24"/>
          <w:szCs w:val="24"/>
          <w:lang w:val="en-GB"/>
        </w:rPr>
        <w:t xml:space="preserve"> 2, 28 </w:t>
      </w:r>
      <w:r w:rsidRPr="00DA78F9">
        <w:rPr>
          <w:sz w:val="24"/>
          <w:szCs w:val="24"/>
          <w:lang w:val="el-GR"/>
        </w:rPr>
        <w:t>Ιουλίου</w:t>
      </w:r>
      <w:r w:rsidRPr="00DA78F9">
        <w:rPr>
          <w:sz w:val="24"/>
          <w:szCs w:val="24"/>
          <w:lang w:val="en-GB"/>
        </w:rPr>
        <w:t xml:space="preserve"> 2023, </w:t>
      </w:r>
      <w:r w:rsidRPr="00DA78F9">
        <w:rPr>
          <w:sz w:val="24"/>
          <w:szCs w:val="24"/>
          <w:lang w:val="el-GR"/>
        </w:rPr>
        <w:t>σ</w:t>
      </w:r>
      <w:r w:rsidRPr="00DA78F9">
        <w:rPr>
          <w:sz w:val="24"/>
          <w:szCs w:val="24"/>
          <w:lang w:val="en-GB"/>
        </w:rPr>
        <w:t>. 221-238.</w:t>
      </w:r>
    </w:p>
  </w:footnote>
  <w:footnote w:id="21">
    <w:p w:rsidR="00B048D0" w:rsidRPr="00DA78F9" w:rsidRDefault="00B048D0" w:rsidP="00DA78F9">
      <w:pPr>
        <w:pStyle w:val="FootnoteText"/>
        <w:spacing w:line="240" w:lineRule="auto"/>
        <w:ind w:left="567" w:hanging="567"/>
        <w:rPr>
          <w:sz w:val="24"/>
          <w:szCs w:val="24"/>
          <w:lang w:val="en-GB"/>
        </w:rPr>
      </w:pPr>
      <w:r w:rsidRPr="00DA78F9">
        <w:rPr>
          <w:rStyle w:val="FootnoteReference"/>
          <w:sz w:val="24"/>
          <w:szCs w:val="24"/>
          <w:lang w:val="el-GR"/>
        </w:rPr>
        <w:footnoteRef/>
      </w:r>
      <w:r w:rsidR="005952D3" w:rsidRPr="00DA78F9">
        <w:rPr>
          <w:sz w:val="24"/>
          <w:szCs w:val="24"/>
          <w:lang w:val="en-GB"/>
        </w:rPr>
        <w:t xml:space="preserve"> </w:t>
      </w:r>
      <w:r w:rsidR="005952D3" w:rsidRPr="00DA78F9">
        <w:rPr>
          <w:sz w:val="24"/>
          <w:szCs w:val="24"/>
          <w:lang w:val="en-GB"/>
        </w:rPr>
        <w:tab/>
      </w:r>
      <w:r w:rsidRPr="00DA78F9">
        <w:rPr>
          <w:sz w:val="24"/>
          <w:szCs w:val="24"/>
          <w:lang w:val="el-GR"/>
        </w:rPr>
        <w:t>Ευρωπαϊκή</w:t>
      </w:r>
      <w:r w:rsidRPr="00DA78F9">
        <w:rPr>
          <w:sz w:val="24"/>
          <w:szCs w:val="24"/>
          <w:lang w:val="en-GB"/>
        </w:rPr>
        <w:t xml:space="preserve"> </w:t>
      </w:r>
      <w:r w:rsidRPr="00DA78F9">
        <w:rPr>
          <w:sz w:val="24"/>
          <w:szCs w:val="24"/>
          <w:lang w:val="el-GR"/>
        </w:rPr>
        <w:t>Ένωση</w:t>
      </w:r>
      <w:r w:rsidRPr="00DA78F9">
        <w:rPr>
          <w:sz w:val="24"/>
          <w:szCs w:val="24"/>
          <w:lang w:val="en-GB"/>
        </w:rPr>
        <w:t>, «Eurobarometer - Making our food fit for the future - new trends and challenges» (</w:t>
      </w:r>
      <w:r w:rsidRPr="00DA78F9">
        <w:rPr>
          <w:sz w:val="24"/>
          <w:szCs w:val="24"/>
          <w:lang w:val="el-GR"/>
        </w:rPr>
        <w:t>Ευρωβαρόμετρο</w:t>
      </w:r>
      <w:r w:rsidRPr="00DA78F9">
        <w:rPr>
          <w:sz w:val="24"/>
          <w:szCs w:val="24"/>
          <w:lang w:val="en-GB"/>
        </w:rPr>
        <w:t xml:space="preserve"> - </w:t>
      </w:r>
      <w:r w:rsidRPr="00DA78F9">
        <w:rPr>
          <w:sz w:val="24"/>
          <w:szCs w:val="24"/>
          <w:lang w:val="el-GR"/>
        </w:rPr>
        <w:t>Καθιστώντας</w:t>
      </w:r>
      <w:r w:rsidRPr="00DA78F9">
        <w:rPr>
          <w:sz w:val="24"/>
          <w:szCs w:val="24"/>
          <w:lang w:val="en-GB"/>
        </w:rPr>
        <w:t xml:space="preserve"> </w:t>
      </w:r>
      <w:r w:rsidRPr="00DA78F9">
        <w:rPr>
          <w:sz w:val="24"/>
          <w:szCs w:val="24"/>
          <w:lang w:val="el-GR"/>
        </w:rPr>
        <w:t>τα</w:t>
      </w:r>
      <w:r w:rsidRPr="00DA78F9">
        <w:rPr>
          <w:sz w:val="24"/>
          <w:szCs w:val="24"/>
          <w:lang w:val="en-GB"/>
        </w:rPr>
        <w:t xml:space="preserve"> </w:t>
      </w:r>
      <w:r w:rsidRPr="00DA78F9">
        <w:rPr>
          <w:sz w:val="24"/>
          <w:szCs w:val="24"/>
          <w:lang w:val="el-GR"/>
        </w:rPr>
        <w:t>τρόφιμά</w:t>
      </w:r>
      <w:r w:rsidRPr="00DA78F9">
        <w:rPr>
          <w:sz w:val="24"/>
          <w:szCs w:val="24"/>
          <w:lang w:val="en-GB"/>
        </w:rPr>
        <w:t xml:space="preserve"> </w:t>
      </w:r>
      <w:r w:rsidRPr="00DA78F9">
        <w:rPr>
          <w:sz w:val="24"/>
          <w:szCs w:val="24"/>
          <w:lang w:val="el-GR"/>
        </w:rPr>
        <w:t>μας</w:t>
      </w:r>
      <w:r w:rsidRPr="00DA78F9">
        <w:rPr>
          <w:sz w:val="24"/>
          <w:szCs w:val="24"/>
          <w:lang w:val="en-GB"/>
        </w:rPr>
        <w:t xml:space="preserve"> </w:t>
      </w:r>
      <w:r w:rsidRPr="00DA78F9">
        <w:rPr>
          <w:sz w:val="24"/>
          <w:szCs w:val="24"/>
          <w:lang w:val="el-GR"/>
        </w:rPr>
        <w:t>κατάλληλα</w:t>
      </w:r>
      <w:r w:rsidRPr="00DA78F9">
        <w:rPr>
          <w:sz w:val="24"/>
          <w:szCs w:val="24"/>
          <w:lang w:val="en-GB"/>
        </w:rPr>
        <w:t xml:space="preserve"> </w:t>
      </w:r>
      <w:r w:rsidRPr="00DA78F9">
        <w:rPr>
          <w:sz w:val="24"/>
          <w:szCs w:val="24"/>
          <w:lang w:val="el-GR"/>
        </w:rPr>
        <w:t>για</w:t>
      </w:r>
      <w:r w:rsidRPr="00DA78F9">
        <w:rPr>
          <w:sz w:val="24"/>
          <w:szCs w:val="24"/>
          <w:lang w:val="en-GB"/>
        </w:rPr>
        <w:t xml:space="preserve"> </w:t>
      </w:r>
      <w:r w:rsidRPr="00DA78F9">
        <w:rPr>
          <w:sz w:val="24"/>
          <w:szCs w:val="24"/>
          <w:lang w:val="el-GR"/>
        </w:rPr>
        <w:t>το</w:t>
      </w:r>
      <w:r w:rsidRPr="00DA78F9">
        <w:rPr>
          <w:sz w:val="24"/>
          <w:szCs w:val="24"/>
          <w:lang w:val="en-GB"/>
        </w:rPr>
        <w:t xml:space="preserve"> </w:t>
      </w:r>
      <w:r w:rsidRPr="00DA78F9">
        <w:rPr>
          <w:sz w:val="24"/>
          <w:szCs w:val="24"/>
          <w:lang w:val="el-GR"/>
        </w:rPr>
        <w:t>μέλλον</w:t>
      </w:r>
      <w:r w:rsidRPr="00DA78F9">
        <w:rPr>
          <w:sz w:val="24"/>
          <w:szCs w:val="24"/>
          <w:lang w:val="en-GB"/>
        </w:rPr>
        <w:t xml:space="preserve"> - </w:t>
      </w:r>
      <w:r w:rsidRPr="00DA78F9">
        <w:rPr>
          <w:sz w:val="24"/>
          <w:szCs w:val="24"/>
          <w:lang w:val="el-GR"/>
        </w:rPr>
        <w:t>νέες</w:t>
      </w:r>
      <w:r w:rsidRPr="00DA78F9">
        <w:rPr>
          <w:sz w:val="24"/>
          <w:szCs w:val="24"/>
          <w:lang w:val="en-GB"/>
        </w:rPr>
        <w:t xml:space="preserve"> </w:t>
      </w:r>
      <w:r w:rsidRPr="00DA78F9">
        <w:rPr>
          <w:sz w:val="24"/>
          <w:szCs w:val="24"/>
          <w:lang w:val="el-GR"/>
        </w:rPr>
        <w:t>τάσεις</w:t>
      </w:r>
      <w:r w:rsidRPr="00DA78F9">
        <w:rPr>
          <w:sz w:val="24"/>
          <w:szCs w:val="24"/>
          <w:lang w:val="en-GB"/>
        </w:rPr>
        <w:t xml:space="preserve"> </w:t>
      </w:r>
      <w:r w:rsidRPr="00DA78F9">
        <w:rPr>
          <w:sz w:val="24"/>
          <w:szCs w:val="24"/>
          <w:lang w:val="el-GR"/>
        </w:rPr>
        <w:t>και</w:t>
      </w:r>
      <w:r w:rsidRPr="00DA78F9">
        <w:rPr>
          <w:sz w:val="24"/>
          <w:szCs w:val="24"/>
          <w:lang w:val="en-GB"/>
        </w:rPr>
        <w:t xml:space="preserve"> </w:t>
      </w:r>
      <w:r w:rsidRPr="00DA78F9">
        <w:rPr>
          <w:sz w:val="24"/>
          <w:szCs w:val="24"/>
          <w:lang w:val="el-GR"/>
        </w:rPr>
        <w:t>προκλήσεις</w:t>
      </w:r>
      <w:r w:rsidRPr="00DA78F9">
        <w:rPr>
          <w:sz w:val="24"/>
          <w:szCs w:val="24"/>
          <w:lang w:val="en-GB"/>
        </w:rPr>
        <w:t xml:space="preserve">), </w:t>
      </w:r>
      <w:r w:rsidRPr="00DA78F9">
        <w:rPr>
          <w:sz w:val="24"/>
          <w:szCs w:val="24"/>
          <w:lang w:val="el-GR"/>
        </w:rPr>
        <w:t>Οκτώβριος</w:t>
      </w:r>
      <w:r w:rsidRPr="00DA78F9">
        <w:rPr>
          <w:sz w:val="24"/>
          <w:szCs w:val="24"/>
          <w:lang w:val="en-GB"/>
        </w:rPr>
        <w:t xml:space="preserve"> 2020.</w:t>
      </w:r>
    </w:p>
  </w:footnote>
  <w:footnote w:id="22">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r w:rsidRPr="00DA78F9">
        <w:rPr>
          <w:sz w:val="24"/>
          <w:szCs w:val="24"/>
          <w:lang w:val="el-GR"/>
        </w:rPr>
        <w:t xml:space="preserve">Απόφαση του Δικαστηρίου, της 8ης Ιουνίου 2017, </w:t>
      </w:r>
      <w:proofErr w:type="spellStart"/>
      <w:r w:rsidRPr="00DA78F9">
        <w:rPr>
          <w:iCs/>
          <w:sz w:val="24"/>
          <w:szCs w:val="24"/>
          <w:lang w:val="el-GR"/>
        </w:rPr>
        <w:t>Dextro</w:t>
      </w:r>
      <w:proofErr w:type="spellEnd"/>
      <w:r w:rsidRPr="00DA78F9">
        <w:rPr>
          <w:iCs/>
          <w:sz w:val="24"/>
          <w:szCs w:val="24"/>
          <w:lang w:val="el-GR"/>
        </w:rPr>
        <w:t xml:space="preserve"> Energy </w:t>
      </w:r>
      <w:proofErr w:type="spellStart"/>
      <w:r w:rsidRPr="00DA78F9">
        <w:rPr>
          <w:iCs/>
          <w:sz w:val="24"/>
          <w:szCs w:val="24"/>
          <w:lang w:val="el-GR"/>
        </w:rPr>
        <w:t>GmbH</w:t>
      </w:r>
      <w:proofErr w:type="spellEnd"/>
      <w:r w:rsidRPr="00DA78F9">
        <w:rPr>
          <w:iCs/>
          <w:sz w:val="24"/>
          <w:szCs w:val="24"/>
          <w:lang w:val="el-GR"/>
        </w:rPr>
        <w:t xml:space="preserve"> &amp; Co. KG </w:t>
      </w:r>
      <w:r w:rsidRPr="00DA78F9">
        <w:rPr>
          <w:sz w:val="24"/>
          <w:szCs w:val="24"/>
          <w:lang w:val="el-GR"/>
        </w:rPr>
        <w:t xml:space="preserve">κατά </w:t>
      </w:r>
      <w:r w:rsidRPr="00DA78F9">
        <w:rPr>
          <w:iCs/>
          <w:sz w:val="24"/>
          <w:szCs w:val="24"/>
          <w:lang w:val="el-GR"/>
        </w:rPr>
        <w:t>Ευρωπαϊκής Επιτροπής</w:t>
      </w:r>
      <w:r w:rsidRPr="00DA78F9">
        <w:rPr>
          <w:sz w:val="24"/>
          <w:szCs w:val="24"/>
          <w:lang w:val="el-GR"/>
        </w:rPr>
        <w:t>, C-296/16, ECLI:EU:C:2017:437.</w:t>
      </w:r>
    </w:p>
  </w:footnote>
  <w:footnote w:id="23">
    <w:p w:rsidR="00B048D0" w:rsidRPr="00DA78F9" w:rsidRDefault="00B048D0" w:rsidP="00DA78F9">
      <w:pPr>
        <w:pStyle w:val="FootnoteText"/>
        <w:spacing w:line="240" w:lineRule="auto"/>
        <w:ind w:left="567" w:hanging="567"/>
        <w:rPr>
          <w:sz w:val="24"/>
          <w:szCs w:val="24"/>
          <w:lang w:val="el-GR"/>
        </w:rPr>
      </w:pPr>
      <w:r w:rsidRPr="00DA78F9">
        <w:rPr>
          <w:rStyle w:val="FootnoteReference"/>
          <w:sz w:val="24"/>
          <w:szCs w:val="24"/>
          <w:lang w:val="el-GR"/>
        </w:rPr>
        <w:footnoteRef/>
      </w:r>
      <w:r w:rsidR="005952D3" w:rsidRPr="00DA78F9">
        <w:rPr>
          <w:sz w:val="24"/>
          <w:szCs w:val="24"/>
          <w:lang w:val="el-GR"/>
        </w:rPr>
        <w:t xml:space="preserve"> </w:t>
      </w:r>
      <w:r w:rsidR="005952D3" w:rsidRPr="00DA78F9">
        <w:rPr>
          <w:sz w:val="24"/>
          <w:szCs w:val="24"/>
          <w:lang w:val="el-GR"/>
        </w:rPr>
        <w:tab/>
      </w:r>
      <w:proofErr w:type="spellStart"/>
      <w:r w:rsidRPr="00DA78F9">
        <w:rPr>
          <w:sz w:val="24"/>
          <w:szCs w:val="24"/>
          <w:lang w:val="el-GR"/>
        </w:rPr>
        <w:t>Munblit</w:t>
      </w:r>
      <w:proofErr w:type="spellEnd"/>
      <w:r w:rsidRPr="00DA78F9">
        <w:rPr>
          <w:sz w:val="24"/>
          <w:szCs w:val="24"/>
          <w:lang w:val="el-GR"/>
        </w:rPr>
        <w:t xml:space="preserve">, D. </w:t>
      </w:r>
      <w:proofErr w:type="spellStart"/>
      <w:r w:rsidRPr="00DA78F9">
        <w:rPr>
          <w:sz w:val="24"/>
          <w:szCs w:val="24"/>
          <w:lang w:val="el-GR"/>
        </w:rPr>
        <w:t>et</w:t>
      </w:r>
      <w:proofErr w:type="spellEnd"/>
      <w:r w:rsidRPr="00DA78F9">
        <w:rPr>
          <w:sz w:val="24"/>
          <w:szCs w:val="24"/>
          <w:lang w:val="el-GR"/>
        </w:rPr>
        <w:t xml:space="preserve"> </w:t>
      </w:r>
      <w:proofErr w:type="spellStart"/>
      <w:r w:rsidRPr="00DA78F9">
        <w:rPr>
          <w:sz w:val="24"/>
          <w:szCs w:val="24"/>
          <w:lang w:val="el-GR"/>
        </w:rPr>
        <w:t>al</w:t>
      </w:r>
      <w:proofErr w:type="spellEnd"/>
      <w:r w:rsidRPr="00DA78F9">
        <w:rPr>
          <w:sz w:val="24"/>
          <w:szCs w:val="24"/>
          <w:lang w:val="el-GR"/>
        </w:rPr>
        <w:t xml:space="preserve">., ‘Health and </w:t>
      </w:r>
      <w:proofErr w:type="spellStart"/>
      <w:r w:rsidRPr="00DA78F9">
        <w:rPr>
          <w:sz w:val="24"/>
          <w:szCs w:val="24"/>
          <w:lang w:val="el-GR"/>
        </w:rPr>
        <w:t>nutrition</w:t>
      </w:r>
      <w:proofErr w:type="spellEnd"/>
      <w:r w:rsidRPr="00DA78F9">
        <w:rPr>
          <w:sz w:val="24"/>
          <w:szCs w:val="24"/>
          <w:lang w:val="el-GR"/>
        </w:rPr>
        <w:t xml:space="preserve"> </w:t>
      </w:r>
      <w:proofErr w:type="spellStart"/>
      <w:r w:rsidRPr="00DA78F9">
        <w:rPr>
          <w:sz w:val="24"/>
          <w:szCs w:val="24"/>
          <w:lang w:val="el-GR"/>
        </w:rPr>
        <w:t>claims</w:t>
      </w:r>
      <w:proofErr w:type="spellEnd"/>
      <w:r w:rsidRPr="00DA78F9">
        <w:rPr>
          <w:sz w:val="24"/>
          <w:szCs w:val="24"/>
          <w:lang w:val="el-GR"/>
        </w:rPr>
        <w:t xml:space="preserve"> for </w:t>
      </w:r>
      <w:proofErr w:type="spellStart"/>
      <w:r w:rsidRPr="00DA78F9">
        <w:rPr>
          <w:sz w:val="24"/>
          <w:szCs w:val="24"/>
          <w:lang w:val="el-GR"/>
        </w:rPr>
        <w:t>infant</w:t>
      </w:r>
      <w:proofErr w:type="spellEnd"/>
      <w:r w:rsidRPr="00DA78F9">
        <w:rPr>
          <w:sz w:val="24"/>
          <w:szCs w:val="24"/>
          <w:lang w:val="el-GR"/>
        </w:rPr>
        <w:t xml:space="preserve"> </w:t>
      </w:r>
      <w:proofErr w:type="spellStart"/>
      <w:r w:rsidRPr="00DA78F9">
        <w:rPr>
          <w:sz w:val="24"/>
          <w:szCs w:val="24"/>
          <w:lang w:val="el-GR"/>
        </w:rPr>
        <w:t>formula</w:t>
      </w:r>
      <w:proofErr w:type="spellEnd"/>
      <w:r w:rsidRPr="00DA78F9">
        <w:rPr>
          <w:sz w:val="24"/>
          <w:szCs w:val="24"/>
          <w:lang w:val="el-GR"/>
        </w:rPr>
        <w:t xml:space="preserve"> </w:t>
      </w:r>
      <w:proofErr w:type="spellStart"/>
      <w:r w:rsidRPr="00DA78F9">
        <w:rPr>
          <w:sz w:val="24"/>
          <w:szCs w:val="24"/>
          <w:lang w:val="el-GR"/>
        </w:rPr>
        <w:t>are</w:t>
      </w:r>
      <w:proofErr w:type="spellEnd"/>
      <w:r w:rsidRPr="00DA78F9">
        <w:rPr>
          <w:sz w:val="24"/>
          <w:szCs w:val="24"/>
          <w:lang w:val="el-GR"/>
        </w:rPr>
        <w:t xml:space="preserve"> </w:t>
      </w:r>
      <w:proofErr w:type="spellStart"/>
      <w:r w:rsidRPr="00DA78F9">
        <w:rPr>
          <w:sz w:val="24"/>
          <w:szCs w:val="24"/>
          <w:lang w:val="el-GR"/>
        </w:rPr>
        <w:t>poorly</w:t>
      </w:r>
      <w:proofErr w:type="spellEnd"/>
      <w:r w:rsidRPr="00DA78F9">
        <w:rPr>
          <w:sz w:val="24"/>
          <w:szCs w:val="24"/>
          <w:lang w:val="el-GR"/>
        </w:rPr>
        <w:t xml:space="preserve"> </w:t>
      </w:r>
      <w:proofErr w:type="spellStart"/>
      <w:r w:rsidRPr="00DA78F9">
        <w:rPr>
          <w:sz w:val="24"/>
          <w:szCs w:val="24"/>
          <w:lang w:val="el-GR"/>
        </w:rPr>
        <w:t>substantiated</w:t>
      </w:r>
      <w:proofErr w:type="spellEnd"/>
      <w:r w:rsidRPr="00DA78F9">
        <w:rPr>
          <w:sz w:val="24"/>
          <w:szCs w:val="24"/>
          <w:lang w:val="el-GR"/>
        </w:rPr>
        <w:t xml:space="preserve"> and </w:t>
      </w:r>
      <w:proofErr w:type="spellStart"/>
      <w:r w:rsidRPr="00DA78F9">
        <w:rPr>
          <w:sz w:val="24"/>
          <w:szCs w:val="24"/>
          <w:lang w:val="el-GR"/>
        </w:rPr>
        <w:t>potentially</w:t>
      </w:r>
      <w:proofErr w:type="spellEnd"/>
      <w:r w:rsidRPr="00DA78F9">
        <w:rPr>
          <w:sz w:val="24"/>
          <w:szCs w:val="24"/>
          <w:lang w:val="el-GR"/>
        </w:rPr>
        <w:t xml:space="preserve"> </w:t>
      </w:r>
      <w:proofErr w:type="spellStart"/>
      <w:r w:rsidRPr="00DA78F9">
        <w:rPr>
          <w:sz w:val="24"/>
          <w:szCs w:val="24"/>
          <w:lang w:val="el-GR"/>
        </w:rPr>
        <w:t>harmful</w:t>
      </w:r>
      <w:proofErr w:type="spellEnd"/>
      <w:r w:rsidRPr="00DA78F9">
        <w:rPr>
          <w:sz w:val="24"/>
          <w:szCs w:val="24"/>
          <w:lang w:val="el-GR"/>
        </w:rPr>
        <w:t xml:space="preserve">’, British Medical Journal, </w:t>
      </w:r>
      <w:proofErr w:type="spellStart"/>
      <w:r w:rsidRPr="00DA78F9">
        <w:rPr>
          <w:sz w:val="24"/>
          <w:szCs w:val="24"/>
          <w:lang w:val="el-GR"/>
        </w:rPr>
        <w:t>Volume</w:t>
      </w:r>
      <w:proofErr w:type="spellEnd"/>
      <w:r w:rsidRPr="00DA78F9">
        <w:rPr>
          <w:sz w:val="24"/>
          <w:szCs w:val="24"/>
          <w:lang w:val="el-GR"/>
        </w:rPr>
        <w:t xml:space="preserve"> 369, </w:t>
      </w:r>
      <w:proofErr w:type="spellStart"/>
      <w:r w:rsidRPr="00DA78F9">
        <w:rPr>
          <w:sz w:val="24"/>
          <w:szCs w:val="24"/>
          <w:lang w:val="el-GR"/>
        </w:rPr>
        <w:t>Article</w:t>
      </w:r>
      <w:proofErr w:type="spellEnd"/>
      <w:r w:rsidRPr="00DA78F9">
        <w:rPr>
          <w:sz w:val="24"/>
          <w:szCs w:val="24"/>
          <w:lang w:val="el-GR"/>
        </w:rPr>
        <w:t xml:space="preserve"> m875, 2020, and </w:t>
      </w:r>
      <w:proofErr w:type="spellStart"/>
      <w:r w:rsidRPr="00DA78F9">
        <w:rPr>
          <w:sz w:val="24"/>
          <w:szCs w:val="24"/>
          <w:lang w:val="el-GR"/>
        </w:rPr>
        <w:t>Cheung</w:t>
      </w:r>
      <w:proofErr w:type="spellEnd"/>
      <w:r w:rsidRPr="00DA78F9">
        <w:rPr>
          <w:sz w:val="24"/>
          <w:szCs w:val="24"/>
          <w:lang w:val="el-GR"/>
        </w:rPr>
        <w:t xml:space="preserve">, K.Y., </w:t>
      </w:r>
      <w:proofErr w:type="spellStart"/>
      <w:r w:rsidRPr="00DA78F9">
        <w:rPr>
          <w:sz w:val="24"/>
          <w:szCs w:val="24"/>
          <w:lang w:val="el-GR"/>
        </w:rPr>
        <w:t>et</w:t>
      </w:r>
      <w:proofErr w:type="spellEnd"/>
      <w:r w:rsidRPr="00DA78F9">
        <w:rPr>
          <w:sz w:val="24"/>
          <w:szCs w:val="24"/>
          <w:lang w:val="el-GR"/>
        </w:rPr>
        <w:t xml:space="preserve"> </w:t>
      </w:r>
      <w:proofErr w:type="spellStart"/>
      <w:r w:rsidRPr="00DA78F9">
        <w:rPr>
          <w:sz w:val="24"/>
          <w:szCs w:val="24"/>
          <w:lang w:val="el-GR"/>
        </w:rPr>
        <w:t>al</w:t>
      </w:r>
      <w:proofErr w:type="spellEnd"/>
      <w:r w:rsidRPr="00DA78F9">
        <w:rPr>
          <w:sz w:val="24"/>
          <w:szCs w:val="24"/>
          <w:lang w:val="el-GR"/>
        </w:rPr>
        <w:t xml:space="preserve">., ‘Health and </w:t>
      </w:r>
      <w:proofErr w:type="spellStart"/>
      <w:r w:rsidRPr="00DA78F9">
        <w:rPr>
          <w:sz w:val="24"/>
          <w:szCs w:val="24"/>
          <w:lang w:val="el-GR"/>
        </w:rPr>
        <w:t>nutrition</w:t>
      </w:r>
      <w:proofErr w:type="spellEnd"/>
      <w:r w:rsidRPr="00DA78F9">
        <w:rPr>
          <w:sz w:val="24"/>
          <w:szCs w:val="24"/>
          <w:lang w:val="el-GR"/>
        </w:rPr>
        <w:t xml:space="preserve"> </w:t>
      </w:r>
      <w:proofErr w:type="spellStart"/>
      <w:r w:rsidRPr="00DA78F9">
        <w:rPr>
          <w:sz w:val="24"/>
          <w:szCs w:val="24"/>
          <w:lang w:val="el-GR"/>
        </w:rPr>
        <w:t>claims</w:t>
      </w:r>
      <w:proofErr w:type="spellEnd"/>
      <w:r w:rsidRPr="00DA78F9">
        <w:rPr>
          <w:sz w:val="24"/>
          <w:szCs w:val="24"/>
          <w:lang w:val="el-GR"/>
        </w:rPr>
        <w:t xml:space="preserve"> for </w:t>
      </w:r>
      <w:proofErr w:type="spellStart"/>
      <w:r w:rsidRPr="00DA78F9">
        <w:rPr>
          <w:sz w:val="24"/>
          <w:szCs w:val="24"/>
          <w:lang w:val="el-GR"/>
        </w:rPr>
        <w:t>infant</w:t>
      </w:r>
      <w:proofErr w:type="spellEnd"/>
      <w:r w:rsidRPr="00DA78F9">
        <w:rPr>
          <w:sz w:val="24"/>
          <w:szCs w:val="24"/>
          <w:lang w:val="el-GR"/>
        </w:rPr>
        <w:t xml:space="preserve"> </w:t>
      </w:r>
      <w:proofErr w:type="spellStart"/>
      <w:r w:rsidRPr="00DA78F9">
        <w:rPr>
          <w:sz w:val="24"/>
          <w:szCs w:val="24"/>
          <w:lang w:val="el-GR"/>
        </w:rPr>
        <w:t>formula</w:t>
      </w:r>
      <w:proofErr w:type="spellEnd"/>
      <w:r w:rsidRPr="00DA78F9">
        <w:rPr>
          <w:sz w:val="24"/>
          <w:szCs w:val="24"/>
          <w:lang w:val="el-GR"/>
        </w:rPr>
        <w:t xml:space="preserve">: International </w:t>
      </w:r>
      <w:proofErr w:type="spellStart"/>
      <w:r w:rsidRPr="00DA78F9">
        <w:rPr>
          <w:sz w:val="24"/>
          <w:szCs w:val="24"/>
          <w:lang w:val="el-GR"/>
        </w:rPr>
        <w:t>cross-sectional</w:t>
      </w:r>
      <w:proofErr w:type="spellEnd"/>
      <w:r w:rsidRPr="00DA78F9">
        <w:rPr>
          <w:sz w:val="24"/>
          <w:szCs w:val="24"/>
          <w:lang w:val="el-GR"/>
        </w:rPr>
        <w:t xml:space="preserve"> </w:t>
      </w:r>
      <w:proofErr w:type="spellStart"/>
      <w:r w:rsidRPr="00DA78F9">
        <w:rPr>
          <w:sz w:val="24"/>
          <w:szCs w:val="24"/>
          <w:lang w:val="el-GR"/>
        </w:rPr>
        <w:t>survey</w:t>
      </w:r>
      <w:proofErr w:type="spellEnd"/>
      <w:r w:rsidRPr="00DA78F9">
        <w:rPr>
          <w:sz w:val="24"/>
          <w:szCs w:val="24"/>
          <w:lang w:val="el-GR"/>
        </w:rPr>
        <w:t>»,</w:t>
      </w:r>
      <w:r w:rsidRPr="00DA78F9">
        <w:rPr>
          <w:iCs/>
          <w:sz w:val="24"/>
          <w:szCs w:val="24"/>
          <w:lang w:val="el-GR"/>
        </w:rPr>
        <w:t xml:space="preserve"> British Medical Journal,</w:t>
      </w:r>
      <w:r w:rsidRPr="00DA78F9">
        <w:rPr>
          <w:sz w:val="24"/>
          <w:szCs w:val="24"/>
          <w:lang w:val="el-GR"/>
        </w:rPr>
        <w:t xml:space="preserve"> τόμος 380, τεύχος 8371,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2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2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52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55501E71"/>
    <w:multiLevelType w:val="hybridMultilevel"/>
    <w:tmpl w:val="332C7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CD2562"/>
    <w:multiLevelType w:val="hybridMultilevel"/>
    <w:tmpl w:val="8B06E856"/>
    <w:lvl w:ilvl="0" w:tplc="B8BCA690">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6/2023"/>
    <w:docVar w:name="dvlangue" w:val="EL"/>
    <w:docVar w:name="dvnumam" w:val="0"/>
    <w:docVar w:name="dvpe" w:val="753.549"/>
    <w:docVar w:name="dvrapporteur" w:val="Εισηγήτρια: "/>
    <w:docVar w:name="dvtitre" w:val="Ψήφισμα του Ευρωπαϊκού Κοινοβουλίου σχετικά με την εφαρμογή του κανονισμού (ΕΚ) αριθ. 1924/2006 για τους ισχυρισμούς διατροφής και υγείας που διατυπώνονται στα τρόφιμα(2023/2081(INI))"/>
  </w:docVars>
  <w:rsids>
    <w:rsidRoot w:val="006165FC"/>
    <w:rsid w:val="00002272"/>
    <w:rsid w:val="00064002"/>
    <w:rsid w:val="000677B9"/>
    <w:rsid w:val="000831BA"/>
    <w:rsid w:val="000A42CC"/>
    <w:rsid w:val="000E7DD9"/>
    <w:rsid w:val="0010095E"/>
    <w:rsid w:val="00125B37"/>
    <w:rsid w:val="00187494"/>
    <w:rsid w:val="001F32AE"/>
    <w:rsid w:val="00252BDC"/>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2D3"/>
    <w:rsid w:val="005C2568"/>
    <w:rsid w:val="0060190F"/>
    <w:rsid w:val="006037C0"/>
    <w:rsid w:val="006165FC"/>
    <w:rsid w:val="006631B6"/>
    <w:rsid w:val="00680577"/>
    <w:rsid w:val="006F74FA"/>
    <w:rsid w:val="00731ADD"/>
    <w:rsid w:val="00734777"/>
    <w:rsid w:val="00747932"/>
    <w:rsid w:val="00751A4A"/>
    <w:rsid w:val="00756632"/>
    <w:rsid w:val="00762C74"/>
    <w:rsid w:val="00786EC0"/>
    <w:rsid w:val="007B4D9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49D9"/>
    <w:rsid w:val="00AB441E"/>
    <w:rsid w:val="00AB6293"/>
    <w:rsid w:val="00AE0928"/>
    <w:rsid w:val="00AF3B82"/>
    <w:rsid w:val="00B048D0"/>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8F9"/>
    <w:rsid w:val="00DA7FCD"/>
    <w:rsid w:val="00E365E1"/>
    <w:rsid w:val="00E820A4"/>
    <w:rsid w:val="00EB006A"/>
    <w:rsid w:val="00EB4772"/>
    <w:rsid w:val="00ED169E"/>
    <w:rsid w:val="00ED4235"/>
    <w:rsid w:val="00F04346"/>
    <w:rsid w:val="00F075DC"/>
    <w:rsid w:val="00F149E9"/>
    <w:rsid w:val="00F5134D"/>
    <w:rsid w:val="00F657B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4D707"/>
  <w15:chartTrackingRefBased/>
  <w15:docId w15:val="{5107DA84-A48D-4BBD-97CF-3CBF711077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B048D0"/>
    <w:rPr>
      <w:b/>
    </w:rPr>
  </w:style>
  <w:style w:type="paragraph" w:customStyle="1" w:styleId="NormalHanging12a">
    <w:name w:val="NormalHanging12a"/>
    <w:basedOn w:val="Normal"/>
    <w:link w:val="NormalHanging12aChar"/>
    <w:rsid w:val="00B048D0"/>
    <w:pPr>
      <w:spacing w:after="240"/>
      <w:ind w:left="567" w:hanging="567"/>
    </w:pPr>
  </w:style>
  <w:style w:type="paragraph" w:customStyle="1" w:styleId="EPComma">
    <w:name w:val="EPComma"/>
    <w:basedOn w:val="Normal"/>
    <w:rsid w:val="00B048D0"/>
    <w:pPr>
      <w:spacing w:before="480" w:after="240"/>
    </w:pPr>
  </w:style>
  <w:style w:type="character" w:styleId="Hyperlink">
    <w:name w:val="Hyperlink"/>
    <w:basedOn w:val="DefaultParagraphFont"/>
    <w:uiPriority w:val="99"/>
    <w:unhideWhenUsed/>
    <w:rsid w:val="00B048D0"/>
    <w:rPr>
      <w:color w:val="0563C1" w:themeColor="hyperlink"/>
      <w:u w:val="single"/>
    </w:rPr>
  </w:style>
  <w:style w:type="character" w:styleId="Emphasis">
    <w:name w:val="Emphasis"/>
    <w:basedOn w:val="DefaultParagraphFont"/>
    <w:uiPriority w:val="20"/>
    <w:qFormat/>
    <w:rsid w:val="00B048D0"/>
    <w:rPr>
      <w:i/>
      <w:iCs/>
    </w:rPr>
  </w:style>
  <w:style w:type="character" w:customStyle="1" w:styleId="NormalHanging12aChar">
    <w:name w:val="NormalHanging12a Char"/>
    <w:basedOn w:val="DefaultParagraphFont"/>
    <w:link w:val="NormalHanging12a"/>
    <w:locked/>
    <w:rsid w:val="00B048D0"/>
    <w:rPr>
      <w:sz w:val="24"/>
      <w:lang w:val="el-GR"/>
    </w:rPr>
  </w:style>
  <w:style w:type="paragraph" w:styleId="ListParagraph">
    <w:name w:val="List Paragraph"/>
    <w:basedOn w:val="Normal"/>
    <w:uiPriority w:val="34"/>
    <w:qFormat/>
    <w:rsid w:val="00252BDC"/>
    <w:pPr>
      <w:ind w:left="720"/>
      <w:contextualSpacing/>
    </w:pPr>
  </w:style>
  <w:style w:type="paragraph" w:styleId="BalloonText">
    <w:name w:val="Balloon Text"/>
    <w:basedOn w:val="Normal"/>
    <w:link w:val="BalloonTextChar"/>
    <w:rsid w:val="00252BDC"/>
    <w:rPr>
      <w:rFonts w:ascii="Segoe UI" w:hAnsi="Segoe UI" w:cs="Segoe UI"/>
      <w:sz w:val="18"/>
      <w:szCs w:val="18"/>
    </w:rPr>
  </w:style>
  <w:style w:type="character" w:customStyle="1" w:styleId="BalloonTextChar">
    <w:name w:val="Balloon Text Char"/>
    <w:basedOn w:val="DefaultParagraphFont"/>
    <w:link w:val="BalloonText"/>
    <w:rsid w:val="00252BDC"/>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apps.who.int/iris/bitstream/handle/10665/353747/9789289057738-e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6BB3E6-E608-4DBD-B72F-1A7F25EC2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4728</Words>
  <Characters>28205</Characters>
  <Application>Microsoft Office Word</Application>
  <DocSecurity>0</DocSecurity>
  <Lines>235</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dc:creator>
  <cp:keywords/>
  <cp:lastModifiedBy>KOLOKYTHIA Amalia </cp:lastModifiedBy>
  <cp:revision>2</cp:revision>
  <cp:lastPrinted>2004-11-19T15:42:00Z</cp:lastPrinted>
  <dcterms:created xsi:type="dcterms:W3CDTF">2024-01-18T11:41:00Z</dcterms:created>
  <dcterms:modified xsi:type="dcterms:W3CDTF">2024-01-18T11:41:00Z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A9-0416/2023</vt:lpwstr>
  </property>
  <property fmtid="{D5CDD505-2E9C-101B-9397-08002B2CF9AE}" pid="4" name="&lt;Type&gt;">
    <vt:lpwstr>RR</vt:lpwstr>
  </property>
</Properties>
</file>