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2DF" w:rsidTr="0010095E">
        <w:trPr>
          <w:trHeight w:hRule="exact" w:val="1418"/>
        </w:trPr>
        <w:tc>
          <w:tcPr>
            <w:tcW w:w="6804" w:type="dxa"/>
            <w:shd w:val="clear" w:color="auto" w:fill="auto"/>
            <w:vAlign w:val="center"/>
          </w:tcPr>
          <w:p w:rsidR="00751A4A" w:rsidRPr="009042DF" w:rsidRDefault="009E1886" w:rsidP="0010095E">
            <w:pPr>
              <w:pStyle w:val="EPName"/>
            </w:pPr>
            <w:r w:rsidRPr="009042DF">
              <w:t>Euroopa Parlament</w:t>
            </w:r>
          </w:p>
          <w:p w:rsidR="00751A4A" w:rsidRPr="009042DF" w:rsidRDefault="00817416" w:rsidP="00756632">
            <w:pPr>
              <w:pStyle w:val="EPTerm"/>
              <w:rPr>
                <w:rStyle w:val="HideTWBExt"/>
                <w:noProof w:val="0"/>
                <w:vanish w:val="0"/>
                <w:color w:val="auto"/>
              </w:rPr>
            </w:pPr>
            <w:r w:rsidRPr="009042DF">
              <w:t>2019-2024</w:t>
            </w:r>
          </w:p>
        </w:tc>
        <w:tc>
          <w:tcPr>
            <w:tcW w:w="2268" w:type="dxa"/>
            <w:shd w:val="clear" w:color="auto" w:fill="auto"/>
          </w:tcPr>
          <w:p w:rsidR="00751A4A" w:rsidRPr="009042DF" w:rsidRDefault="00187494" w:rsidP="0010095E">
            <w:pPr>
              <w:pStyle w:val="EPLogo"/>
            </w:pPr>
            <w:r w:rsidRPr="009042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42DF" w:rsidRDefault="00D058B8" w:rsidP="004C5D52">
      <w:pPr>
        <w:pStyle w:val="LineTop"/>
      </w:pPr>
    </w:p>
    <w:p w:rsidR="00680577" w:rsidRPr="009042DF" w:rsidRDefault="009E1886" w:rsidP="00680577">
      <w:pPr>
        <w:pStyle w:val="EPBodyTA1"/>
      </w:pPr>
      <w:r w:rsidRPr="009042DF">
        <w:t>VASTUVÕETUD TEKSTID</w:t>
      </w:r>
    </w:p>
    <w:p w:rsidR="00D058B8" w:rsidRPr="009042DF" w:rsidRDefault="00D058B8" w:rsidP="00D058B8">
      <w:pPr>
        <w:pStyle w:val="LineBottom"/>
      </w:pPr>
    </w:p>
    <w:p w:rsidR="009E1886" w:rsidRPr="009042DF" w:rsidRDefault="009E1886" w:rsidP="009E1886">
      <w:pPr>
        <w:pStyle w:val="ATHeading1"/>
      </w:pPr>
      <w:bookmarkStart w:id="0" w:name="TANumber"/>
      <w:r w:rsidRPr="009042DF">
        <w:t>P9_TA(2024)00</w:t>
      </w:r>
      <w:r w:rsidR="00B1023F" w:rsidRPr="009042DF">
        <w:t>4</w:t>
      </w:r>
      <w:r w:rsidRPr="009042DF">
        <w:t>0</w:t>
      </w:r>
      <w:bookmarkEnd w:id="0"/>
    </w:p>
    <w:p w:rsidR="009E1886" w:rsidRPr="009042DF" w:rsidRDefault="009E1886" w:rsidP="009E1886">
      <w:pPr>
        <w:pStyle w:val="ATHeading2"/>
      </w:pPr>
      <w:bookmarkStart w:id="1" w:name="title"/>
      <w:r w:rsidRPr="009042DF">
        <w:t>Määruse (EÜ) nr 1924/2006 (mis käsitleb toidu kohta esitatavaid toitumis- ja tervisealaseid väiteid) rakendamisaruanne</w:t>
      </w:r>
      <w:bookmarkEnd w:id="1"/>
    </w:p>
    <w:p w:rsidR="009E1886" w:rsidRPr="009042DF" w:rsidRDefault="009E1886" w:rsidP="009E1886">
      <w:pPr>
        <w:rPr>
          <w:i/>
          <w:vanish/>
        </w:rPr>
      </w:pPr>
      <w:r w:rsidRPr="009042DF">
        <w:rPr>
          <w:i/>
        </w:rPr>
        <w:fldChar w:fldCharType="begin"/>
      </w:r>
      <w:r w:rsidRPr="009042DF">
        <w:rPr>
          <w:i/>
        </w:rPr>
        <w:instrText xml:space="preserve"> TC"(</w:instrText>
      </w:r>
      <w:bookmarkStart w:id="2" w:name="DocNumber"/>
      <w:r w:rsidRPr="009042DF">
        <w:rPr>
          <w:i/>
        </w:rPr>
        <w:instrText>A9-0416/2023</w:instrText>
      </w:r>
      <w:bookmarkEnd w:id="2"/>
      <w:r w:rsidRPr="009042DF">
        <w:rPr>
          <w:i/>
        </w:rPr>
        <w:instrText xml:space="preserve"> - Raportöör: Tilly Metz)"\l3 \n&gt; \* MERGEFORMAT </w:instrText>
      </w:r>
      <w:r w:rsidRPr="009042DF">
        <w:rPr>
          <w:i/>
        </w:rPr>
        <w:fldChar w:fldCharType="end"/>
      </w:r>
    </w:p>
    <w:p w:rsidR="009E1886" w:rsidRPr="009042DF" w:rsidRDefault="009E1886" w:rsidP="009E1886">
      <w:pPr>
        <w:rPr>
          <w:vanish/>
        </w:rPr>
      </w:pPr>
      <w:bookmarkStart w:id="3" w:name="Commission"/>
      <w:r w:rsidRPr="009042DF">
        <w:rPr>
          <w:vanish/>
        </w:rPr>
        <w:t>Istungidokument</w:t>
      </w:r>
      <w:bookmarkEnd w:id="3"/>
    </w:p>
    <w:p w:rsidR="009E1886" w:rsidRPr="009042DF" w:rsidRDefault="009E1886" w:rsidP="009E1886">
      <w:pPr>
        <w:rPr>
          <w:vanish/>
        </w:rPr>
      </w:pPr>
      <w:bookmarkStart w:id="4" w:name="PE"/>
      <w:r w:rsidRPr="009042DF">
        <w:rPr>
          <w:vanish/>
        </w:rPr>
        <w:t>PE753.549</w:t>
      </w:r>
      <w:bookmarkEnd w:id="4"/>
    </w:p>
    <w:p w:rsidR="009E1886" w:rsidRPr="009042DF" w:rsidRDefault="00E76A11" w:rsidP="00E76A11">
      <w:pPr>
        <w:pStyle w:val="ATHeading3"/>
      </w:pPr>
      <w:bookmarkStart w:id="5" w:name="Sujet"/>
      <w:r w:rsidRPr="009042DF">
        <w:t>Euroopa Parlamendi 18</w:t>
      </w:r>
      <w:r w:rsidR="009E1886" w:rsidRPr="009042DF">
        <w:t>.</w:t>
      </w:r>
      <w:r w:rsidRPr="009042DF">
        <w:t> jaanuari 2024. aasta resolutsioon määruse (EÜ) nr </w:t>
      </w:r>
      <w:r w:rsidR="009E1886" w:rsidRPr="009042DF">
        <w:t>1924/2006 (toidu kohta esitatavate toitumis- ja tervisealaste väidete kohta) rakendamise kohta</w:t>
      </w:r>
      <w:bookmarkEnd w:id="5"/>
      <w:r w:rsidR="009E1886" w:rsidRPr="009042DF">
        <w:t xml:space="preserve"> </w:t>
      </w:r>
      <w:bookmarkStart w:id="6" w:name="References"/>
      <w:r w:rsidR="009E1886" w:rsidRPr="009042DF">
        <w:t>(2023/2081(INI))</w:t>
      </w:r>
      <w:bookmarkEnd w:id="6"/>
    </w:p>
    <w:p w:rsidR="00AC158D" w:rsidRPr="009042DF" w:rsidRDefault="00AC158D" w:rsidP="00AC158D">
      <w:pPr>
        <w:pStyle w:val="EPComma"/>
      </w:pPr>
      <w:bookmarkStart w:id="7" w:name="TextBodyBegin"/>
      <w:bookmarkEnd w:id="7"/>
      <w:r w:rsidRPr="009042DF">
        <w:rPr>
          <w:i/>
        </w:rPr>
        <w:t>Euroopa Parlament</w:t>
      </w:r>
      <w:r w:rsidRPr="009042DF">
        <w:t>,</w:t>
      </w:r>
    </w:p>
    <w:p w:rsidR="00AC158D" w:rsidRPr="009042DF" w:rsidRDefault="00AC158D" w:rsidP="00AC158D">
      <w:pPr>
        <w:pStyle w:val="NormalHanging12a"/>
      </w:pPr>
      <w:r w:rsidRPr="009042DF">
        <w:t>–</w:t>
      </w:r>
      <w:r w:rsidRPr="009042DF">
        <w:tab/>
        <w:t xml:space="preserve">võttes arvesse </w:t>
      </w:r>
      <w:r w:rsidR="00D94B94">
        <w:t xml:space="preserve">Euroopa </w:t>
      </w:r>
      <w:r w:rsidRPr="009042DF">
        <w:t>Liidu toi</w:t>
      </w:r>
      <w:r w:rsidR="00E76A11" w:rsidRPr="009042DF">
        <w:t>mimise lepingu artikleid 168 ja </w:t>
      </w:r>
      <w:r w:rsidRPr="009042DF">
        <w:t>169,</w:t>
      </w:r>
    </w:p>
    <w:p w:rsidR="00AC158D" w:rsidRPr="009042DF" w:rsidRDefault="00AC158D" w:rsidP="00AC158D">
      <w:pPr>
        <w:pStyle w:val="NormalHanging12a"/>
        <w:rPr>
          <w:szCs w:val="24"/>
        </w:rPr>
      </w:pPr>
      <w:r w:rsidRPr="009042DF">
        <w:t>–</w:t>
      </w:r>
      <w:r w:rsidRPr="009042DF">
        <w:rPr>
          <w:color w:val="000000"/>
        </w:rPr>
        <w:tab/>
        <w:t>võttes arvesse Euroopa Parlamendi ja nõukogu 20. detsembri 2006. aasta määrust (EÜ) nr 1924/2006 toidu kohta esitatavate toitumis- ja tervisealaste väidete kohta</w:t>
      </w:r>
      <w:r w:rsidRPr="009042DF">
        <w:rPr>
          <w:rStyle w:val="FootnoteReference"/>
          <w:bCs/>
          <w:color w:val="000000"/>
          <w:szCs w:val="24"/>
        </w:rPr>
        <w:footnoteReference w:id="1"/>
      </w:r>
      <w:r w:rsidRPr="009042DF">
        <w:rPr>
          <w:color w:val="000000"/>
        </w:rPr>
        <w:t>,</w:t>
      </w:r>
    </w:p>
    <w:p w:rsidR="00AC158D" w:rsidRPr="009042DF" w:rsidRDefault="00AC158D" w:rsidP="00AC158D">
      <w:pPr>
        <w:pStyle w:val="NormalHanging12a"/>
      </w:pPr>
      <w:r w:rsidRPr="009042DF">
        <w:t>–</w:t>
      </w:r>
      <w:r w:rsidRPr="009042DF">
        <w:tab/>
        <w:t>võttes arvesse Euroopa Parlamendi ja nõukogu 28. ja</w:t>
      </w:r>
      <w:r w:rsidR="00E76A11" w:rsidRPr="009042DF">
        <w:t>anuari 2002. aasta määrust (EÜ) </w:t>
      </w:r>
      <w:r w:rsidRPr="009042DF">
        <w:t>nr 178/2002, millega sätestatakse toidualaste õigusnormide üldised põhimõtted ja nõuded, asutatakse Euroopa Toiduohutusamet ja kehtestatakse toidu ohutusega seotud menetlused</w:t>
      </w:r>
      <w:r w:rsidRPr="009042DF">
        <w:rPr>
          <w:rStyle w:val="FootnoteReference"/>
          <w:bCs/>
          <w:color w:val="000000"/>
          <w:szCs w:val="24"/>
        </w:rPr>
        <w:footnoteReference w:id="2"/>
      </w:r>
      <w:r w:rsidRPr="009042DF">
        <w:t>,</w:t>
      </w:r>
    </w:p>
    <w:p w:rsidR="00AC158D" w:rsidRPr="009042DF" w:rsidRDefault="00AC158D" w:rsidP="00AC158D">
      <w:pPr>
        <w:pStyle w:val="NormalHanging12a"/>
        <w:rPr>
          <w:szCs w:val="24"/>
        </w:rPr>
      </w:pPr>
      <w:r w:rsidRPr="009042DF">
        <w:t>–</w:t>
      </w:r>
      <w:r w:rsidRPr="009042DF">
        <w:rPr>
          <w:color w:val="000000"/>
        </w:rPr>
        <w:tab/>
        <w:t>võttes arvesse Euroopa Parlamendi ja nõukogu 25. ok</w:t>
      </w:r>
      <w:r w:rsidR="00E76A11" w:rsidRPr="009042DF">
        <w:rPr>
          <w:color w:val="000000"/>
        </w:rPr>
        <w:t>toobri 2011. aasta määrust (EL) </w:t>
      </w:r>
      <w:r w:rsidRPr="009042DF">
        <w:rPr>
          <w:color w:val="000000"/>
        </w:rPr>
        <w:t>nr 1169/2011, milles käsitletakse toidualase teabe esitamist tarbijatele ning millega muudetakse Euroopa Par</w:t>
      </w:r>
      <w:r w:rsidR="00E76A11" w:rsidRPr="009042DF">
        <w:rPr>
          <w:color w:val="000000"/>
        </w:rPr>
        <w:t>lamendi ja nõukogu määrusi (EÜ) nr 1924/2006 ja (EÜ) </w:t>
      </w:r>
      <w:r w:rsidRPr="009042DF">
        <w:rPr>
          <w:color w:val="000000"/>
        </w:rPr>
        <w:t>nr 1925/2006 ning tunnistataks</w:t>
      </w:r>
      <w:r w:rsidR="00E76A11" w:rsidRPr="009042DF">
        <w:rPr>
          <w:color w:val="000000"/>
        </w:rPr>
        <w:t xml:space="preserve">e kehtetuks komisjoni direktiiv 87/250/EMÜ, nõukogu direktiiv 90/496/EMÜ, komisjoni direktiiv </w:t>
      </w:r>
      <w:r w:rsidRPr="009042DF">
        <w:rPr>
          <w:color w:val="000000"/>
        </w:rPr>
        <w:t xml:space="preserve">1999/10/EÜ, Euroopa </w:t>
      </w:r>
      <w:r w:rsidR="00E76A11" w:rsidRPr="009042DF">
        <w:rPr>
          <w:color w:val="000000"/>
        </w:rPr>
        <w:t xml:space="preserve">Parlamendi ja nõukogu direktiiv </w:t>
      </w:r>
      <w:r w:rsidRPr="009042DF">
        <w:rPr>
          <w:color w:val="000000"/>
        </w:rPr>
        <w:t>20</w:t>
      </w:r>
      <w:r w:rsidR="00E76A11" w:rsidRPr="009042DF">
        <w:rPr>
          <w:color w:val="000000"/>
        </w:rPr>
        <w:t xml:space="preserve">00/13/EÜ, komisjoni direktiivid </w:t>
      </w:r>
      <w:r w:rsidRPr="009042DF">
        <w:rPr>
          <w:color w:val="000000"/>
        </w:rPr>
        <w:t>2002/67/EÜ ja 2008/</w:t>
      </w:r>
      <w:r w:rsidR="00E76A11" w:rsidRPr="009042DF">
        <w:rPr>
          <w:color w:val="000000"/>
        </w:rPr>
        <w:t>5/EÜ ning komisjoni määrus (EÜ) </w:t>
      </w:r>
      <w:r w:rsidRPr="009042DF">
        <w:rPr>
          <w:color w:val="000000"/>
        </w:rPr>
        <w:t>nr 608/2004</w:t>
      </w:r>
      <w:r w:rsidRPr="009042DF">
        <w:rPr>
          <w:rStyle w:val="FootnoteReference"/>
          <w:bCs/>
          <w:color w:val="000000"/>
          <w:szCs w:val="24"/>
        </w:rPr>
        <w:footnoteReference w:id="3"/>
      </w:r>
      <w:r w:rsidRPr="009042DF">
        <w:rPr>
          <w:color w:val="000000"/>
        </w:rPr>
        <w:t>,</w:t>
      </w:r>
    </w:p>
    <w:p w:rsidR="00AC158D" w:rsidRPr="009042DF" w:rsidRDefault="00AC158D" w:rsidP="00AC158D">
      <w:pPr>
        <w:pStyle w:val="NormalHanging12a"/>
        <w:rPr>
          <w:szCs w:val="24"/>
        </w:rPr>
      </w:pPr>
      <w:r w:rsidRPr="009042DF">
        <w:t>–</w:t>
      </w:r>
      <w:r w:rsidRPr="009042DF">
        <w:rPr>
          <w:color w:val="000000"/>
        </w:rPr>
        <w:tab/>
        <w:t>võttes arvesse Euroopa Parlamendi ja nõukogu 1</w:t>
      </w:r>
      <w:r w:rsidR="00E76A11" w:rsidRPr="009042DF">
        <w:rPr>
          <w:color w:val="000000"/>
        </w:rPr>
        <w:t xml:space="preserve">0. juuni 2002. aasta direktiivi </w:t>
      </w:r>
      <w:r w:rsidRPr="009042DF">
        <w:rPr>
          <w:color w:val="000000"/>
        </w:rPr>
        <w:t>2002/46/EÜ toidulisandeid käsitlevate liikmesriikide õigusaktide ühtlustamise kohta</w:t>
      </w:r>
      <w:r w:rsidRPr="009042DF">
        <w:rPr>
          <w:rStyle w:val="FootnoteReference"/>
          <w:bCs/>
          <w:color w:val="000000"/>
          <w:szCs w:val="24"/>
        </w:rPr>
        <w:footnoteReference w:id="4"/>
      </w:r>
      <w:r w:rsidRPr="009042DF">
        <w:rPr>
          <w:color w:val="000000"/>
        </w:rPr>
        <w:t>,</w:t>
      </w:r>
    </w:p>
    <w:p w:rsidR="00AC158D" w:rsidRPr="009042DF" w:rsidRDefault="00AC158D" w:rsidP="00AC158D">
      <w:pPr>
        <w:pStyle w:val="NormalHanging12a"/>
        <w:rPr>
          <w:szCs w:val="24"/>
        </w:rPr>
      </w:pPr>
      <w:r w:rsidRPr="009042DF">
        <w:t>–</w:t>
      </w:r>
      <w:r w:rsidRPr="009042DF">
        <w:rPr>
          <w:color w:val="000000"/>
        </w:rPr>
        <w:tab/>
        <w:t>võttes arvesse Euroopa Parlamendi ja nõukogu 20. detsembri 2006. aasta määrust (EÜ) nr 1925/2006 vitamiinide, mineraaltoitainete ja teatud muude ainete toidule lisamise kohta</w:t>
      </w:r>
      <w:r w:rsidRPr="009042DF">
        <w:rPr>
          <w:rStyle w:val="FootnoteReference"/>
          <w:bCs/>
          <w:color w:val="000000"/>
          <w:szCs w:val="24"/>
        </w:rPr>
        <w:footnoteReference w:id="5"/>
      </w:r>
      <w:r w:rsidRPr="009042DF">
        <w:rPr>
          <w:color w:val="000000"/>
        </w:rPr>
        <w:t>,</w:t>
      </w:r>
    </w:p>
    <w:p w:rsidR="00AC158D" w:rsidRPr="009042DF" w:rsidRDefault="00AC158D" w:rsidP="00AC158D">
      <w:pPr>
        <w:pStyle w:val="NormalHanging12a"/>
        <w:rPr>
          <w:bCs/>
          <w:color w:val="000000"/>
          <w:szCs w:val="24"/>
        </w:rPr>
      </w:pPr>
      <w:r w:rsidRPr="009042DF">
        <w:lastRenderedPageBreak/>
        <w:t>–</w:t>
      </w:r>
      <w:r w:rsidRPr="009042DF">
        <w:rPr>
          <w:color w:val="000000"/>
        </w:rPr>
        <w:tab/>
        <w:t>võttes arvesse Euroopa Parlamendi ja nõukogu 12. juuni 2013. aasta määrust (EL) nr 609/2013 imikute ja väikelaste toidu, meditsiinilisel näidustusel kasutamiseks ettenähtud toidu ning kehakaalu alandamiseks ettenähtud päevase toidu asendajate kohta, millega tunnistatakse kehtetu</w:t>
      </w:r>
      <w:r w:rsidR="00E76A11" w:rsidRPr="009042DF">
        <w:rPr>
          <w:color w:val="000000"/>
        </w:rPr>
        <w:t xml:space="preserve">ks nõukogu direktiiv </w:t>
      </w:r>
      <w:r w:rsidRPr="009042DF">
        <w:rPr>
          <w:color w:val="000000"/>
        </w:rPr>
        <w:t>9</w:t>
      </w:r>
      <w:r w:rsidR="00E76A11" w:rsidRPr="009042DF">
        <w:rPr>
          <w:color w:val="000000"/>
        </w:rPr>
        <w:t xml:space="preserve">2/52/EMÜ, komisjoni direktiivid </w:t>
      </w:r>
      <w:r w:rsidRPr="009042DF">
        <w:rPr>
          <w:color w:val="000000"/>
        </w:rPr>
        <w:t xml:space="preserve">96/8/EÜ, 1999/21/EÜ, 2006/125/EÜ ja 2006/141/EÜ, Euroopa </w:t>
      </w:r>
      <w:r w:rsidR="00E76A11" w:rsidRPr="009042DF">
        <w:rPr>
          <w:color w:val="000000"/>
        </w:rPr>
        <w:t xml:space="preserve">Parlamendi ja nõukogu direktiiv </w:t>
      </w:r>
      <w:r w:rsidRPr="009042DF">
        <w:rPr>
          <w:color w:val="000000"/>
        </w:rPr>
        <w:t>2009/39/EÜ ning komisjoni määrused (EÜ) nr 41/2009 ja (EÜ) nr 953/2009</w:t>
      </w:r>
      <w:r w:rsidRPr="009042DF">
        <w:rPr>
          <w:rStyle w:val="FootnoteReference"/>
          <w:bCs/>
          <w:color w:val="000000"/>
          <w:szCs w:val="24"/>
        </w:rPr>
        <w:footnoteReference w:id="6"/>
      </w:r>
      <w:r w:rsidRPr="009042DF">
        <w:rPr>
          <w:color w:val="000000"/>
        </w:rPr>
        <w:t>,</w:t>
      </w:r>
    </w:p>
    <w:p w:rsidR="00AC158D" w:rsidRPr="009042DF" w:rsidRDefault="00AC158D" w:rsidP="00AC158D">
      <w:pPr>
        <w:pStyle w:val="NormalHanging12a"/>
        <w:rPr>
          <w:szCs w:val="24"/>
        </w:rPr>
      </w:pPr>
      <w:r w:rsidRPr="009042DF">
        <w:t>–</w:t>
      </w:r>
      <w:r w:rsidRPr="009042DF">
        <w:rPr>
          <w:b/>
          <w:i/>
        </w:rPr>
        <w:tab/>
      </w:r>
      <w:r w:rsidR="00E76A11" w:rsidRPr="009042DF">
        <w:t xml:space="preserve">võttes arvesse Euroopa </w:t>
      </w:r>
      <w:r w:rsidRPr="009042DF">
        <w:t>Parlamendi ja nõukogu 1</w:t>
      </w:r>
      <w:r w:rsidR="00E76A11" w:rsidRPr="009042DF">
        <w:t xml:space="preserve">9. oktoobri 2022. aasta määrust </w:t>
      </w:r>
      <w:r w:rsidRPr="009042DF">
        <w:t xml:space="preserve">(EL) 2022/2065, mis käsitleb </w:t>
      </w:r>
      <w:proofErr w:type="spellStart"/>
      <w:r w:rsidRPr="009042DF">
        <w:t>digiteenuste</w:t>
      </w:r>
      <w:proofErr w:type="spellEnd"/>
      <w:r w:rsidRPr="009042DF">
        <w:t xml:space="preserve"> ühtset turgu j</w:t>
      </w:r>
      <w:r w:rsidR="00E76A11" w:rsidRPr="009042DF">
        <w:t xml:space="preserve">a millega muudetakse direktiivi </w:t>
      </w:r>
      <w:r w:rsidRPr="009042DF">
        <w:t>2000/31/EÜ (</w:t>
      </w:r>
      <w:proofErr w:type="spellStart"/>
      <w:r w:rsidRPr="009042DF">
        <w:t>digiteenuste</w:t>
      </w:r>
      <w:proofErr w:type="spellEnd"/>
      <w:r w:rsidRPr="009042DF">
        <w:t xml:space="preserve"> määrus)</w:t>
      </w:r>
      <w:r w:rsidRPr="009042DF">
        <w:rPr>
          <w:rStyle w:val="FootnoteReference"/>
          <w:szCs w:val="24"/>
        </w:rPr>
        <w:footnoteReference w:id="7"/>
      </w:r>
      <w:r w:rsidRPr="009042DF">
        <w:t xml:space="preserve">, </w:t>
      </w:r>
    </w:p>
    <w:p w:rsidR="00AC158D" w:rsidRPr="009042DF" w:rsidRDefault="00AC158D" w:rsidP="00AC158D">
      <w:pPr>
        <w:pStyle w:val="NormalHanging12a"/>
        <w:rPr>
          <w:szCs w:val="24"/>
        </w:rPr>
      </w:pPr>
      <w:r w:rsidRPr="009042DF">
        <w:t>–</w:t>
      </w:r>
      <w:r w:rsidRPr="009042DF">
        <w:tab/>
        <w:t>võttes arvesse Euroopa Parlamendi ja nõukogu</w:t>
      </w:r>
      <w:r w:rsidR="00E76A11" w:rsidRPr="009042DF">
        <w:t xml:space="preserve"> 24. märtsi 2021. aasta määrust </w:t>
      </w:r>
      <w:r w:rsidRPr="009042DF">
        <w:t>(EL) 2021/522, millega luuakse liidu tervisevaldkonna tegevusprogramm (programm „E</w:t>
      </w:r>
      <w:r w:rsidR="00E76A11" w:rsidRPr="009042DF">
        <w:t xml:space="preserve">L tervise heaks“) ajavahemikuks </w:t>
      </w:r>
      <w:r w:rsidRPr="009042DF">
        <w:t>2021–2027 ja</w:t>
      </w:r>
      <w:r w:rsidR="00E76A11" w:rsidRPr="009042DF">
        <w:t xml:space="preserve"> tunnistatakse kehtetuks määrus </w:t>
      </w:r>
      <w:r w:rsidRPr="009042DF">
        <w:t>(EL) nr 282/2014</w:t>
      </w:r>
      <w:r w:rsidRPr="009042DF">
        <w:rPr>
          <w:rStyle w:val="FootnoteReference"/>
          <w:szCs w:val="24"/>
        </w:rPr>
        <w:footnoteReference w:id="8"/>
      </w:r>
      <w:r w:rsidRPr="009042DF">
        <w:t>,</w:t>
      </w:r>
    </w:p>
    <w:p w:rsidR="00AC158D" w:rsidRPr="009042DF" w:rsidRDefault="00AC158D" w:rsidP="00AC158D">
      <w:pPr>
        <w:pStyle w:val="NormalHanging12a"/>
        <w:rPr>
          <w:bCs/>
          <w:color w:val="000000"/>
          <w:szCs w:val="24"/>
        </w:rPr>
      </w:pPr>
      <w:r w:rsidRPr="009042DF">
        <w:t>–</w:t>
      </w:r>
      <w:r w:rsidRPr="009042DF">
        <w:rPr>
          <w:color w:val="000000"/>
        </w:rPr>
        <w:tab/>
        <w:t>võttes arvesse oma 20. oktoobri 2021. aasta resolutsiooni strateegia „Talust taldrikule“ kohta õiglase, tervisliku ja keskkonnahoidliku toidusüsteemi edendamiseks</w:t>
      </w:r>
      <w:r w:rsidRPr="009042DF">
        <w:rPr>
          <w:rStyle w:val="FootnoteReference"/>
          <w:bCs/>
          <w:color w:val="000000"/>
          <w:szCs w:val="24"/>
        </w:rPr>
        <w:footnoteReference w:id="9"/>
      </w:r>
      <w:r w:rsidRPr="009042DF">
        <w:rPr>
          <w:color w:val="000000"/>
        </w:rPr>
        <w:t>,</w:t>
      </w:r>
    </w:p>
    <w:p w:rsidR="00AC158D" w:rsidRPr="009042DF" w:rsidRDefault="00AC158D" w:rsidP="00AC158D">
      <w:pPr>
        <w:pStyle w:val="NormalHanging12a"/>
        <w:rPr>
          <w:szCs w:val="24"/>
        </w:rPr>
      </w:pPr>
      <w:r w:rsidRPr="009042DF">
        <w:t>–</w:t>
      </w:r>
      <w:r w:rsidRPr="009042DF">
        <w:rPr>
          <w:color w:val="000000"/>
        </w:rPr>
        <w:tab/>
        <w:t>võttes arvesse komisjoni 20. mai 2020. aasta teatist „Strateegia „Talust taldrikule“ õiglase, tervisliku ja keskkonnahoidliku toidusüsteemi edendamiseks“ (COM(2020)0381),</w:t>
      </w:r>
    </w:p>
    <w:p w:rsidR="00AC158D" w:rsidRPr="009042DF" w:rsidRDefault="00AC158D" w:rsidP="00AC158D">
      <w:pPr>
        <w:pStyle w:val="NormalHanging12a"/>
        <w:rPr>
          <w:bCs/>
          <w:color w:val="000000"/>
          <w:szCs w:val="24"/>
        </w:rPr>
      </w:pPr>
      <w:r w:rsidRPr="009042DF">
        <w:t>–</w:t>
      </w:r>
      <w:r w:rsidRPr="009042DF">
        <w:rPr>
          <w:color w:val="000000"/>
        </w:rPr>
        <w:tab/>
        <w:t>võttes arvesse komisjoni talituste 20. mai 2020. aasta töödokumenti „Hindamisaruande kommenteeritud kokkuvõte Euroopa Parlamendi ja nõukogu määruse (EÜ) nr 1924/2006 (mis käsitleb toidu kohta esitatavaid toitumis- ja tervisealaseid väiteid) kohta seoses toitainelise koostise ning tervisealaste väidetega, mida esitatakse taimede ja neid sisaldatavate valmististe kohta, ning taimede ja nende toidus kasutamise üldine õigusraamistik“ (SWD(2020)0096),</w:t>
      </w:r>
    </w:p>
    <w:p w:rsidR="00AC158D" w:rsidRPr="009042DF" w:rsidRDefault="00AC158D" w:rsidP="00AC158D">
      <w:pPr>
        <w:pStyle w:val="NormalHanging12a"/>
        <w:rPr>
          <w:szCs w:val="24"/>
        </w:rPr>
      </w:pPr>
      <w:r w:rsidRPr="009042DF">
        <w:t>–</w:t>
      </w:r>
      <w:r w:rsidRPr="009042DF">
        <w:rPr>
          <w:b/>
          <w:i/>
        </w:rPr>
        <w:tab/>
      </w:r>
      <w:r w:rsidRPr="009042DF">
        <w:t>võttes arvesse Euroopa Toiduohutusameti (EFSA) 15. detsembri 2021. aasta teaduslikku arvamust „</w:t>
      </w:r>
      <w:proofErr w:type="spellStart"/>
      <w:r w:rsidRPr="009042DF">
        <w:t>Tolerable</w:t>
      </w:r>
      <w:proofErr w:type="spellEnd"/>
      <w:r w:rsidRPr="009042DF">
        <w:t xml:space="preserve"> </w:t>
      </w:r>
      <w:proofErr w:type="spellStart"/>
      <w:r w:rsidRPr="009042DF">
        <w:t>upper</w:t>
      </w:r>
      <w:proofErr w:type="spellEnd"/>
      <w:r w:rsidRPr="009042DF">
        <w:t xml:space="preserve"> </w:t>
      </w:r>
      <w:proofErr w:type="spellStart"/>
      <w:r w:rsidRPr="009042DF">
        <w:t>intake</w:t>
      </w:r>
      <w:proofErr w:type="spellEnd"/>
      <w:r w:rsidRPr="009042DF">
        <w:t xml:space="preserve"> </w:t>
      </w:r>
      <w:proofErr w:type="spellStart"/>
      <w:r w:rsidRPr="009042DF">
        <w:t>level</w:t>
      </w:r>
      <w:proofErr w:type="spellEnd"/>
      <w:r w:rsidRPr="009042DF">
        <w:t xml:space="preserve"> </w:t>
      </w:r>
      <w:proofErr w:type="spellStart"/>
      <w:r w:rsidRPr="009042DF">
        <w:t>for</w:t>
      </w:r>
      <w:proofErr w:type="spellEnd"/>
      <w:r w:rsidRPr="009042DF">
        <w:t xml:space="preserve"> </w:t>
      </w:r>
      <w:proofErr w:type="spellStart"/>
      <w:r w:rsidRPr="009042DF">
        <w:t>dietary</w:t>
      </w:r>
      <w:proofErr w:type="spellEnd"/>
      <w:r w:rsidRPr="009042DF">
        <w:t xml:space="preserve"> </w:t>
      </w:r>
      <w:proofErr w:type="spellStart"/>
      <w:r w:rsidRPr="009042DF">
        <w:t>sugars</w:t>
      </w:r>
      <w:proofErr w:type="spellEnd"/>
      <w:r w:rsidRPr="009042DF">
        <w:t>“ (Toidusuhkrute lubatud päevadoos)</w:t>
      </w:r>
      <w:r w:rsidRPr="009042DF">
        <w:rPr>
          <w:rStyle w:val="FootnoteReference"/>
          <w:szCs w:val="24"/>
        </w:rPr>
        <w:footnoteReference w:id="10"/>
      </w:r>
      <w:r w:rsidRPr="009042DF">
        <w:t>,</w:t>
      </w:r>
    </w:p>
    <w:p w:rsidR="00AC158D" w:rsidRPr="009042DF" w:rsidRDefault="00AC158D" w:rsidP="00AC158D">
      <w:pPr>
        <w:pStyle w:val="NormalHanging12a"/>
        <w:rPr>
          <w:szCs w:val="24"/>
        </w:rPr>
      </w:pPr>
      <w:r w:rsidRPr="009042DF">
        <w:t>–</w:t>
      </w:r>
      <w:r w:rsidRPr="009042DF">
        <w:tab/>
        <w:t>võttes arvesse WHO 2022. aasta väljaannet „</w:t>
      </w:r>
      <w:proofErr w:type="spellStart"/>
      <w:r w:rsidRPr="009042DF">
        <w:t>Nutrition</w:t>
      </w:r>
      <w:proofErr w:type="spellEnd"/>
      <w:r w:rsidRPr="009042DF">
        <w:t xml:space="preserve"> </w:t>
      </w:r>
      <w:proofErr w:type="spellStart"/>
      <w:r w:rsidRPr="009042DF">
        <w:t>labelling</w:t>
      </w:r>
      <w:proofErr w:type="spellEnd"/>
      <w:r w:rsidRPr="009042DF">
        <w:t xml:space="preserve">: </w:t>
      </w:r>
      <w:proofErr w:type="spellStart"/>
      <w:r w:rsidRPr="009042DF">
        <w:t>policy</w:t>
      </w:r>
      <w:proofErr w:type="spellEnd"/>
      <w:r w:rsidRPr="009042DF">
        <w:t xml:space="preserve"> </w:t>
      </w:r>
      <w:proofErr w:type="spellStart"/>
      <w:r w:rsidRPr="009042DF">
        <w:t>brief</w:t>
      </w:r>
      <w:proofErr w:type="spellEnd"/>
      <w:r w:rsidRPr="009042DF">
        <w:t>“ (Toitumisalase teabe märgistus: poliitikaülevaade)</w:t>
      </w:r>
      <w:r w:rsidRPr="009042DF">
        <w:rPr>
          <w:rStyle w:val="FootnoteReference"/>
          <w:szCs w:val="24"/>
        </w:rPr>
        <w:footnoteReference w:id="11"/>
      </w:r>
      <w:r w:rsidRPr="009042DF">
        <w:t>,</w:t>
      </w:r>
    </w:p>
    <w:p w:rsidR="00AC158D" w:rsidRPr="009042DF" w:rsidRDefault="00AC158D" w:rsidP="00AC158D">
      <w:pPr>
        <w:pStyle w:val="NormalHanging12a"/>
        <w:rPr>
          <w:szCs w:val="24"/>
        </w:rPr>
      </w:pPr>
      <w:r w:rsidRPr="009042DF">
        <w:t>–</w:t>
      </w:r>
      <w:r w:rsidRPr="009042DF">
        <w:tab/>
        <w:t>võttes arvesse WHO 2019. aasta väljaannet „</w:t>
      </w:r>
      <w:proofErr w:type="spellStart"/>
      <w:r w:rsidRPr="009042DF">
        <w:t>Guiding</w:t>
      </w:r>
      <w:proofErr w:type="spellEnd"/>
      <w:r w:rsidRPr="009042DF">
        <w:t xml:space="preserve"> </w:t>
      </w:r>
      <w:proofErr w:type="spellStart"/>
      <w:r w:rsidRPr="009042DF">
        <w:t>principles</w:t>
      </w:r>
      <w:proofErr w:type="spellEnd"/>
      <w:r w:rsidRPr="009042DF">
        <w:t xml:space="preserve"> and </w:t>
      </w:r>
      <w:proofErr w:type="spellStart"/>
      <w:r w:rsidRPr="009042DF">
        <w:t>Framework</w:t>
      </w:r>
      <w:proofErr w:type="spellEnd"/>
      <w:r w:rsidRPr="009042DF">
        <w:t xml:space="preserve"> </w:t>
      </w:r>
      <w:proofErr w:type="spellStart"/>
      <w:r w:rsidRPr="009042DF">
        <w:t>Manual</w:t>
      </w:r>
      <w:proofErr w:type="spellEnd"/>
      <w:r w:rsidRPr="009042DF">
        <w:t xml:space="preserve"> </w:t>
      </w:r>
      <w:proofErr w:type="spellStart"/>
      <w:r w:rsidRPr="009042DF">
        <w:t>for</w:t>
      </w:r>
      <w:proofErr w:type="spellEnd"/>
      <w:r w:rsidRPr="009042DF">
        <w:t xml:space="preserve"> front-of-</w:t>
      </w:r>
      <w:proofErr w:type="spellStart"/>
      <w:r w:rsidRPr="009042DF">
        <w:t>pack</w:t>
      </w:r>
      <w:proofErr w:type="spellEnd"/>
      <w:r w:rsidRPr="009042DF">
        <w:t xml:space="preserve"> </w:t>
      </w:r>
      <w:proofErr w:type="spellStart"/>
      <w:r w:rsidRPr="009042DF">
        <w:t>label</w:t>
      </w:r>
      <w:proofErr w:type="spellEnd"/>
      <w:r w:rsidRPr="009042DF">
        <w:t xml:space="preserve"> </w:t>
      </w:r>
      <w:proofErr w:type="spellStart"/>
      <w:r w:rsidRPr="009042DF">
        <w:t>for</w:t>
      </w:r>
      <w:proofErr w:type="spellEnd"/>
      <w:r w:rsidRPr="009042DF">
        <w:t xml:space="preserve"> </w:t>
      </w:r>
      <w:proofErr w:type="spellStart"/>
      <w:r w:rsidRPr="009042DF">
        <w:t>promotion</w:t>
      </w:r>
      <w:proofErr w:type="spellEnd"/>
      <w:r w:rsidRPr="009042DF">
        <w:t xml:space="preserve"> </w:t>
      </w:r>
      <w:proofErr w:type="spellStart"/>
      <w:r w:rsidRPr="009042DF">
        <w:t>health</w:t>
      </w:r>
      <w:proofErr w:type="spellEnd"/>
      <w:r w:rsidRPr="009042DF">
        <w:t xml:space="preserve"> </w:t>
      </w:r>
      <w:proofErr w:type="spellStart"/>
      <w:r w:rsidRPr="009042DF">
        <w:t>diets</w:t>
      </w:r>
      <w:proofErr w:type="spellEnd"/>
      <w:r w:rsidRPr="009042DF">
        <w:t xml:space="preserve">“ (Juhtpõhimõtted ja raamjuhend </w:t>
      </w:r>
      <w:r w:rsidRPr="009042DF">
        <w:lastRenderedPageBreak/>
        <w:t>pakendi esiküljel esitatavaks märgistuseks, et edendada tervislikku toitumist)</w:t>
      </w:r>
      <w:r w:rsidRPr="009042DF">
        <w:rPr>
          <w:rStyle w:val="FootnoteReference"/>
          <w:szCs w:val="24"/>
        </w:rPr>
        <w:footnoteReference w:id="12"/>
      </w:r>
      <w:r w:rsidRPr="009042DF">
        <w:t>,</w:t>
      </w:r>
    </w:p>
    <w:p w:rsidR="00AC158D" w:rsidRPr="009042DF" w:rsidRDefault="00AC158D" w:rsidP="00AC158D">
      <w:pPr>
        <w:pStyle w:val="NormalHanging12a"/>
        <w:rPr>
          <w:szCs w:val="24"/>
        </w:rPr>
      </w:pPr>
      <w:r w:rsidRPr="009042DF">
        <w:t>–</w:t>
      </w:r>
      <w:r w:rsidRPr="009042DF">
        <w:tab/>
        <w:t xml:space="preserve">võttes arvesse kestliku arengu eesmärki nr 3 „tagada kõikidele vanuserühmadele hea tervis ja heaolu“. </w:t>
      </w:r>
    </w:p>
    <w:p w:rsidR="00AC158D" w:rsidRPr="009042DF" w:rsidRDefault="00AC158D" w:rsidP="00AC158D">
      <w:pPr>
        <w:pStyle w:val="NormalHanging12a"/>
        <w:rPr>
          <w:szCs w:val="24"/>
        </w:rPr>
      </w:pPr>
      <w:r w:rsidRPr="009042DF">
        <w:t>–</w:t>
      </w:r>
      <w:r w:rsidRPr="009042DF">
        <w:tab/>
        <w:t xml:space="preserve">võttes arvesse </w:t>
      </w:r>
      <w:proofErr w:type="spellStart"/>
      <w:r w:rsidRPr="009042DF">
        <w:t>UNICEFi</w:t>
      </w:r>
      <w:proofErr w:type="spellEnd"/>
      <w:r w:rsidRPr="009042DF">
        <w:t xml:space="preserve"> 2013. aasta detsembri väljaannet „</w:t>
      </w:r>
      <w:proofErr w:type="spellStart"/>
      <w:r w:rsidRPr="009042DF">
        <w:t>Children’s</w:t>
      </w:r>
      <w:proofErr w:type="spellEnd"/>
      <w:r w:rsidRPr="009042DF">
        <w:t xml:space="preserve"> </w:t>
      </w:r>
      <w:proofErr w:type="spellStart"/>
      <w:r w:rsidRPr="009042DF">
        <w:t>rights</w:t>
      </w:r>
      <w:proofErr w:type="spellEnd"/>
      <w:r w:rsidRPr="009042DF">
        <w:t xml:space="preserve"> in </w:t>
      </w:r>
      <w:proofErr w:type="spellStart"/>
      <w:r w:rsidRPr="009042DF">
        <w:t>impact</w:t>
      </w:r>
      <w:proofErr w:type="spellEnd"/>
      <w:r w:rsidRPr="009042DF">
        <w:t xml:space="preserve"> </w:t>
      </w:r>
      <w:proofErr w:type="spellStart"/>
      <w:r w:rsidRPr="009042DF">
        <w:t>assessments</w:t>
      </w:r>
      <w:proofErr w:type="spellEnd"/>
      <w:r w:rsidRPr="009042DF">
        <w:t xml:space="preserve"> – A </w:t>
      </w:r>
      <w:proofErr w:type="spellStart"/>
      <w:r w:rsidRPr="009042DF">
        <w:t>guide</w:t>
      </w:r>
      <w:proofErr w:type="spellEnd"/>
      <w:r w:rsidRPr="009042DF">
        <w:t xml:space="preserve"> </w:t>
      </w:r>
      <w:proofErr w:type="spellStart"/>
      <w:r w:rsidRPr="009042DF">
        <w:t>for</w:t>
      </w:r>
      <w:proofErr w:type="spellEnd"/>
      <w:r w:rsidRPr="009042DF">
        <w:t xml:space="preserve"> </w:t>
      </w:r>
      <w:proofErr w:type="spellStart"/>
      <w:r w:rsidRPr="009042DF">
        <w:t>integrating</w:t>
      </w:r>
      <w:proofErr w:type="spellEnd"/>
      <w:r w:rsidRPr="009042DF">
        <w:t xml:space="preserve"> </w:t>
      </w:r>
      <w:proofErr w:type="spellStart"/>
      <w:r w:rsidRPr="009042DF">
        <w:t>children’s</w:t>
      </w:r>
      <w:proofErr w:type="spellEnd"/>
      <w:r w:rsidRPr="009042DF">
        <w:t xml:space="preserve"> </w:t>
      </w:r>
      <w:proofErr w:type="spellStart"/>
      <w:r w:rsidRPr="009042DF">
        <w:t>rights</w:t>
      </w:r>
      <w:proofErr w:type="spellEnd"/>
      <w:r w:rsidRPr="009042DF">
        <w:t xml:space="preserve"> </w:t>
      </w:r>
      <w:proofErr w:type="spellStart"/>
      <w:r w:rsidRPr="009042DF">
        <w:t>into</w:t>
      </w:r>
      <w:proofErr w:type="spellEnd"/>
      <w:r w:rsidRPr="009042DF">
        <w:t xml:space="preserve"> </w:t>
      </w:r>
      <w:proofErr w:type="spellStart"/>
      <w:r w:rsidRPr="009042DF">
        <w:t>impact</w:t>
      </w:r>
      <w:proofErr w:type="spellEnd"/>
      <w:r w:rsidRPr="009042DF">
        <w:t xml:space="preserve"> </w:t>
      </w:r>
      <w:proofErr w:type="spellStart"/>
      <w:r w:rsidRPr="009042DF">
        <w:t>assessments</w:t>
      </w:r>
      <w:proofErr w:type="spellEnd"/>
      <w:r w:rsidRPr="009042DF">
        <w:t xml:space="preserve"> and </w:t>
      </w:r>
      <w:proofErr w:type="spellStart"/>
      <w:r w:rsidRPr="009042DF">
        <w:t>taking</w:t>
      </w:r>
      <w:proofErr w:type="spellEnd"/>
      <w:r w:rsidRPr="009042DF">
        <w:t xml:space="preserve"> </w:t>
      </w:r>
      <w:proofErr w:type="spellStart"/>
      <w:r w:rsidRPr="009042DF">
        <w:t>action</w:t>
      </w:r>
      <w:proofErr w:type="spellEnd"/>
      <w:r w:rsidRPr="009042DF">
        <w:t xml:space="preserve"> </w:t>
      </w:r>
      <w:proofErr w:type="spellStart"/>
      <w:r w:rsidRPr="009042DF">
        <w:t>for</w:t>
      </w:r>
      <w:proofErr w:type="spellEnd"/>
      <w:r w:rsidRPr="009042DF">
        <w:t xml:space="preserve"> </w:t>
      </w:r>
      <w:proofErr w:type="spellStart"/>
      <w:r w:rsidRPr="009042DF">
        <w:t>children</w:t>
      </w:r>
      <w:proofErr w:type="spellEnd"/>
      <w:r w:rsidRPr="009042DF">
        <w:t>“ (Lapse õigused mõjuhinnangutes – juhend lapse õiguste integreerimiseks mõjuhinnangutesse ja meetmete võtmine laste hüvanguks)</w:t>
      </w:r>
      <w:r w:rsidRPr="009042DF">
        <w:rPr>
          <w:rStyle w:val="FootnoteReference"/>
          <w:szCs w:val="24"/>
        </w:rPr>
        <w:footnoteReference w:id="13"/>
      </w:r>
      <w:r w:rsidRPr="009042DF">
        <w:t>,</w:t>
      </w:r>
    </w:p>
    <w:p w:rsidR="00AC158D" w:rsidRPr="009042DF" w:rsidRDefault="00AC158D" w:rsidP="00AC158D">
      <w:pPr>
        <w:pStyle w:val="NormalHanging12a"/>
        <w:rPr>
          <w:szCs w:val="24"/>
        </w:rPr>
      </w:pPr>
      <w:r w:rsidRPr="009042DF">
        <w:t>–</w:t>
      </w:r>
      <w:r w:rsidRPr="009042DF">
        <w:rPr>
          <w:color w:val="000000"/>
        </w:rPr>
        <w:tab/>
        <w:t>võttes arvesse kodukorra artiklit 54 ning esimeeste konverentsi 12. detsembri 2002. aasta otsuse (mis käsitleb algatusraportite koostamise loa andmise korda) artikli 1 punkti 1 alapunkti e ja 3. lisa,</w:t>
      </w:r>
    </w:p>
    <w:p w:rsidR="00AC158D" w:rsidRPr="009042DF" w:rsidRDefault="00AC158D" w:rsidP="00AC158D">
      <w:pPr>
        <w:pStyle w:val="NormalHanging12a"/>
        <w:rPr>
          <w:szCs w:val="24"/>
        </w:rPr>
      </w:pPr>
      <w:r w:rsidRPr="009042DF">
        <w:t>–</w:t>
      </w:r>
      <w:r w:rsidRPr="009042DF">
        <w:rPr>
          <w:color w:val="000000"/>
        </w:rPr>
        <w:tab/>
      </w:r>
      <w:r w:rsidRPr="009042DF">
        <w:t>võttes arvesse keskkonna-, rahvatervise ja toid</w:t>
      </w:r>
      <w:r w:rsidR="00E76A11" w:rsidRPr="009042DF">
        <w:t>uohutuse komisjoni raportit (A9</w:t>
      </w:r>
      <w:r w:rsidR="00E76A11" w:rsidRPr="009042DF">
        <w:noBreakHyphen/>
      </w:r>
      <w:r w:rsidRPr="009042DF">
        <w:t xml:space="preserve">0416/2023), </w:t>
      </w:r>
    </w:p>
    <w:p w:rsidR="00AC158D" w:rsidRPr="009042DF" w:rsidRDefault="00AC158D" w:rsidP="00AC158D">
      <w:pPr>
        <w:pStyle w:val="NormalHanging12a"/>
      </w:pPr>
      <w:r w:rsidRPr="009042DF">
        <w:rPr>
          <w:color w:val="000000"/>
        </w:rPr>
        <w:t>A.</w:t>
      </w:r>
      <w:r w:rsidRPr="009042DF">
        <w:rPr>
          <w:b/>
          <w:i/>
          <w:color w:val="000000"/>
        </w:rPr>
        <w:tab/>
      </w:r>
      <w:r w:rsidRPr="009042DF">
        <w:rPr>
          <w:color w:val="000000"/>
        </w:rPr>
        <w:t>arvestades, et määrus (EÜ) nr 1924/2006 (toitumis- ja tervisealaseid väiteid käsitlev määrus) võeti kasutusele eesmärgiga tagada tarbijakaitse kõrgeim võimalik tase ja hõlbustada tarbijate valikuid; arvestades, et toitumis- ja tervisealaseid väiteid käsitlevat määrust kohaldatakse toidu kohta esitatavate vabatahtlike toitumis- ja tervisealaste väidete suhtes kõigis kaubanduslikes teadaannetes, sealhulgas märgistuses ja reklaamis, samuti tervishoiutöötajatele edastatavates teadaannetes</w:t>
      </w:r>
      <w:r w:rsidRPr="009042DF">
        <w:rPr>
          <w:rStyle w:val="FootnoteReference"/>
          <w:color w:val="000000"/>
          <w:szCs w:val="24"/>
        </w:rPr>
        <w:footnoteReference w:id="14"/>
      </w:r>
      <w:r w:rsidRPr="009042DF">
        <w:rPr>
          <w:color w:val="000000"/>
        </w:rPr>
        <w:t>; arvestades, et pärast EFSA teaduslikku hindamist kiidab komisjon heaks tervisealased väited, mis põhinevad teaduslikel tõenditel ja on tarbijatele arusaadavad;</w:t>
      </w:r>
    </w:p>
    <w:p w:rsidR="00AC158D" w:rsidRPr="009042DF" w:rsidRDefault="00AC158D" w:rsidP="00AC158D">
      <w:pPr>
        <w:pStyle w:val="NormalHanging12a"/>
      </w:pPr>
      <w:r w:rsidRPr="009042DF">
        <w:t>B.</w:t>
      </w:r>
      <w:r w:rsidRPr="009042DF">
        <w:tab/>
        <w:t>arvestades, et väited võib liigitada tervisealasteks väideteks, riski vähendamise väideteks või laste arengule viitavateks väideteks; arvestades, et 2023. aasta juu</w:t>
      </w:r>
      <w:r w:rsidR="001557FC" w:rsidRPr="009042DF">
        <w:t>lis lubati ELis kasutada 269 </w:t>
      </w:r>
      <w:r w:rsidRPr="009042DF">
        <w:t>tervisealast väidet; arvestades, et toidu märgistamisel võib lubada laste arengule ja tervisele viitavaid väiteid kooskõlas toitumis- ja tervisealaseid väiteid käsitlevas määruses sätestatud menetluste ja nõuetega;</w:t>
      </w:r>
    </w:p>
    <w:p w:rsidR="00AC158D" w:rsidRPr="009042DF" w:rsidRDefault="00AC158D" w:rsidP="00AC158D">
      <w:pPr>
        <w:pStyle w:val="NormalHanging12a"/>
        <w:rPr>
          <w:color w:val="000000"/>
          <w:szCs w:val="24"/>
        </w:rPr>
      </w:pPr>
      <w:r w:rsidRPr="009042DF">
        <w:rPr>
          <w:color w:val="000000"/>
        </w:rPr>
        <w:t>C.</w:t>
      </w:r>
      <w:r w:rsidRPr="009042DF">
        <w:rPr>
          <w:color w:val="000000"/>
        </w:rPr>
        <w:tab/>
        <w:t>arvestades, et vähemalt 18 % ELi toidu- ja joogiturule sisenevatest uutest toodetest kannavad toitumis- või tervisealaseid väiteid, kusjuures hinnanguliselt veerand kõigist ELi turul kättesaadavatest toiduainetest kannab selliseid väiteid</w:t>
      </w:r>
      <w:r w:rsidRPr="009042DF">
        <w:rPr>
          <w:rStyle w:val="FootnoteReference"/>
          <w:color w:val="000000"/>
          <w:szCs w:val="24"/>
        </w:rPr>
        <w:footnoteReference w:id="15"/>
      </w:r>
      <w:r w:rsidRPr="009042DF">
        <w:rPr>
          <w:color w:val="000000"/>
        </w:rPr>
        <w:t xml:space="preserve">; arvestades, et toitumis- ja tervisealaseid väiteid käsitleva määruse põhjenduses 9 esitatud selgituse kohaselt võib tarbija väidete abil reklaamitava toidu puhul tajuda, et sellel on – võrreldes sarnaste või muude toodetega, millele niisuguseid toitaineid ja muid aineid </w:t>
      </w:r>
      <w:r w:rsidRPr="009042DF">
        <w:rPr>
          <w:color w:val="000000"/>
        </w:rPr>
        <w:lastRenderedPageBreak/>
        <w:t>pole lisatud – toitumisalaseid, füsioloogilisi või muid tervisealaseid eeliseid, mis võib ajendada tarbijat tegema otsuseid, mis mõjutavad otseselt tema konkreetsete toitainete või muude ainete tarbimist viisil, mis on vastuolus teaduslike soovitustega;</w:t>
      </w:r>
    </w:p>
    <w:p w:rsidR="00AC158D" w:rsidRPr="009042DF" w:rsidRDefault="00AC158D" w:rsidP="00AC158D">
      <w:pPr>
        <w:pStyle w:val="NormalHanging12a"/>
      </w:pPr>
      <w:r w:rsidRPr="009042DF">
        <w:rPr>
          <w:color w:val="000000"/>
        </w:rPr>
        <w:t>D.</w:t>
      </w:r>
      <w:r w:rsidRPr="009042DF">
        <w:rPr>
          <w:color w:val="000000"/>
        </w:rPr>
        <w:tab/>
        <w:t>arvestades, et toitumis- ja tervisealaseid väiteid käsitleva määruse artikli 13 lõike 3 kohaselt pidi ko</w:t>
      </w:r>
      <w:r w:rsidR="001557FC" w:rsidRPr="009042DF">
        <w:rPr>
          <w:color w:val="000000"/>
        </w:rPr>
        <w:t>misjon hiljemalt 31. jaanuariks </w:t>
      </w:r>
      <w:r w:rsidRPr="009042DF">
        <w:rPr>
          <w:color w:val="000000"/>
        </w:rPr>
        <w:t>2010 vastu võtma ühenduse nimekirja lubatud väidetest;</w:t>
      </w:r>
    </w:p>
    <w:p w:rsidR="00AC158D" w:rsidRPr="009042DF" w:rsidRDefault="00AC158D" w:rsidP="00AC158D">
      <w:pPr>
        <w:pStyle w:val="NormalHanging12a"/>
        <w:rPr>
          <w:szCs w:val="22"/>
        </w:rPr>
      </w:pPr>
      <w:r w:rsidRPr="009042DF">
        <w:rPr>
          <w:color w:val="000000"/>
        </w:rPr>
        <w:t>E.</w:t>
      </w:r>
      <w:r w:rsidRPr="009042DF">
        <w:rPr>
          <w:color w:val="000000"/>
        </w:rPr>
        <w:tab/>
        <w:t>arvestades, et toitumis- või tervisealaste väidete olemasolu mõjutab tarbijate toiduvalikuid koos muude omadustega, nagu hind, kaubamärk, värv ja pakendi kuju; arvestades, et tervisealased väited, eelkõige riski vähendamise väited, mõjutavad tarbijate suhtumist rohkem kui toitumisalased väited</w:t>
      </w:r>
      <w:r w:rsidRPr="009042DF">
        <w:rPr>
          <w:rStyle w:val="FootnoteReference"/>
          <w:color w:val="000000"/>
          <w:szCs w:val="24"/>
        </w:rPr>
        <w:footnoteReference w:id="16"/>
      </w:r>
      <w:r w:rsidRPr="009042DF">
        <w:rPr>
          <w:color w:val="000000"/>
        </w:rPr>
        <w:t>; arvestades, et tarbijate arusaamist toitumis- ja tervisealastest väidetest mõjutavad mitmesugused tegurid, sealhulgas toitumisalased teadmised ja haridustase, ning seda tuleks arvesse võtta, et hõlbustada üleminekut tervislikumale toitumisele ja stimuleerida toidu ümberkorraldamist; arvestades siiski, et ainuüksi teavitamine, harimine ja teadvustamiskampaaniad ei ole piisavad, et saavutada vajalik muutus tarbijate kestlikumatele ja tervislikumatele valikutele, sest neid võivad mõjutada muud toidukeskkonna põhielemendid, nagu taskukohasus, turustamine ja kättesaadavus;</w:t>
      </w:r>
    </w:p>
    <w:p w:rsidR="00AC158D" w:rsidRPr="009042DF" w:rsidRDefault="00AC158D" w:rsidP="00AC158D">
      <w:pPr>
        <w:pStyle w:val="NormalHanging12a"/>
      </w:pPr>
      <w:r w:rsidRPr="009042DF">
        <w:t>F.</w:t>
      </w:r>
      <w:r w:rsidRPr="009042DF">
        <w:tab/>
        <w:t>arvestades, et toitumis- ja tervisealaseid väiteid käsitlevas määruses volitatakse komi</w:t>
      </w:r>
      <w:r w:rsidR="001557FC" w:rsidRPr="009042DF">
        <w:t>sjoni kehtestama 19. jaanuariks </w:t>
      </w:r>
      <w:r w:rsidRPr="009042DF">
        <w:t>2009 toitude või konkreetsete toidugruppide toitaineline koostis; arvestades, et toitainelist koostist ei ole praktikas veel</w:t>
      </w:r>
      <w:r w:rsidR="001557FC" w:rsidRPr="009042DF">
        <w:t xml:space="preserve"> </w:t>
      </w:r>
      <w:r w:rsidRPr="009042DF">
        <w:t>kehtestatud; arvestades, et 2020. aastal kinnitati riikliku tervisekontrolli aruande hindamisaruandes vajadust töötada välja toitaineline koostis, et kaitsta tarbijaid kokkupuutumise eest tervisealaseid väiteid kandvate toitudega, mille toitaineline koostis on halb; arvestades, et strateegias „Talust taldrikule“ kinnitati taas, et tuleks kehtestada toitaineline koostis, et piirata ebatervislike toitude turustamist ja edendamist toitumis- ja tervisealaste väidete kaudu;</w:t>
      </w:r>
    </w:p>
    <w:p w:rsidR="00AC158D" w:rsidRPr="009042DF" w:rsidRDefault="00AC158D" w:rsidP="00AC158D">
      <w:pPr>
        <w:pStyle w:val="NormalHanging12a"/>
      </w:pPr>
      <w:r w:rsidRPr="009042DF">
        <w:t>G.</w:t>
      </w:r>
      <w:r w:rsidRPr="009042DF">
        <w:tab/>
        <w:t>arvestades,</w:t>
      </w:r>
      <w:r w:rsidR="001557FC" w:rsidRPr="009042DF">
        <w:t xml:space="preserve"> et oma 2021. </w:t>
      </w:r>
      <w:r w:rsidRPr="009042DF">
        <w:t xml:space="preserve">aasta resolutsioonis strateegia „Talust taldrikule“ kohta väljendas Euroopa Parlament sõnaselgelt heameelt seadusandliku ettepaneku üle kehtestada toitaineline koostis, et keelata toitumis- ja tervisealaste väidete kasutamine suure rasva-, suhkru- ja/või soolasisaldusega toiduainete või üldiselt ebatervislike toiduainete puhul, ning nõudis, et erilist tähelepanu pöörataks lastele mõeldud toidule ja muudele </w:t>
      </w:r>
      <w:proofErr w:type="spellStart"/>
      <w:r w:rsidRPr="009042DF">
        <w:t>eriotstarbelistele</w:t>
      </w:r>
      <w:proofErr w:type="spellEnd"/>
      <w:r w:rsidRPr="009042DF">
        <w:t xml:space="preserve"> toitudele;</w:t>
      </w:r>
    </w:p>
    <w:p w:rsidR="00AC158D" w:rsidRPr="009042DF" w:rsidRDefault="00AC158D" w:rsidP="00AC158D">
      <w:pPr>
        <w:pStyle w:val="NormalHanging12a"/>
      </w:pPr>
      <w:r w:rsidRPr="009042DF">
        <w:t>H.</w:t>
      </w:r>
      <w:r w:rsidRPr="009042DF">
        <w:tab/>
        <w:t>arvestades, et tarbijad puutuvad jätkuvalt kokku positiivsete toitumis- või tervisealaste väidetega suure rasva-, soola- või suhkrusisaldusega toiduainete kohta, mis ei ole kooskõlas kõrgetasemelise tarbijakaitse eesmärgiga;</w:t>
      </w:r>
    </w:p>
    <w:p w:rsidR="00AC158D" w:rsidRPr="009042DF" w:rsidRDefault="00AC158D" w:rsidP="00AC158D">
      <w:pPr>
        <w:pStyle w:val="NormalHanging12a"/>
        <w:rPr>
          <w:szCs w:val="24"/>
        </w:rPr>
      </w:pPr>
      <w:r w:rsidRPr="009042DF">
        <w:t>I.</w:t>
      </w:r>
      <w:r w:rsidRPr="009042DF">
        <w:tab/>
        <w:t xml:space="preserve">arvestades, et kaaluprobleemid ja rasvumine suurenevad enamikus liikmesriikides kiiresti, kusjuures üle poole Euroopa täiskasvanutest ja iga kolmas laps on ülekaalulised </w:t>
      </w:r>
      <w:r w:rsidRPr="009042DF">
        <w:lastRenderedPageBreak/>
        <w:t>või rasvunud</w:t>
      </w:r>
      <w:r w:rsidRPr="009042DF">
        <w:rPr>
          <w:rStyle w:val="FootnoteReference"/>
          <w:szCs w:val="24"/>
        </w:rPr>
        <w:footnoteReference w:id="17"/>
      </w:r>
      <w:r w:rsidRPr="009042DF">
        <w:t xml:space="preserve">; arvestades, et laste ülekaalulisus ja rasvumine suurendavad ülemaailmseid rahvatervisega seotud probleeme; arvestades, et on piisavalt tõendeid selle kohta, et laste rasvumist mõjutab suure rasva-, soola- ja suhkrusisaldusega toidu turustamine, kuid lapsed puutuvad jätkuvalt suurel määral kokku sellise turustamisega, mis kasutab võimsaid ja veenvaid tehnikaid, sealhulgas üha enam </w:t>
      </w:r>
      <w:proofErr w:type="spellStart"/>
      <w:r w:rsidRPr="009042DF">
        <w:t>digivahendite</w:t>
      </w:r>
      <w:proofErr w:type="spellEnd"/>
      <w:r w:rsidRPr="009042DF">
        <w:t xml:space="preserve"> abil;</w:t>
      </w:r>
    </w:p>
    <w:p w:rsidR="00AC158D" w:rsidRPr="009042DF" w:rsidRDefault="00AC158D" w:rsidP="00AC158D">
      <w:pPr>
        <w:pStyle w:val="NormalHanging12a"/>
        <w:rPr>
          <w:rFonts w:eastAsia="Calibri"/>
        </w:rPr>
      </w:pPr>
      <w:r w:rsidRPr="009042DF">
        <w:t>J.</w:t>
      </w:r>
      <w:r w:rsidRPr="009042DF">
        <w:tab/>
        <w:t xml:space="preserve">arvestades, et ebatervislik toitumine, mis sisaldab palju soola, suhkrut ja rasva, sealhulgas küllastunud rasvu ja </w:t>
      </w:r>
      <w:proofErr w:type="spellStart"/>
      <w:r w:rsidRPr="009042DF">
        <w:t>transrasvu</w:t>
      </w:r>
      <w:proofErr w:type="spellEnd"/>
      <w:r w:rsidRPr="009042DF">
        <w:t>, on Euroopas peamine haiguste ja suremuse riskitegur ning WHO andmetel põhjustab see igal aastal kaheksa miljonit enneaegset surma; arvestades, et iga viies surmajuhtum 2017. aastal oli tingitud ebatervislikust toitumisest, peamiselt südame-veresoonkonna haigustest ja vähktõvest; arvestades, et suuremat tähelepanu tuleb pöörata haiguste ennetamisele;</w:t>
      </w:r>
    </w:p>
    <w:p w:rsidR="00AC158D" w:rsidRPr="009042DF" w:rsidRDefault="00AC158D" w:rsidP="00AC158D">
      <w:pPr>
        <w:pStyle w:val="NormalHanging12a"/>
      </w:pPr>
      <w:r w:rsidRPr="009042DF">
        <w:t>K.</w:t>
      </w:r>
      <w:r w:rsidRPr="009042DF">
        <w:tab/>
        <w:t>arvestades, et Euroopa Parlament rõhutas oma 16. veebruari 2022. aasta resolutsioonis (vähktõvevastase võitluse tugevdamise kohta Euroopas – ulatusliku ja koordineeritud strateegia suunas</w:t>
      </w:r>
      <w:r w:rsidRPr="009042DF">
        <w:rPr>
          <w:rStyle w:val="FootnoteReference"/>
        </w:rPr>
        <w:footnoteReference w:id="18"/>
      </w:r>
      <w:r w:rsidRPr="009042DF">
        <w:t>) tervisliku toitumise rolli vähktõve esinemise ennetamisel ja piiramisel;</w:t>
      </w:r>
    </w:p>
    <w:p w:rsidR="00AC158D" w:rsidRPr="009042DF" w:rsidRDefault="00AC158D" w:rsidP="00AC158D">
      <w:pPr>
        <w:pStyle w:val="NormalHanging12a"/>
        <w:rPr>
          <w:szCs w:val="24"/>
        </w:rPr>
      </w:pPr>
      <w:r w:rsidRPr="009042DF">
        <w:t>L.</w:t>
      </w:r>
      <w:r w:rsidRPr="009042DF">
        <w:tab/>
        <w:t>arvestades, et EFSA ei suutnud kehtestada vaba ja lisatud suhkru tarbimise ohutut taset, sest kahjulike tervisemõjude (reaktsioonide) oht suurenes kogu täheldatud tarbimiskoguste (dooside) ulatuses konstantsel (lineaarsel) viisil, st mida suurem on tarbimine, seda suurem on kahjulike mõjude oht</w:t>
      </w:r>
      <w:r w:rsidRPr="009042DF">
        <w:rPr>
          <w:rStyle w:val="FootnoteReference"/>
          <w:szCs w:val="24"/>
        </w:rPr>
        <w:footnoteReference w:id="19"/>
      </w:r>
      <w:r w:rsidRPr="009042DF">
        <w:t xml:space="preserve">; arvestades, et WHO Rahvusvaheline </w:t>
      </w:r>
      <w:proofErr w:type="spellStart"/>
      <w:r w:rsidRPr="009042DF">
        <w:t>Vähiuurimiskeskus</w:t>
      </w:r>
      <w:proofErr w:type="spellEnd"/>
      <w:r w:rsidRPr="009042DF">
        <w:t xml:space="preserve"> on magusaine </w:t>
      </w:r>
      <w:proofErr w:type="spellStart"/>
      <w:r w:rsidRPr="009042DF">
        <w:t>aspartaami</w:t>
      </w:r>
      <w:proofErr w:type="spellEnd"/>
      <w:r w:rsidRPr="009042DF">
        <w:t xml:space="preserve"> klassifitseerinud inimestele kantserogeenseks; arvestades, et WHO süstemaatiline ülevaade näitab, et suhkruvabu magusaineid võib seostada II tüüpi diabeedi ja südame-veresoonkonna haiguste tekke ning üldise suremuse ja kehakaalu suurenemise suurenenud ohuga; arvestades, et tervislikum toitumine, mis hõlmab taimse toidu, näiteks värskete puu- ja köögiviljade, täisterade ja kaunviljade tarbimise suurenemist ning liha ja väga töödeldud toodete ületarbimise vältimist, aitab parandada tervist, vähendada suremust toitumisega seotud mittenakkuslikest haigustest ja toob keskkonnakasu;</w:t>
      </w:r>
    </w:p>
    <w:p w:rsidR="00AC158D" w:rsidRPr="009042DF" w:rsidRDefault="00AC158D" w:rsidP="00AC158D">
      <w:pPr>
        <w:pStyle w:val="NormalHanging12a"/>
        <w:rPr>
          <w:szCs w:val="24"/>
        </w:rPr>
      </w:pPr>
      <w:r w:rsidRPr="009042DF">
        <w:rPr>
          <w:color w:val="000000"/>
        </w:rPr>
        <w:t>M.</w:t>
      </w:r>
      <w:r w:rsidRPr="009042DF">
        <w:rPr>
          <w:color w:val="000000"/>
        </w:rPr>
        <w:tab/>
        <w:t>arvestades, et tõhusad teabevahendid, näiteks pakendi esiküljel esitatava toitumisalase teabe märgistused, aitavad kodanikel teha tervislikumaid toiduvalikuid ja vältida suure soola-, rasva- ja suhkrusisaldusega toidu ebatervislikku tarbimist; arvestades, et Euroopa Parlament toetas sellise märgistuse vastuvõtmist oma 20. oktoobri 2021. aasta omaalgatuslikus resolutsioonis strateegia „Talust taldrikule“ kohta, milles ta kutsus komisjoni üles tagama ELi kohustusliku ja ühtlustatud pakendi esiküljel esitatava toitumisalase teabe märgistuse väljatöötamise, mis põhineb teaduslikel tõenditel ja tarbijate tõendatud arusaamisel, et toetada täpse teabe andmist toidu ja tervislikumate alternatiivide kohta;</w:t>
      </w:r>
      <w:r w:rsidRPr="009042DF">
        <w:t xml:space="preserve"> </w:t>
      </w:r>
    </w:p>
    <w:p w:rsidR="00AC158D" w:rsidRPr="009042DF" w:rsidRDefault="00AC158D" w:rsidP="00AC158D">
      <w:pPr>
        <w:pStyle w:val="NormalHanging12a"/>
        <w:rPr>
          <w:szCs w:val="24"/>
        </w:rPr>
      </w:pPr>
      <w:r w:rsidRPr="009042DF">
        <w:t>N.</w:t>
      </w:r>
      <w:r w:rsidRPr="009042DF">
        <w:tab/>
        <w:t>arvestades, et 2012. aastal koostas komi</w:t>
      </w:r>
      <w:r w:rsidR="001557FC" w:rsidRPr="009042DF">
        <w:t>sjon ootel oleva nimekirja 2078 </w:t>
      </w:r>
      <w:r w:rsidRPr="009042DF">
        <w:t xml:space="preserve">taimsete ainetega seotud tervisealase väite kohta, peamiselt seetõttu, et puudusid </w:t>
      </w:r>
      <w:proofErr w:type="spellStart"/>
      <w:r w:rsidRPr="009042DF">
        <w:t>inimsekkumise</w:t>
      </w:r>
      <w:proofErr w:type="spellEnd"/>
      <w:r w:rsidRPr="009042DF">
        <w:t xml:space="preserve"> </w:t>
      </w:r>
      <w:r w:rsidRPr="009042DF">
        <w:lastRenderedPageBreak/>
        <w:t>uuringud, mis tõid kaasa EFSA hindamis- ja loamenetluse peatamise 2010. aastal; arvestades, et nii negatiivse hinnangu saanud kui ka veel läbi vaatamata ootel olevaid tervisealaseid väiteid võib ELi turul kasutada vastavalt toitumis- ja tervisealaseid väiteid käsitlevas määruses sätestatud üleminekumeetmetele, kuni võetakse vastu otsus ootel oleva nimekirja kohta;</w:t>
      </w:r>
    </w:p>
    <w:p w:rsidR="00AC158D" w:rsidRPr="009042DF" w:rsidRDefault="00AC158D" w:rsidP="00AC158D">
      <w:pPr>
        <w:pStyle w:val="NormalHanging12a"/>
      </w:pPr>
      <w:r w:rsidRPr="009042DF">
        <w:rPr>
          <w:color w:val="000000"/>
        </w:rPr>
        <w:t>O.</w:t>
      </w:r>
      <w:r w:rsidRPr="009042DF">
        <w:rPr>
          <w:color w:val="000000"/>
        </w:rPr>
        <w:tab/>
        <w:t>arvestades, et 2020. aastal jõudis komisjon toitumis- ja tervisealaseid väiteid käsitleva määruse hindamisaruandes järeldusele, et tarbijad puutuvad jätkuvalt kokku erineva teadusliku hindamise tasemega taimsete ainete tervisealaste väidetega, sealhulgas põhjendamata tervisealaste väidetega, mille puhul nad võivad arvata, et väidetavat kasulikku mõju on teaduslikult hinnatud, kui see nii ei ole;</w:t>
      </w:r>
    </w:p>
    <w:p w:rsidR="00AC158D" w:rsidRPr="009042DF" w:rsidRDefault="00AC158D" w:rsidP="00AC158D">
      <w:pPr>
        <w:pStyle w:val="NormalHanging12a"/>
      </w:pPr>
      <w:r w:rsidRPr="009042DF">
        <w:t>P.</w:t>
      </w:r>
      <w:r w:rsidRPr="009042DF">
        <w:tab/>
        <w:t>arvestades, et taimsete ainete ohutusraamistiku suurem koordineerimine võib aidata parandada tarbijakaitset;</w:t>
      </w:r>
    </w:p>
    <w:p w:rsidR="00AC158D" w:rsidRPr="009042DF" w:rsidRDefault="00AC158D" w:rsidP="00AC158D">
      <w:pPr>
        <w:pStyle w:val="NormalHanging12a"/>
      </w:pPr>
      <w:r w:rsidRPr="009042DF">
        <w:rPr>
          <w:color w:val="000000"/>
        </w:rPr>
        <w:t>Q.</w:t>
      </w:r>
      <w:r w:rsidRPr="009042DF">
        <w:rPr>
          <w:color w:val="000000"/>
        </w:rPr>
        <w:tab/>
        <w:t xml:space="preserve">arvestades, et toidus ja toidulisandites sisalduvaid taimseid aineid käsitlevad õigusaktid ei ole ELi tasandil ühtlustatud; liikmesriikidel on toidus lubatud taimsete ainete kohta kas positiivsed või negatiivsed nimekirjad või puuduvad nimekirjad üldse; arvestades, et taimsete ainete liigitamine toiduks või ravimiteks kuulub iga liikmesriigi pädevusse; arvestades, et ravimi eesmärk on inimeste haiguste ravimine või ennetamine ning toidulisandid on ette nähtud tarbijatele, kellel ei ole vahetuid meditsiinilisi vajadusi; </w:t>
      </w:r>
      <w:r w:rsidRPr="009042DF">
        <w:t>arvestades, et seetõttu on oluline säilitada selge erinevus toidu ja meditsiini vahel;</w:t>
      </w:r>
    </w:p>
    <w:p w:rsidR="00AC158D" w:rsidRPr="009042DF" w:rsidRDefault="00AC158D" w:rsidP="00AC158D">
      <w:pPr>
        <w:pStyle w:val="NormalHanging12a"/>
        <w:rPr>
          <w:color w:val="000000"/>
          <w:szCs w:val="24"/>
        </w:rPr>
      </w:pPr>
      <w:r w:rsidRPr="009042DF">
        <w:rPr>
          <w:color w:val="000000"/>
        </w:rPr>
        <w:t>R.</w:t>
      </w:r>
      <w:r w:rsidRPr="009042DF">
        <w:rPr>
          <w:color w:val="000000"/>
        </w:rPr>
        <w:tab/>
        <w:t>arvestades, et taimsed ravimid peavad enne nende ELi turule toomist läbima autoriseerimismenetlused, millega nõutakse toote ohutuse ja tõhususe tõendamist ning õiguslike lisanõuete täitmist sellistes valdkondades nagu kvaliteedi hindamine, ravimiohutuse järelevalve ja heade tootmistavade järgimine; arvestades, et taimsed ravimid, mida on ohutult kasutatud 30 aastat, sealhulgas 15 aastat ELis, võivad läbida traditsiooniliste taimsete ravimite lihtsustatud registreerimismenetluse, kus ravimi ohutuse ja tõhususe tõendamiseks aktsepteeritakse traditsioonilise kasutuse andmeid;</w:t>
      </w:r>
    </w:p>
    <w:p w:rsidR="00AC158D" w:rsidRPr="009042DF" w:rsidRDefault="00AC158D" w:rsidP="00AC158D">
      <w:pPr>
        <w:pStyle w:val="NormalHanging12a"/>
      </w:pPr>
      <w:r w:rsidRPr="009042DF">
        <w:rPr>
          <w:color w:val="000000"/>
        </w:rPr>
        <w:t>S.</w:t>
      </w:r>
      <w:r w:rsidRPr="009042DF">
        <w:rPr>
          <w:color w:val="000000"/>
        </w:rPr>
        <w:tab/>
        <w:t>arvestades, et toitumis- ja tervisealaseid väiteid käsitleva määruse jõustamine taimsete ainetega seotud nõuete suhtes on märkimisväärselt edasi lükkunud; arvestades, et toitumis- ja tervisealaseid väiteid käsitleva määruse eesmärk tagada tarbijakaitse kõrge tase nõuab komisjonilt kiireid meetmeid toitumis- ja tervisealaseid väiteid käsitleva määruse täielikuks jõustamiseks või läbivaatamiseks, kuna see ei ole teatavas osas eesmärgipärane;</w:t>
      </w:r>
    </w:p>
    <w:p w:rsidR="00AC158D" w:rsidRPr="009042DF" w:rsidRDefault="00AC158D" w:rsidP="00AC158D">
      <w:pPr>
        <w:pStyle w:val="NormalHanging12a"/>
      </w:pPr>
      <w:r w:rsidRPr="009042DF">
        <w:t>T.</w:t>
      </w:r>
      <w:r w:rsidRPr="009042DF">
        <w:tab/>
        <w:t>arvestades, et liikmesriigid vastutavad toitumis- ja tervisealaseid väiteid käsitleva määruse jõustamise eest oma jurisdiktsiooni piires; arvestades, et liikmesriigid on kohustatud kohaldama vastastikuse tunnustamise põhimõtet; arvestades, et tõlgendamis- ja jõustamiserinevuste tõttu liikmesriikide vahel on nõuete ebaõigest kasutamisest tulenevad täitemeetmed erinevad, ulatudes nõuannetest selle kohta, kuidas nõudeid kohandada, kuni trahvideni nende ebaõige kasutamise eest;</w:t>
      </w:r>
    </w:p>
    <w:p w:rsidR="00AC158D" w:rsidRPr="009042DF" w:rsidRDefault="00AC158D" w:rsidP="00AC158D">
      <w:pPr>
        <w:pStyle w:val="NormalHanging12a"/>
      </w:pPr>
      <w:r w:rsidRPr="009042DF">
        <w:t>U.</w:t>
      </w:r>
      <w:r w:rsidRPr="009042DF">
        <w:tab/>
        <w:t xml:space="preserve">arvestades, et sotsiaalmeedia aitab märkimisväärselt kaasa toidu ja toidulisandite reklaamile ja müügile, samas kui see, mil määral reguleeritakse tervisega seotud veebipõhist toidualast teabevahetust, jääb ebaselgeks; arvestades, et mõjutajate või seltskonnategelaste sotsiaalmeedias avaldatud teated ei ole alati selgelt ärilised või </w:t>
      </w:r>
      <w:r w:rsidRPr="009042DF">
        <w:lastRenderedPageBreak/>
        <w:t>mitteärilised</w:t>
      </w:r>
      <w:r w:rsidRPr="009042DF">
        <w:rPr>
          <w:rStyle w:val="FootnoteReference"/>
          <w:rFonts w:eastAsia="Calibri"/>
          <w:szCs w:val="24"/>
        </w:rPr>
        <w:footnoteReference w:id="20"/>
      </w:r>
      <w:r w:rsidRPr="009042DF">
        <w:t xml:space="preserve"> ning võivad põhjustada toiduainete kohta kontrollimata vale- ja eksitavaid väiteid, näiteks seoses proteiini ja lihaste kasvu suurendavate muude toidulisandite reklaamiga;</w:t>
      </w:r>
    </w:p>
    <w:p w:rsidR="00AC158D" w:rsidRPr="009042DF" w:rsidRDefault="00AC158D" w:rsidP="00AC158D">
      <w:pPr>
        <w:pStyle w:val="NormalHanging12a"/>
      </w:pPr>
      <w:r w:rsidRPr="009042DF">
        <w:t>1.</w:t>
      </w:r>
      <w:r w:rsidRPr="009042DF">
        <w:tab/>
        <w:t>märgib, et toitumis- ja tervisealaseid väiteid käsitleva määruse peamine eesmärk on tagada, et toidu kohta esitatavad väited põhineksid üldtunnustatud teaduslikel tõenditel ja et need o</w:t>
      </w:r>
      <w:r w:rsidR="001557FC" w:rsidRPr="009042DF">
        <w:t>leksid</w:t>
      </w:r>
      <w:r w:rsidRPr="009042DF">
        <w:t xml:space="preserve"> keskmisele tarbijale eeldatavasti arusaadavad; rõhutab, et praktikas teatatakse endiselt eksitavatest väidetest toidu müümise</w:t>
      </w:r>
      <w:r w:rsidR="001557FC" w:rsidRPr="009042DF">
        <w:t>l</w:t>
      </w:r>
      <w:r w:rsidRPr="009042DF">
        <w:t xml:space="preserve"> nii internetis kui ka väljaspool seda;</w:t>
      </w:r>
    </w:p>
    <w:p w:rsidR="00AC158D" w:rsidRPr="009042DF" w:rsidRDefault="00AC158D" w:rsidP="00AC158D">
      <w:pPr>
        <w:pStyle w:val="NormalHanging12a"/>
      </w:pPr>
      <w:r w:rsidRPr="009042DF">
        <w:t>2.</w:t>
      </w:r>
      <w:r w:rsidRPr="009042DF">
        <w:tab/>
        <w:t>juhib tähelepanu tarbijate kasvavale huvile toidualase teabe vastu</w:t>
      </w:r>
      <w:r w:rsidRPr="009042DF">
        <w:rPr>
          <w:rStyle w:val="FootnoteReference"/>
          <w:szCs w:val="24"/>
        </w:rPr>
        <w:footnoteReference w:id="21"/>
      </w:r>
      <w:r w:rsidRPr="009042DF">
        <w:t>; rõhutab vajadust tagada, et teave märgistusel olevate ning esitlemiseks, turustamiseks ja reklaamimiseks kasutatavate toitude toiteväärtuse või terviseväärtuse kohta on täpne, teadusel põhinev ja sisukas; nõuab toidu kohta lubatud toitumis- ja tervisealaste väidete nimekirja korrapärast ajakohastamist kooskõlas teaduse arenguga toidu ja toitumise valdkonnas;</w:t>
      </w:r>
    </w:p>
    <w:p w:rsidR="00AC158D" w:rsidRPr="009042DF" w:rsidRDefault="00AC158D" w:rsidP="00AC158D">
      <w:pPr>
        <w:pStyle w:val="NormalHanging12a"/>
      </w:pPr>
      <w:r w:rsidRPr="009042DF">
        <w:t>3.</w:t>
      </w:r>
      <w:r w:rsidRPr="009042DF">
        <w:tab/>
        <w:t>rõhutab vajadust tagada, et tervisealased väited oleksid jätkuvalt ELi tervishoiupoliitika ja -prioriteetidega kooskõlas; kinnitab veel kord, kui oluline on komisjoni kaalutlusõigus mitte lubada väiteid, kui need võivad põhjustada vastuoluliste ja segadust tekitavate sõnumite edastamist tarbijatele</w:t>
      </w:r>
      <w:r w:rsidRPr="009042DF">
        <w:rPr>
          <w:vertAlign w:val="superscript"/>
        </w:rPr>
        <w:footnoteReference w:id="22"/>
      </w:r>
      <w:r w:rsidRPr="009042DF">
        <w:t>;</w:t>
      </w:r>
    </w:p>
    <w:p w:rsidR="00AC158D" w:rsidRPr="009042DF" w:rsidRDefault="00AC158D" w:rsidP="00AC158D">
      <w:pPr>
        <w:pStyle w:val="NormalHanging12a"/>
        <w:rPr>
          <w:b/>
          <w:i/>
        </w:rPr>
      </w:pPr>
      <w:r w:rsidRPr="009042DF">
        <w:rPr>
          <w:b/>
          <w:i/>
        </w:rPr>
        <w:t xml:space="preserve">Toitainelise koostise </w:t>
      </w:r>
      <w:proofErr w:type="spellStart"/>
      <w:r w:rsidRPr="009042DF">
        <w:rPr>
          <w:b/>
          <w:i/>
        </w:rPr>
        <w:t>arvessevõtmine</w:t>
      </w:r>
      <w:proofErr w:type="spellEnd"/>
      <w:r w:rsidRPr="009042DF">
        <w:rPr>
          <w:b/>
          <w:i/>
        </w:rPr>
        <w:t xml:space="preserve"> tervisealaste väidete hindamisel</w:t>
      </w:r>
    </w:p>
    <w:p w:rsidR="00AC158D" w:rsidRPr="009042DF" w:rsidRDefault="00AC158D" w:rsidP="00AC158D">
      <w:pPr>
        <w:pStyle w:val="NormalHanging12a"/>
      </w:pPr>
      <w:r w:rsidRPr="009042DF">
        <w:t>4.</w:t>
      </w:r>
      <w:r w:rsidRPr="009042DF">
        <w:tab/>
        <w:t>tuletab meelde, et toitumis- ja tervisealaseid väiteid käsitleva määruse artikli 4 kohaselt oleks komisjon pi</w:t>
      </w:r>
      <w:r w:rsidR="00CD0A1C">
        <w:t xml:space="preserve">danud </w:t>
      </w:r>
      <w:r w:rsidRPr="009042DF">
        <w:t xml:space="preserve">19. jaanuariks </w:t>
      </w:r>
      <w:r w:rsidR="00CD0A1C">
        <w:t xml:space="preserve">2009 </w:t>
      </w:r>
      <w:r w:rsidRPr="009042DF">
        <w:t xml:space="preserve">kehtestama toitainelise koostise, et piirata toitumis- ja tervisealaste väidete kasutamist suure rasva-, suhkru- ja/või soolasisaldusega toiduainete puhul; peab kahetsusväärseks asjaolu, et komisjoni ettepanekut toitainelise koostise kohta ei ole veel esitatud, kuigi see oli kavandatud 2022. aastaks tarbijatele </w:t>
      </w:r>
      <w:bookmarkStart w:id="8" w:name="_GoBack"/>
      <w:bookmarkEnd w:id="8"/>
      <w:r w:rsidRPr="009042DF">
        <w:t>toidualast teavet käsitlevate ELi õigusaktide läbivaatamise raames; rõhutab, et toitainelise koostise kehtestamine koos konkreetsete toitainekünnistega tervise- ja toitumisalaste väidete kasutamiseks kooskõlas toitumis- ja tervisealaseid väiteid käsitleva määruse artikliga 4 on jätkuvalt asjakohane ja vajalik toitumis- ja tervisealaseid väiteid käsitleva määruse eesmärkide saavutamiseks;</w:t>
      </w:r>
    </w:p>
    <w:p w:rsidR="00AC158D" w:rsidRPr="009042DF" w:rsidRDefault="00AC158D" w:rsidP="00AC158D">
      <w:pPr>
        <w:pStyle w:val="NormalHanging12a"/>
        <w:rPr>
          <w:szCs w:val="24"/>
        </w:rPr>
      </w:pPr>
      <w:r w:rsidRPr="009042DF">
        <w:t>5.</w:t>
      </w:r>
      <w:r w:rsidRPr="009042DF">
        <w:tab/>
        <w:t xml:space="preserve">tuletab meelde, et väited ei tohiks tarbijaid eksitada toote tegeliku toitainesisalduse suhtes; rõhutab, et toitainelise koostise puudumisel võivad väited rõhutada täiesti ebatervisliku toote või sellise toote, mis ületab konkreetsete toitainete, näiteks rasva, suhkru ja soola künnisväärtusi, positiivset aspekti; juhib tähelepanu sellele, et paljude toidukaupade, sealhulgas mõnede lastele turustatavate toidukaupade puhul kasutatakse jätkuvalt tervise- ja toitumisalaseid väiteid, hoolimata sellest, et need kaubad sisaldavad </w:t>
      </w:r>
      <w:r w:rsidRPr="009042DF">
        <w:lastRenderedPageBreak/>
        <w:t xml:space="preserve">olulisel määral probleemseid toitaineid; rõhutab, et on vaja töötada välja konkreetne toitaineline koostis, nagu on sätestatud toitumis- ja tervisealaseid väiteid käsitleva määruse artiklis 4 ja kooskõlas selle määruse eesmärkidega, et piirata toitumis- ja tervisealaste väidete kasutamist suure rasva-, suhkru- ja/või soolasisaldusega toitude puhul; rõhutab, et tulevased toitainelised koostised, mis peaksid põhinema usaldusväärsetel ja sõltumatutel teaduslikel tõenditel, võivad aidata tarbijatel teha teadlikke, tervislikke ja </w:t>
      </w:r>
      <w:proofErr w:type="spellStart"/>
      <w:r w:rsidRPr="009042DF">
        <w:t>kestlikke</w:t>
      </w:r>
      <w:proofErr w:type="spellEnd"/>
      <w:r w:rsidRPr="009042DF">
        <w:t xml:space="preserve"> valikuid toiduainete kohta;</w:t>
      </w:r>
    </w:p>
    <w:p w:rsidR="00AC158D" w:rsidRPr="009042DF" w:rsidRDefault="00AC158D" w:rsidP="00AC158D">
      <w:pPr>
        <w:pStyle w:val="NormalHanging12a"/>
      </w:pPr>
      <w:r w:rsidRPr="009042DF">
        <w:t>6.</w:t>
      </w:r>
      <w:r w:rsidRPr="009042DF">
        <w:tab/>
        <w:t>peab kahetsusväärseks, et puudub süstemaatiline ja tõenditel põhinev lähenemisviis toidukeskkonna loomisele, mis aitaks tarbijatel teha teadlikke valikuid ja stimuleeriks üleminekut tervislikumale toitumisele, sealhulgas taimsete toitude, näiteks värskete puu- ja köögiviljade, täisteraviljade ja kaunviljade suuremale tarbimisele; on seisukohal, et lisaks toitumis- ja tervisealaseid väiteid käsitleva määruse nõuetekohasele rakendamisele peaksid komisjon ja liikmesriigid eri programmide, sealhulgas programmi „EL tervise heaks“ kaudu rohkem investeerima toidu- ja toitumisalasesse harimisse, näiteks teavituskampaaniatesse, eelkõige toetades koolides võetavaid meetmeid, mille eesmärk on anda lastele ja noorukitele õpetust tervisliku ja tasakaalustatud toitumise kohta; rõhutab sotsiaalsete tegurite mõju tarbijate pädevusele seoses toidu kohta esitatavate väidetega; juhib tähelepanu sellele, et ainuüksi teavitamine, harimine ja teadvustamiskampaaniad ei ole piisavad, et tagada tarbijate teadlikud valikud, ning nendega peavad kaasnema toidukeskkonda parandavad poliitikameetmed;</w:t>
      </w:r>
    </w:p>
    <w:p w:rsidR="00AC158D" w:rsidRPr="009042DF" w:rsidRDefault="00AC158D" w:rsidP="00AC158D">
      <w:pPr>
        <w:pStyle w:val="NormalHanging12a"/>
        <w:rPr>
          <w:b/>
          <w:i/>
        </w:rPr>
      </w:pPr>
      <w:r w:rsidRPr="009042DF">
        <w:rPr>
          <w:b/>
          <w:i/>
        </w:rPr>
        <w:t>Tarbijate teavitamine</w:t>
      </w:r>
    </w:p>
    <w:p w:rsidR="00AC158D" w:rsidRPr="009042DF" w:rsidRDefault="00AC158D" w:rsidP="00AC158D">
      <w:pPr>
        <w:pStyle w:val="NormalHanging12a"/>
        <w:rPr>
          <w:szCs w:val="24"/>
        </w:rPr>
      </w:pPr>
      <w:r w:rsidRPr="009042DF">
        <w:t>7.</w:t>
      </w:r>
      <w:r w:rsidRPr="009042DF">
        <w:tab/>
        <w:t xml:space="preserve">rõhutab, et tarbijad kipuvad üle tarbima toiduaineid, mis kannavad parema tervise edendamise väiteid, mida nimetatakse „haloefektiks“; pooldab nii minimaalsete kui ka maksimaalsete kasutuskünniste lisamist kõikide tervisealaseid väiteid kandvate toitude ja toidulisandite märgistusele koos soovitusega konsulteerida tervishoiutöötajaga enne eelkõige toidulisandite tarbimist, et vältida võimalikku kahjulikku koostoimet konkreetse raviga ja võimalike söömishäirete süvenemist; rõhutab, et kiiresti muutuvas toidukeskkonnas püsib eeldatavasti teabe asümmeetria, ning nõuab </w:t>
      </w:r>
      <w:proofErr w:type="spellStart"/>
      <w:r w:rsidRPr="009042DF">
        <w:t>tarbijatepoolse</w:t>
      </w:r>
      <w:proofErr w:type="spellEnd"/>
      <w:r w:rsidRPr="009042DF">
        <w:t xml:space="preserve"> väidete mõistmise alaste teadusuuringute rahastamist;</w:t>
      </w:r>
    </w:p>
    <w:p w:rsidR="00AC158D" w:rsidRPr="009042DF" w:rsidRDefault="00AC158D" w:rsidP="00AC158D">
      <w:pPr>
        <w:pStyle w:val="NormalHanging12a"/>
      </w:pPr>
      <w:r w:rsidRPr="009042DF">
        <w:t>8.</w:t>
      </w:r>
      <w:r w:rsidRPr="009042DF">
        <w:tab/>
        <w:t xml:space="preserve">peab kahetsusväärseks viivitust seoses ettepanekuga vaadata läbi määrus (EL) nr 1169/2011, milles käsitletakse toidualase teabe esitamist tarbijatele seoses pakendi esiküljel esitatava toitumisalase teabe märgistuse väljatöötamisega, mille kohta on tõendatud, et see aitab tarbijatel teha tervislikumaid toidu- ja joogivalikuid; palub komisjonil ja liikmesriikidel julgustada tarbijaid tegema toidukaupade puhul teadlikke, tervislikke ja </w:t>
      </w:r>
      <w:proofErr w:type="spellStart"/>
      <w:r w:rsidRPr="009042DF">
        <w:t>kestlikke</w:t>
      </w:r>
      <w:proofErr w:type="spellEnd"/>
      <w:r w:rsidRPr="009042DF">
        <w:t xml:space="preserve"> valikuid ning neid seejuures abistada, kehtestades niipea kui võimalik pakendi esiküljel esitatava toitumisalase teabe kohustusliku ja ühtlustatud ELi märgistuse, mis on välja töötatud usaldusväärsete ja sõltumatute teaduslike tõendite ning tarbijate tõendatud arusaamise alusel; märgib, et uuringud näitavad, et toidu mõju tervisele ei saa arvestada üksnes toitainelise koostise järgi, vaid arvesse tuleb võtta ka töötlemise taset, eriti väga töödeldud toiduainete puhul; rõhutab seetõttu, et toidu töötlemist käsitleva teabe lisamine tõlgendavatele pakendi esiküljel esitatavatele toitumisalase teabe märgistustele võib olla rahvatervise ja tarbijate huvides ning aidata tarbijatel teha tervislikumaid toiduvalikuid; nõuab reguleerivaid meetmeid, et vähendada töödeldud toidu tekitatavat koormust rahvatervisele;</w:t>
      </w:r>
    </w:p>
    <w:p w:rsidR="00AC158D" w:rsidRPr="009042DF" w:rsidRDefault="00AC158D" w:rsidP="00AC158D">
      <w:pPr>
        <w:pStyle w:val="NormalHanging12a"/>
        <w:rPr>
          <w:b/>
          <w:i/>
        </w:rPr>
      </w:pPr>
      <w:r w:rsidRPr="009042DF">
        <w:rPr>
          <w:b/>
          <w:i/>
        </w:rPr>
        <w:t>Väidete asjakohasus</w:t>
      </w:r>
    </w:p>
    <w:p w:rsidR="00AC158D" w:rsidRPr="009042DF" w:rsidRDefault="00AC158D" w:rsidP="00AC158D">
      <w:pPr>
        <w:pStyle w:val="NormalHanging12a"/>
        <w:rPr>
          <w:szCs w:val="24"/>
        </w:rPr>
      </w:pPr>
      <w:r w:rsidRPr="009042DF">
        <w:lastRenderedPageBreak/>
        <w:t>9.</w:t>
      </w:r>
      <w:r w:rsidRPr="009042DF">
        <w:tab/>
        <w:t>märgib, et paljud ELi turul kasutatavad väited puudutavad toitaineid, millest vaid vähesed Euroopa tarbijad oma toiduvalikus puudust tunnevad; kutsub komisjoni üles uurima õiguslikku võimalust laiendada EFSA pädevust, et see hõlmaks lisaks selliste väidete teadusliku aluse uurimisele ka nende kasutamise asjakohasuse hindamist; toetab kindlalt asjaolu, et EFSA avaldab jätkuvalt konkreetseid suuniseid, lähtudes väidete kasutamisest;</w:t>
      </w:r>
    </w:p>
    <w:p w:rsidR="00AC158D" w:rsidRPr="009042DF" w:rsidRDefault="00AC158D" w:rsidP="00AC158D">
      <w:pPr>
        <w:pStyle w:val="NormalHanging12a"/>
        <w:rPr>
          <w:szCs w:val="24"/>
        </w:rPr>
      </w:pPr>
      <w:r w:rsidRPr="009042DF">
        <w:t>10.</w:t>
      </w:r>
      <w:r w:rsidRPr="009042DF">
        <w:tab/>
        <w:t>kutsub komisjoni üles hindama võimalust piirata magusaineid või suures koguses vabasid suhkruid sisaldavate toodete puhul lubatud toitumisalase väite „ilma lisatud suhkruta“ kasutamist;</w:t>
      </w:r>
    </w:p>
    <w:p w:rsidR="00AC158D" w:rsidRPr="009042DF" w:rsidRDefault="00AC158D" w:rsidP="00AC158D">
      <w:pPr>
        <w:pStyle w:val="NormalHanging12a"/>
        <w:rPr>
          <w:szCs w:val="24"/>
        </w:rPr>
      </w:pPr>
      <w:r w:rsidRPr="009042DF">
        <w:t>11.</w:t>
      </w:r>
      <w:r w:rsidRPr="009042DF">
        <w:tab/>
        <w:t>rõhutab, et isegi kui väited imiku piimasegu kohta on teaduslikult põhjendatud, näiteks tervisealane väide „DHA manustamine aitab kaasa kuni 12-kuuste imikute nägemise normaalsele arengule“, peaks nende kasutamine vältima imikute toitmisega seotud valikute mõjutamist ja imiku piimasegude täiustamise piiramist</w:t>
      </w:r>
      <w:r w:rsidRPr="009042DF">
        <w:rPr>
          <w:szCs w:val="24"/>
          <w:vertAlign w:val="superscript"/>
        </w:rPr>
        <w:footnoteReference w:id="23"/>
      </w:r>
      <w:r w:rsidR="00E5707E" w:rsidRPr="009042DF">
        <w:t>;</w:t>
      </w:r>
    </w:p>
    <w:p w:rsidR="00AC158D" w:rsidRPr="009042DF" w:rsidRDefault="00AC158D" w:rsidP="00AC158D">
      <w:pPr>
        <w:pStyle w:val="NormalHanging12a"/>
      </w:pPr>
      <w:r w:rsidRPr="009042DF">
        <w:t>12.</w:t>
      </w:r>
      <w:r w:rsidRPr="009042DF">
        <w:tab/>
        <w:t>toetab tootjate ja EFSA vaheliste eelnevate konsultatsioonide sisseseadmist, et võimaldada EFSA-l esitada oma ootused seoses nende väite esitamisega, järgides samal ajal EFSA sõltumatuse põhimõtet;</w:t>
      </w:r>
    </w:p>
    <w:p w:rsidR="00AC158D" w:rsidRPr="009042DF" w:rsidRDefault="00AC158D" w:rsidP="00AC158D">
      <w:pPr>
        <w:pStyle w:val="NormalHanging12a"/>
        <w:rPr>
          <w:b/>
          <w:i/>
        </w:rPr>
      </w:pPr>
      <w:r w:rsidRPr="009042DF">
        <w:rPr>
          <w:b/>
          <w:i/>
        </w:rPr>
        <w:t>Taimsed ained</w:t>
      </w:r>
    </w:p>
    <w:p w:rsidR="00AC158D" w:rsidRPr="009042DF" w:rsidRDefault="00AC158D" w:rsidP="00AC158D">
      <w:pPr>
        <w:pStyle w:val="NormalHanging12a"/>
        <w:rPr>
          <w:szCs w:val="22"/>
        </w:rPr>
      </w:pPr>
      <w:r w:rsidRPr="009042DF">
        <w:t>13.</w:t>
      </w:r>
      <w:r w:rsidRPr="009042DF">
        <w:tab/>
        <w:t>juhib tähelepanu sellele, et kuna ELi tasandil ei ole ühtlustatud taimsete ainete liigitamist toiduks või ravimiteks, võib taimset ainet märgistada ühes liikmesriigis</w:t>
      </w:r>
      <w:r w:rsidR="00E5707E" w:rsidRPr="009042DF">
        <w:t xml:space="preserve"> toiduna</w:t>
      </w:r>
      <w:r w:rsidRPr="009042DF">
        <w:t xml:space="preserve"> ja teises</w:t>
      </w:r>
      <w:r w:rsidR="00E5707E" w:rsidRPr="009042DF">
        <w:t xml:space="preserve"> ravimina</w:t>
      </w:r>
      <w:r w:rsidRPr="009042DF">
        <w:t>; rõhutab, et sellised vastuolud tekitavad tootjatele ja reguleerivatele asutustele probleeme ning võivad negatiivselt mõjutada tarbijate ohutust ja heaolu, kuna tarbijatel on raske eristada traditsioonilisi taimseid ravimeid ja sama(de)l taimse(te)l aine(te)l põhinevaid taimseid toidulisandeid, mis võivad põhjustada arusaamatusi nende kasutamise kohta;</w:t>
      </w:r>
    </w:p>
    <w:p w:rsidR="00AC158D" w:rsidRPr="009042DF" w:rsidRDefault="00AC158D" w:rsidP="00AC158D">
      <w:pPr>
        <w:pStyle w:val="NormalHanging12a"/>
      </w:pPr>
      <w:r w:rsidRPr="009042DF">
        <w:t>14.</w:t>
      </w:r>
      <w:r w:rsidRPr="009042DF">
        <w:tab/>
        <w:t>juhib tähelepanu asjaolule, et puudub ELi positiivne või negatiivne loetelu toiduainetes ja toidulisandites kasutatavatest taimsetest ainetest, samuti põhjalik loetelu taimsete ainete kasulikest või kahjulikest mõjudest tervisele, mille tulemuseks on liikmesriikide õigusaktide erinevused, turu killustatus ja potentsiaalselt ohtlikud tooted, mis jõuavad tarbijateni;</w:t>
      </w:r>
    </w:p>
    <w:p w:rsidR="00AC158D" w:rsidRPr="009042DF" w:rsidRDefault="00AC158D" w:rsidP="00AC158D">
      <w:pPr>
        <w:pStyle w:val="NormalHanging12a"/>
      </w:pPr>
      <w:r w:rsidRPr="009042DF">
        <w:t>15.</w:t>
      </w:r>
      <w:r w:rsidRPr="009042DF">
        <w:tab/>
        <w:t xml:space="preserve">ei kiida heaks taimsete ainete väidete hindamise jätkuvat peatamist ja juhib tähelepanu sellele, et esineb tõsiseid õiguslikke probleeme seoses toitumis- ja tervisealaseid väiteid käsitleva määruse üleminekumeetmete alusel ootel olevate väidete jätkuva kasutamisega; rõhutab tungivat vajadust tegeleda ootel olevate väidete nimekirjaga taimsete ainete kohta, hinnates neid väiteid kui hädavajalikku tarbijakaitsemeedet, nagu on kindlaks määratud komisjoni 2020. aasta hindamisaruandes toitumis- ja tervisealaseid väiteid käsitleva määruse kohta; on väga mures selle pärast, et toitumis- ja tervisealaseid väiteid käsitleva määruse üleminekumeetmete alusel ootel olevate väidete </w:t>
      </w:r>
      <w:r w:rsidRPr="009042DF">
        <w:lastRenderedPageBreak/>
        <w:t>jätkuv kasutamine võib tarbijaid eksitada ja kujutada endast neile terviseriski, kuna nad võivad ekslikult eeldada, et ootel olevaid väiteid on teaduslikult hinnatud ja riskid ohjatud;</w:t>
      </w:r>
    </w:p>
    <w:p w:rsidR="00AC158D" w:rsidRPr="009042DF" w:rsidRDefault="00AC158D" w:rsidP="00AC158D">
      <w:pPr>
        <w:pStyle w:val="NormalHanging12a"/>
      </w:pPr>
      <w:r w:rsidRPr="009042DF">
        <w:t>16.</w:t>
      </w:r>
      <w:r w:rsidRPr="009042DF">
        <w:tab/>
        <w:t>peab hädavajalikuks, et EFSA ja komisjon vaataksid kooskõlas toitumis- ja tervisealaseid väiteid käsitleva määruse sätetega viivitamata läbi ootel olevad tervisealased väited, mis on seotud taimsete ainetega toidus; kutsub komisjoni üles lükkama tagasi need ootel olevas nimekirjas olevad väited, mida on juba negatiivselt hinnatud;</w:t>
      </w:r>
    </w:p>
    <w:p w:rsidR="00AC158D" w:rsidRPr="009042DF" w:rsidRDefault="00AC158D" w:rsidP="00AC158D">
      <w:pPr>
        <w:pStyle w:val="NormalHanging12a"/>
      </w:pPr>
      <w:r w:rsidRPr="009042DF">
        <w:t>17.</w:t>
      </w:r>
      <w:r w:rsidRPr="009042DF">
        <w:tab/>
        <w:t>nõuab tungivalt, et liikmesriigid teeksid tõhusat koostööd, et kehtestada ühtlustatud lähenemisviis taimsetele toidulisanditele, ning kutsub komisjoni üles andma selle kohta suuniseid; kutsub komisjoni ja liikmesriike üles kehtestama viivitamata ELi tasandil toidus kasutatavate taimsete ainete negatiivne nimekiri, mis põhineks nende toksilisusel või kahjulikul mõjul tervisele, mis on liikmesriikides juba kindlaks tehtud;</w:t>
      </w:r>
    </w:p>
    <w:p w:rsidR="00AC158D" w:rsidRPr="009042DF" w:rsidRDefault="00AC158D" w:rsidP="00AC158D">
      <w:pPr>
        <w:pStyle w:val="NormalHanging12a"/>
        <w:rPr>
          <w:b/>
        </w:rPr>
      </w:pPr>
      <w:r w:rsidRPr="009042DF">
        <w:rPr>
          <w:b/>
          <w:i/>
        </w:rPr>
        <w:t>Täitmine</w:t>
      </w:r>
    </w:p>
    <w:p w:rsidR="00AC158D" w:rsidRPr="009042DF" w:rsidRDefault="00AC158D" w:rsidP="00AC158D">
      <w:pPr>
        <w:pStyle w:val="NormalHanging12a"/>
      </w:pPr>
      <w:r w:rsidRPr="009042DF">
        <w:t>18.</w:t>
      </w:r>
      <w:r w:rsidRPr="009042DF">
        <w:tab/>
        <w:t>kutsub komisjoni üles andma ajakohastatud suuniseid selle kohta, kuidas tegeleda turundustavadega, mida kasutatakse toitumis- ja tervisealaseid väiteid käsitlevast määrusest kõrvalehoidmiseks;</w:t>
      </w:r>
    </w:p>
    <w:p w:rsidR="00AC158D" w:rsidRPr="009042DF" w:rsidRDefault="00AC158D" w:rsidP="00AC158D">
      <w:pPr>
        <w:pStyle w:val="NormalHanging12a"/>
        <w:rPr>
          <w:b/>
          <w:i/>
        </w:rPr>
      </w:pPr>
      <w:r w:rsidRPr="009042DF">
        <w:t>19.</w:t>
      </w:r>
      <w:r w:rsidRPr="009042DF">
        <w:tab/>
        <w:t>nõuab, et komisjon ja liikmesriigid looksid teadmusvõrgustiku, mille eesmärk on toetada toitumis- ja tervisealaste väidete töörühma; juhib tähelepanu sellele, et see võrgustik peaks aitama hõlbustada parimate tavade vahetamist, kõrvaldama tõlgendamislüngad liikmesriikide vahel ja tegelema jõustamise erinevustega;</w:t>
      </w:r>
    </w:p>
    <w:p w:rsidR="00AC158D" w:rsidRPr="009042DF" w:rsidRDefault="00AC158D" w:rsidP="00AC158D">
      <w:pPr>
        <w:pStyle w:val="NormalHanging12a"/>
        <w:rPr>
          <w:b/>
        </w:rPr>
      </w:pPr>
      <w:r w:rsidRPr="009042DF">
        <w:rPr>
          <w:b/>
          <w:i/>
        </w:rPr>
        <w:t>Tervisealased väited veebipõhises teabevahetuses</w:t>
      </w:r>
    </w:p>
    <w:p w:rsidR="00AC158D" w:rsidRPr="009042DF" w:rsidRDefault="00AC158D" w:rsidP="00AC158D">
      <w:pPr>
        <w:pStyle w:val="NormalHanging12a"/>
      </w:pPr>
      <w:r w:rsidRPr="009042DF">
        <w:t>20.</w:t>
      </w:r>
      <w:r w:rsidRPr="009042DF">
        <w:tab/>
        <w:t>rõhutab, et toitumis- ja tervisealaseid väiteid käsitlev määrus võeti vastu ajal, mil sotsiaalmeedial ei olnud veel nii suurt rolli toidu ja toidulisandite reklaamis ja müügis; on mures selle pärast, et see, mil määral selle määrusega reguleeritakse tervisega seotud veebipõhist toidualast teavitustegevust, jääb ebaselgeks;</w:t>
      </w:r>
    </w:p>
    <w:p w:rsidR="00AC158D" w:rsidRPr="009042DF" w:rsidRDefault="00AC158D" w:rsidP="00AC158D">
      <w:pPr>
        <w:pStyle w:val="NormalHanging12a"/>
        <w:rPr>
          <w:szCs w:val="24"/>
        </w:rPr>
      </w:pPr>
      <w:r w:rsidRPr="009042DF">
        <w:t>21.</w:t>
      </w:r>
      <w:r w:rsidRPr="009042DF">
        <w:tab/>
        <w:t>on mures lubamatute ja eksitavate toitumis- ja tervisealaste väidete pärast internetis; rõhutab vajadust tagada, et toitumis- ja tervisealaseid väiteid käsitlev määrus jääks veebikeskkonnas asjakohaseks, eelkõige seetõttu, et teatavad haavatavad rühmad, nagu lapsed ja noorukid, võivad olla eriti tundlikud teatavate tervisealaste väidete ja sotsiaalmeedias jagatud toidualase teabe suhtes ning see ohustab nende füüsilist ja vaimset tervist; peab sellega seoses oluliseks määratleda, mida kujutab endast sotsiaalmeedias avaldatav kaubanduslik teadaanne toidu ja toidulisandite kohta;</w:t>
      </w:r>
    </w:p>
    <w:p w:rsidR="00AC158D" w:rsidRPr="009042DF" w:rsidRDefault="00AC158D" w:rsidP="00AC158D">
      <w:pPr>
        <w:pStyle w:val="NormalHanging12a"/>
      </w:pPr>
      <w:r w:rsidRPr="009042DF">
        <w:t>22.</w:t>
      </w:r>
      <w:r w:rsidRPr="009042DF">
        <w:tab/>
        <w:t xml:space="preserve">nõuab, et pöörataks uuendatud tähelepanu tõhusa ja kogu ELi hõlmava lähenemisviisi saavutamisele, et võidelda laste ja noorukite kokkupuutega rasva-, suhkru- ja soolarikka töödeldud toidu reklaamimise ja turustamisega ringhäälingu- ja </w:t>
      </w:r>
      <w:proofErr w:type="spellStart"/>
      <w:r w:rsidRPr="009042DF">
        <w:t>digimeedias</w:t>
      </w:r>
      <w:proofErr w:type="spellEnd"/>
      <w:r w:rsidRPr="009042DF">
        <w:t>; kutsub komisjoni üles kaaluma seadusandlike meetmete võtmist selle haavatava tarbijarühma tervise kaitsmiseks;</w:t>
      </w:r>
    </w:p>
    <w:p w:rsidR="00AC158D" w:rsidRPr="009042DF" w:rsidRDefault="00AC158D" w:rsidP="00AC158D">
      <w:pPr>
        <w:pStyle w:val="NormalHanging12a"/>
      </w:pPr>
      <w:r w:rsidRPr="009042DF">
        <w:t>23.</w:t>
      </w:r>
      <w:r w:rsidRPr="009042DF">
        <w:tab/>
        <w:t xml:space="preserve">kutsub komisjoni üles koostama põhjalikud suunised toitumis- ja tervisealaseid väiteid käsitleva määruse jõustamiseks internetis; on seisukohal, et nendes suunistes tuleks esitada selged menetlused ja standardid tervisealaste väidete jälgimiseks ja reguleerimiseks internetis, tagades selliste väidete täpsuse ja läbipaistvuse ning kaitstes </w:t>
      </w:r>
      <w:r w:rsidRPr="009042DF">
        <w:lastRenderedPageBreak/>
        <w:t xml:space="preserve">tarbijate heaolu </w:t>
      </w:r>
      <w:proofErr w:type="spellStart"/>
      <w:r w:rsidRPr="009042DF">
        <w:t>digiteenuste</w:t>
      </w:r>
      <w:proofErr w:type="spellEnd"/>
      <w:r w:rsidRPr="009042DF">
        <w:t xml:space="preserve"> määruse raames; juhib tähelepanu liikmesriikide ja </w:t>
      </w:r>
      <w:proofErr w:type="spellStart"/>
      <w:r w:rsidRPr="009042DF">
        <w:t>digiplatvormide</w:t>
      </w:r>
      <w:proofErr w:type="spellEnd"/>
      <w:r w:rsidRPr="009042DF">
        <w:t xml:space="preserve"> pakkujate kohustustele, mis on kehtestatud </w:t>
      </w:r>
      <w:proofErr w:type="spellStart"/>
      <w:r w:rsidRPr="009042DF">
        <w:t>digiteenuste</w:t>
      </w:r>
      <w:proofErr w:type="spellEnd"/>
      <w:r w:rsidRPr="009042DF">
        <w:t xml:space="preserve"> määrusega, nimelt võidelda ebaseadusliku sisu levitamise vastu ja tagada tarbijate jaoks internetireklaami läbipaistvus;</w:t>
      </w:r>
    </w:p>
    <w:p w:rsidR="00AC158D" w:rsidRPr="009042DF" w:rsidRDefault="00AC158D" w:rsidP="00AC158D">
      <w:pPr>
        <w:pStyle w:val="NormalHanging12a"/>
        <w:rPr>
          <w:szCs w:val="24"/>
        </w:rPr>
      </w:pPr>
      <w:r w:rsidRPr="009042DF">
        <w:t>24.</w:t>
      </w:r>
      <w:r w:rsidRPr="009042DF">
        <w:tab/>
        <w:t>kutsub komisjoni ja liikmesriike üles looma platvormi toitumis- ja tervisealaseid väiteid käsitleva määruse internetis täitmise tagamise parimate tavade jagamiseks ja liikmesriikide pädevate asutuste vahelise koostöö ergutamiseks;</w:t>
      </w:r>
    </w:p>
    <w:p w:rsidR="00BB7290" w:rsidRPr="009042DF" w:rsidRDefault="00BB7290" w:rsidP="00BB7290">
      <w:pPr>
        <w:keepLines/>
        <w:spacing w:before="100" w:beforeAutospacing="1" w:after="100" w:afterAutospacing="1"/>
        <w:jc w:val="center"/>
      </w:pPr>
      <w:r w:rsidRPr="009042DF">
        <w:rPr>
          <w:noProof/>
        </w:rPr>
        <w:t>o</w:t>
      </w:r>
      <w:r w:rsidRPr="009042DF">
        <w:rPr>
          <w:noProof/>
        </w:rPr>
        <w:br/>
        <w:t>o   o</w:t>
      </w:r>
    </w:p>
    <w:p w:rsidR="00E365E1" w:rsidRPr="009042DF" w:rsidRDefault="00AC158D" w:rsidP="009042DF">
      <w:pPr>
        <w:pStyle w:val="NormalHanging12a"/>
      </w:pPr>
      <w:r w:rsidRPr="009042DF">
        <w:t>25.</w:t>
      </w:r>
      <w:r w:rsidRPr="009042DF">
        <w:tab/>
        <w:t>teeb presidendile ülesandeks edastada antud resolutsioon nõukogule ja komisjonile.</w:t>
      </w:r>
      <w:bookmarkStart w:id="9" w:name="TextBodyEnd"/>
      <w:bookmarkEnd w:id="9"/>
    </w:p>
    <w:sectPr w:rsidR="00E365E1" w:rsidRPr="009042DF" w:rsidSect="00C24B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886" w:rsidRPr="00C24BF0" w:rsidRDefault="009E1886">
      <w:r w:rsidRPr="00C24BF0">
        <w:separator/>
      </w:r>
    </w:p>
  </w:endnote>
  <w:endnote w:type="continuationSeparator" w:id="0">
    <w:p w:rsidR="009E1886" w:rsidRPr="00C24BF0" w:rsidRDefault="009E1886">
      <w:r w:rsidRPr="00C24B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4B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4B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4B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886" w:rsidRPr="00C24BF0" w:rsidRDefault="009E1886">
      <w:r w:rsidRPr="00C24BF0">
        <w:separator/>
      </w:r>
    </w:p>
  </w:footnote>
  <w:footnote w:type="continuationSeparator" w:id="0">
    <w:p w:rsidR="009E1886" w:rsidRPr="00C24BF0" w:rsidRDefault="009E1886">
      <w:r w:rsidRPr="00C24BF0">
        <w:continuationSeparator/>
      </w:r>
    </w:p>
  </w:footnote>
  <w:footnote w:id="1">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00E76A11">
        <w:rPr>
          <w:sz w:val="24"/>
          <w:lang w:val="et-EE"/>
        </w:rPr>
        <w:t>ELT </w:t>
      </w:r>
      <w:r w:rsidRPr="00C24BF0">
        <w:rPr>
          <w:sz w:val="24"/>
          <w:lang w:val="et-EE"/>
        </w:rPr>
        <w:t>L 404, 30.12.2006, lk 9.</w:t>
      </w:r>
    </w:p>
  </w:footnote>
  <w:footnote w:id="2">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00E76A11">
        <w:rPr>
          <w:sz w:val="24"/>
          <w:lang w:val="et-EE"/>
        </w:rPr>
        <w:t>EÜT </w:t>
      </w:r>
      <w:r w:rsidRPr="00C24BF0">
        <w:rPr>
          <w:sz w:val="24"/>
          <w:lang w:val="et-EE"/>
        </w:rPr>
        <w:t>L 31, 1.2.2002, lk 1.</w:t>
      </w:r>
    </w:p>
  </w:footnote>
  <w:footnote w:id="3">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ELT L 304, 22.11.2011, lk 18.</w:t>
      </w:r>
    </w:p>
  </w:footnote>
  <w:footnote w:id="4">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00E76A11">
        <w:rPr>
          <w:sz w:val="24"/>
          <w:lang w:val="et-EE"/>
        </w:rPr>
        <w:t>EÜT </w:t>
      </w:r>
      <w:r w:rsidRPr="00C24BF0">
        <w:rPr>
          <w:sz w:val="24"/>
          <w:lang w:val="et-EE"/>
        </w:rPr>
        <w:t>L 183, 12.7.2002, lk 51.</w:t>
      </w:r>
    </w:p>
  </w:footnote>
  <w:footnote w:id="5">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rStyle w:val="Emphasis"/>
          <w:color w:val="333333"/>
          <w:sz w:val="24"/>
          <w:shd w:val="clear" w:color="auto" w:fill="FFFFFF"/>
          <w:lang w:val="et-EE"/>
        </w:rPr>
        <w:t xml:space="preserve"> </w:t>
      </w:r>
      <w:r w:rsidR="00C24BF0" w:rsidRPr="00C24BF0">
        <w:rPr>
          <w:rStyle w:val="Emphasis"/>
          <w:color w:val="333333"/>
          <w:sz w:val="24"/>
          <w:shd w:val="clear" w:color="auto" w:fill="FFFFFF"/>
          <w:lang w:val="et-EE"/>
        </w:rPr>
        <w:tab/>
      </w:r>
      <w:r w:rsidR="00E76A11" w:rsidRPr="009042DF">
        <w:rPr>
          <w:rStyle w:val="Emphasis"/>
          <w:i w:val="0"/>
          <w:color w:val="333333"/>
          <w:sz w:val="24"/>
          <w:shd w:val="clear" w:color="auto" w:fill="FFFFFF"/>
          <w:lang w:val="et-EE"/>
        </w:rPr>
        <w:t>ELT </w:t>
      </w:r>
      <w:r w:rsidRPr="009042DF">
        <w:rPr>
          <w:rStyle w:val="Emphasis"/>
          <w:i w:val="0"/>
          <w:color w:val="333333"/>
          <w:sz w:val="24"/>
          <w:shd w:val="clear" w:color="auto" w:fill="FFFFFF"/>
          <w:lang w:val="et-EE"/>
        </w:rPr>
        <w:t>L 404, 30.12.2006, lk 26.</w:t>
      </w:r>
    </w:p>
  </w:footnote>
  <w:footnote w:id="6">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ELT L 181, 29.6.2013, lk 35.</w:t>
      </w:r>
    </w:p>
  </w:footnote>
  <w:footnote w:id="7">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ELT L 277, 27.10.2022, lk 1.</w:t>
      </w:r>
    </w:p>
  </w:footnote>
  <w:footnote w:id="8">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ELT L 107, 26.3.2021, lk 1.</w:t>
      </w:r>
    </w:p>
  </w:footnote>
  <w:footnote w:id="9">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00E76A11">
        <w:rPr>
          <w:sz w:val="24"/>
          <w:lang w:val="et-EE"/>
        </w:rPr>
        <w:t>ELT </w:t>
      </w:r>
      <w:r w:rsidRPr="00C24BF0">
        <w:rPr>
          <w:sz w:val="24"/>
          <w:lang w:val="et-EE"/>
        </w:rPr>
        <w:t>C 184, 5.5.2022, lk 2.</w:t>
      </w:r>
    </w:p>
  </w:footnote>
  <w:footnote w:id="10">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Euroopa Toiduohutusamet, „</w:t>
      </w:r>
      <w:proofErr w:type="spellStart"/>
      <w:r w:rsidRPr="00C24BF0">
        <w:rPr>
          <w:sz w:val="24"/>
          <w:lang w:val="et-EE"/>
        </w:rPr>
        <w:t>Tolerable</w:t>
      </w:r>
      <w:proofErr w:type="spellEnd"/>
      <w:r w:rsidRPr="00C24BF0">
        <w:rPr>
          <w:sz w:val="24"/>
          <w:lang w:val="et-EE"/>
        </w:rPr>
        <w:t xml:space="preserve"> </w:t>
      </w:r>
      <w:proofErr w:type="spellStart"/>
      <w:r w:rsidRPr="00C24BF0">
        <w:rPr>
          <w:sz w:val="24"/>
          <w:lang w:val="et-EE"/>
        </w:rPr>
        <w:t>upper</w:t>
      </w:r>
      <w:proofErr w:type="spellEnd"/>
      <w:r w:rsidRPr="00C24BF0">
        <w:rPr>
          <w:sz w:val="24"/>
          <w:lang w:val="et-EE"/>
        </w:rPr>
        <w:t xml:space="preserve"> </w:t>
      </w:r>
      <w:proofErr w:type="spellStart"/>
      <w:r w:rsidRPr="00C24BF0">
        <w:rPr>
          <w:sz w:val="24"/>
          <w:lang w:val="et-EE"/>
        </w:rPr>
        <w:t>intake</w:t>
      </w:r>
      <w:proofErr w:type="spellEnd"/>
      <w:r w:rsidRPr="00C24BF0">
        <w:rPr>
          <w:sz w:val="24"/>
          <w:lang w:val="et-EE"/>
        </w:rPr>
        <w:t xml:space="preserve"> </w:t>
      </w:r>
      <w:proofErr w:type="spellStart"/>
      <w:r w:rsidRPr="00C24BF0">
        <w:rPr>
          <w:sz w:val="24"/>
          <w:lang w:val="et-EE"/>
        </w:rPr>
        <w:t>level</w:t>
      </w:r>
      <w:proofErr w:type="spellEnd"/>
      <w:r w:rsidRPr="00C24BF0">
        <w:rPr>
          <w:sz w:val="24"/>
          <w:lang w:val="et-EE"/>
        </w:rPr>
        <w:t xml:space="preserve"> </w:t>
      </w:r>
      <w:proofErr w:type="spellStart"/>
      <w:r w:rsidRPr="00C24BF0">
        <w:rPr>
          <w:sz w:val="24"/>
          <w:lang w:val="et-EE"/>
        </w:rPr>
        <w:t>for</w:t>
      </w:r>
      <w:proofErr w:type="spellEnd"/>
      <w:r w:rsidRPr="00C24BF0">
        <w:rPr>
          <w:sz w:val="24"/>
          <w:lang w:val="et-EE"/>
        </w:rPr>
        <w:t xml:space="preserve"> </w:t>
      </w:r>
      <w:proofErr w:type="spellStart"/>
      <w:r w:rsidRPr="00C24BF0">
        <w:rPr>
          <w:sz w:val="24"/>
          <w:lang w:val="et-EE"/>
        </w:rPr>
        <w:t>dietary</w:t>
      </w:r>
      <w:proofErr w:type="spellEnd"/>
      <w:r w:rsidRPr="00C24BF0">
        <w:rPr>
          <w:sz w:val="24"/>
          <w:lang w:val="et-EE"/>
        </w:rPr>
        <w:t xml:space="preserve"> </w:t>
      </w:r>
      <w:proofErr w:type="spellStart"/>
      <w:r w:rsidRPr="00C24BF0">
        <w:rPr>
          <w:sz w:val="24"/>
          <w:lang w:val="et-EE"/>
        </w:rPr>
        <w:t>sugars</w:t>
      </w:r>
      <w:proofErr w:type="spellEnd"/>
      <w:r w:rsidRPr="00C24BF0">
        <w:rPr>
          <w:sz w:val="24"/>
          <w:lang w:val="et-EE"/>
        </w:rPr>
        <w:t xml:space="preserve">“ (Toidusuhkrute lubatud päevadoos), </w:t>
      </w:r>
      <w:r w:rsidRPr="009042DF">
        <w:rPr>
          <w:sz w:val="24"/>
          <w:lang w:val="et-EE"/>
        </w:rPr>
        <w:t xml:space="preserve">EFSA </w:t>
      </w:r>
      <w:proofErr w:type="spellStart"/>
      <w:r w:rsidRPr="009042DF">
        <w:rPr>
          <w:sz w:val="24"/>
          <w:lang w:val="et-EE"/>
        </w:rPr>
        <w:t>Journal</w:t>
      </w:r>
      <w:proofErr w:type="spellEnd"/>
      <w:r w:rsidRPr="00E76A11">
        <w:rPr>
          <w:sz w:val="24"/>
          <w:lang w:val="et-EE"/>
        </w:rPr>
        <w:t>,</w:t>
      </w:r>
      <w:r w:rsidRPr="00C24BF0">
        <w:rPr>
          <w:sz w:val="24"/>
          <w:lang w:val="et-EE"/>
        </w:rPr>
        <w:t xml:space="preserve"> köide 20, nr 2, Euroopa</w:t>
      </w:r>
      <w:r w:rsidR="00E76A11">
        <w:rPr>
          <w:sz w:val="24"/>
          <w:lang w:val="et-EE"/>
        </w:rPr>
        <w:t xml:space="preserve"> Toiduohutusamet, 15. detsember </w:t>
      </w:r>
      <w:r w:rsidRPr="00C24BF0">
        <w:rPr>
          <w:sz w:val="24"/>
          <w:lang w:val="et-EE"/>
        </w:rPr>
        <w:t>2021.</w:t>
      </w:r>
    </w:p>
  </w:footnote>
  <w:footnote w:id="11">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Maailma Terviseorganisatsioon, „</w:t>
      </w:r>
      <w:proofErr w:type="spellStart"/>
      <w:r w:rsidRPr="00C24BF0">
        <w:rPr>
          <w:sz w:val="24"/>
          <w:lang w:val="et-EE"/>
        </w:rPr>
        <w:t>Nutrition</w:t>
      </w:r>
      <w:proofErr w:type="spellEnd"/>
      <w:r w:rsidRPr="00C24BF0">
        <w:rPr>
          <w:sz w:val="24"/>
          <w:lang w:val="et-EE"/>
        </w:rPr>
        <w:t xml:space="preserve"> </w:t>
      </w:r>
      <w:proofErr w:type="spellStart"/>
      <w:r w:rsidRPr="00C24BF0">
        <w:rPr>
          <w:sz w:val="24"/>
          <w:lang w:val="et-EE"/>
        </w:rPr>
        <w:t>labelling</w:t>
      </w:r>
      <w:proofErr w:type="spellEnd"/>
      <w:r w:rsidRPr="00C24BF0">
        <w:rPr>
          <w:sz w:val="24"/>
          <w:lang w:val="et-EE"/>
        </w:rPr>
        <w:t>:</w:t>
      </w:r>
      <w:r w:rsidRPr="00C24BF0">
        <w:rPr>
          <w:i/>
          <w:sz w:val="24"/>
          <w:lang w:val="et-EE"/>
        </w:rPr>
        <w:t xml:space="preserve"> </w:t>
      </w:r>
      <w:proofErr w:type="spellStart"/>
      <w:r w:rsidRPr="00C24BF0">
        <w:rPr>
          <w:sz w:val="24"/>
          <w:lang w:val="et-EE"/>
        </w:rPr>
        <w:t>policy</w:t>
      </w:r>
      <w:proofErr w:type="spellEnd"/>
      <w:r w:rsidRPr="00C24BF0">
        <w:rPr>
          <w:sz w:val="24"/>
          <w:lang w:val="et-EE"/>
        </w:rPr>
        <w:t xml:space="preserve"> </w:t>
      </w:r>
      <w:proofErr w:type="spellStart"/>
      <w:r w:rsidRPr="00C24BF0">
        <w:rPr>
          <w:sz w:val="24"/>
          <w:lang w:val="et-EE"/>
        </w:rPr>
        <w:t>brief</w:t>
      </w:r>
      <w:proofErr w:type="spellEnd"/>
      <w:r w:rsidRPr="00C24BF0">
        <w:rPr>
          <w:sz w:val="24"/>
          <w:lang w:val="et-EE"/>
        </w:rPr>
        <w:t>“ (Toitumisalase teabe märgistus: poliitikaülevaade), Maail</w:t>
      </w:r>
      <w:r w:rsidR="00E76A11">
        <w:rPr>
          <w:sz w:val="24"/>
          <w:lang w:val="et-EE"/>
        </w:rPr>
        <w:t>ma Terviseorganisatsioon, Genf, </w:t>
      </w:r>
      <w:r w:rsidRPr="00C24BF0">
        <w:rPr>
          <w:sz w:val="24"/>
          <w:lang w:val="et-EE"/>
        </w:rPr>
        <w:t>2022.</w:t>
      </w:r>
    </w:p>
  </w:footnote>
  <w:footnote w:id="12">
    <w:p w:rsidR="00AC158D" w:rsidRPr="00E76A11" w:rsidRDefault="00AC158D" w:rsidP="00C24BF0">
      <w:pPr>
        <w:pStyle w:val="FootnoteText"/>
        <w:ind w:left="567" w:hanging="567"/>
        <w:rPr>
          <w:sz w:val="24"/>
          <w:lang w:val="et-EE"/>
        </w:rPr>
      </w:pPr>
      <w:r w:rsidRPr="00E76A11">
        <w:rPr>
          <w:rStyle w:val="FootnoteReference"/>
          <w:sz w:val="24"/>
          <w:lang w:val="et-EE"/>
        </w:rPr>
        <w:footnoteRef/>
      </w:r>
      <w:r w:rsidR="00C24BF0" w:rsidRPr="00E76A11">
        <w:rPr>
          <w:sz w:val="24"/>
          <w:lang w:val="et-EE"/>
        </w:rPr>
        <w:t xml:space="preserve"> </w:t>
      </w:r>
      <w:r w:rsidR="00C24BF0" w:rsidRPr="00E76A11">
        <w:rPr>
          <w:sz w:val="24"/>
          <w:lang w:val="et-EE"/>
        </w:rPr>
        <w:tab/>
      </w:r>
      <w:r w:rsidRPr="00E76A11">
        <w:rPr>
          <w:sz w:val="24"/>
          <w:lang w:val="et-EE"/>
        </w:rPr>
        <w:t>Maailma Terviseorganisatsioon, „</w:t>
      </w:r>
      <w:proofErr w:type="spellStart"/>
      <w:r w:rsidRPr="009042DF">
        <w:rPr>
          <w:sz w:val="24"/>
          <w:lang w:val="et-EE"/>
        </w:rPr>
        <w:t>Guiding</w:t>
      </w:r>
      <w:proofErr w:type="spellEnd"/>
      <w:r w:rsidRPr="009042DF">
        <w:rPr>
          <w:sz w:val="24"/>
          <w:lang w:val="et-EE"/>
        </w:rPr>
        <w:t xml:space="preserve"> </w:t>
      </w:r>
      <w:proofErr w:type="spellStart"/>
      <w:r w:rsidRPr="009042DF">
        <w:rPr>
          <w:sz w:val="24"/>
          <w:lang w:val="et-EE"/>
        </w:rPr>
        <w:t>principles</w:t>
      </w:r>
      <w:proofErr w:type="spellEnd"/>
      <w:r w:rsidRPr="009042DF">
        <w:rPr>
          <w:sz w:val="24"/>
          <w:lang w:val="et-EE"/>
        </w:rPr>
        <w:t xml:space="preserve"> and </w:t>
      </w:r>
      <w:proofErr w:type="spellStart"/>
      <w:r w:rsidRPr="009042DF">
        <w:rPr>
          <w:sz w:val="24"/>
          <w:lang w:val="et-EE"/>
        </w:rPr>
        <w:t>framework</w:t>
      </w:r>
      <w:proofErr w:type="spellEnd"/>
      <w:r w:rsidRPr="009042DF">
        <w:rPr>
          <w:sz w:val="24"/>
          <w:lang w:val="et-EE"/>
        </w:rPr>
        <w:t xml:space="preserve"> </w:t>
      </w:r>
      <w:proofErr w:type="spellStart"/>
      <w:r w:rsidRPr="009042DF">
        <w:rPr>
          <w:sz w:val="24"/>
          <w:lang w:val="et-EE"/>
        </w:rPr>
        <w:t>manual</w:t>
      </w:r>
      <w:proofErr w:type="spellEnd"/>
      <w:r w:rsidRPr="009042DF">
        <w:rPr>
          <w:sz w:val="24"/>
          <w:lang w:val="et-EE"/>
        </w:rPr>
        <w:t xml:space="preserve"> </w:t>
      </w:r>
      <w:proofErr w:type="spellStart"/>
      <w:r w:rsidRPr="009042DF">
        <w:rPr>
          <w:sz w:val="24"/>
          <w:lang w:val="et-EE"/>
        </w:rPr>
        <w:t>for</w:t>
      </w:r>
      <w:proofErr w:type="spellEnd"/>
      <w:r w:rsidRPr="009042DF">
        <w:rPr>
          <w:sz w:val="24"/>
          <w:lang w:val="et-EE"/>
        </w:rPr>
        <w:t xml:space="preserve"> front-of-</w:t>
      </w:r>
      <w:proofErr w:type="spellStart"/>
      <w:r w:rsidRPr="009042DF">
        <w:rPr>
          <w:sz w:val="24"/>
          <w:lang w:val="et-EE"/>
        </w:rPr>
        <w:t>pack</w:t>
      </w:r>
      <w:proofErr w:type="spellEnd"/>
      <w:r w:rsidRPr="009042DF">
        <w:rPr>
          <w:sz w:val="24"/>
          <w:lang w:val="et-EE"/>
        </w:rPr>
        <w:t xml:space="preserve"> </w:t>
      </w:r>
      <w:proofErr w:type="spellStart"/>
      <w:r w:rsidRPr="009042DF">
        <w:rPr>
          <w:sz w:val="24"/>
          <w:lang w:val="et-EE"/>
        </w:rPr>
        <w:t>labelling</w:t>
      </w:r>
      <w:proofErr w:type="spellEnd"/>
      <w:r w:rsidRPr="009042DF">
        <w:rPr>
          <w:sz w:val="24"/>
          <w:lang w:val="et-EE"/>
        </w:rPr>
        <w:t xml:space="preserve"> </w:t>
      </w:r>
      <w:proofErr w:type="spellStart"/>
      <w:r w:rsidRPr="009042DF">
        <w:rPr>
          <w:sz w:val="24"/>
          <w:lang w:val="et-EE"/>
        </w:rPr>
        <w:t>for</w:t>
      </w:r>
      <w:proofErr w:type="spellEnd"/>
      <w:r w:rsidRPr="009042DF">
        <w:rPr>
          <w:sz w:val="24"/>
          <w:lang w:val="et-EE"/>
        </w:rPr>
        <w:t xml:space="preserve"> </w:t>
      </w:r>
      <w:proofErr w:type="spellStart"/>
      <w:r w:rsidRPr="009042DF">
        <w:rPr>
          <w:sz w:val="24"/>
          <w:lang w:val="et-EE"/>
        </w:rPr>
        <w:t>promoting</w:t>
      </w:r>
      <w:proofErr w:type="spellEnd"/>
      <w:r w:rsidRPr="009042DF">
        <w:rPr>
          <w:sz w:val="24"/>
          <w:lang w:val="et-EE"/>
        </w:rPr>
        <w:t xml:space="preserve"> </w:t>
      </w:r>
      <w:proofErr w:type="spellStart"/>
      <w:r w:rsidRPr="009042DF">
        <w:rPr>
          <w:sz w:val="24"/>
          <w:lang w:val="et-EE"/>
        </w:rPr>
        <w:t>healthy</w:t>
      </w:r>
      <w:proofErr w:type="spellEnd"/>
      <w:r w:rsidRPr="009042DF">
        <w:rPr>
          <w:sz w:val="24"/>
          <w:lang w:val="et-EE"/>
        </w:rPr>
        <w:t xml:space="preserve"> </w:t>
      </w:r>
      <w:proofErr w:type="spellStart"/>
      <w:r w:rsidRPr="009042DF">
        <w:rPr>
          <w:sz w:val="24"/>
          <w:lang w:val="et-EE"/>
        </w:rPr>
        <w:t>diets</w:t>
      </w:r>
      <w:proofErr w:type="spellEnd"/>
      <w:r w:rsidRPr="00E76A11">
        <w:rPr>
          <w:sz w:val="24"/>
          <w:lang w:val="et-EE"/>
        </w:rPr>
        <w:t>“ (Juhtpõhimõtted ja raamjuhend pakendi esiküljel esitatavaks märgistuseks, et edendada tervislikku toitumist), Maail</w:t>
      </w:r>
      <w:r w:rsidR="001557FC">
        <w:rPr>
          <w:sz w:val="24"/>
          <w:lang w:val="et-EE"/>
        </w:rPr>
        <w:t>ma Terviseorganisatsioon, Genf, </w:t>
      </w:r>
      <w:r w:rsidRPr="00E76A11">
        <w:rPr>
          <w:sz w:val="24"/>
          <w:lang w:val="et-EE"/>
        </w:rPr>
        <w:t>2019.</w:t>
      </w:r>
    </w:p>
  </w:footnote>
  <w:footnote w:id="13">
    <w:p w:rsidR="00AC158D" w:rsidRPr="00E76A11" w:rsidRDefault="00AC158D" w:rsidP="00C24BF0">
      <w:pPr>
        <w:pStyle w:val="FootnoteText"/>
        <w:ind w:left="567" w:hanging="567"/>
        <w:rPr>
          <w:sz w:val="24"/>
          <w:lang w:val="et-EE"/>
        </w:rPr>
      </w:pPr>
      <w:r w:rsidRPr="00E76A11">
        <w:rPr>
          <w:rStyle w:val="FootnoteReference"/>
          <w:sz w:val="24"/>
          <w:lang w:val="et-EE"/>
        </w:rPr>
        <w:footnoteRef/>
      </w:r>
      <w:r w:rsidR="00C24BF0" w:rsidRPr="00E76A11">
        <w:rPr>
          <w:sz w:val="24"/>
          <w:lang w:val="et-EE"/>
        </w:rPr>
        <w:t xml:space="preserve"> </w:t>
      </w:r>
      <w:r w:rsidR="00C24BF0" w:rsidRPr="00E76A11">
        <w:rPr>
          <w:sz w:val="24"/>
          <w:lang w:val="et-EE"/>
        </w:rPr>
        <w:tab/>
      </w:r>
      <w:r w:rsidRPr="00E76A11">
        <w:rPr>
          <w:sz w:val="24"/>
          <w:lang w:val="et-EE"/>
        </w:rPr>
        <w:t>UNICEF, „</w:t>
      </w:r>
      <w:proofErr w:type="spellStart"/>
      <w:r w:rsidRPr="009042DF">
        <w:rPr>
          <w:sz w:val="24"/>
          <w:lang w:val="et-EE"/>
        </w:rPr>
        <w:t>Children’s</w:t>
      </w:r>
      <w:proofErr w:type="spellEnd"/>
      <w:r w:rsidRPr="009042DF">
        <w:rPr>
          <w:sz w:val="24"/>
          <w:lang w:val="et-EE"/>
        </w:rPr>
        <w:t xml:space="preserve"> </w:t>
      </w:r>
      <w:proofErr w:type="spellStart"/>
      <w:r w:rsidRPr="009042DF">
        <w:rPr>
          <w:sz w:val="24"/>
          <w:lang w:val="et-EE"/>
        </w:rPr>
        <w:t>rights</w:t>
      </w:r>
      <w:proofErr w:type="spellEnd"/>
      <w:r w:rsidRPr="009042DF">
        <w:rPr>
          <w:sz w:val="24"/>
          <w:lang w:val="et-EE"/>
        </w:rPr>
        <w:t xml:space="preserve"> in </w:t>
      </w:r>
      <w:proofErr w:type="spellStart"/>
      <w:r w:rsidRPr="009042DF">
        <w:rPr>
          <w:sz w:val="24"/>
          <w:lang w:val="et-EE"/>
        </w:rPr>
        <w:t>impact</w:t>
      </w:r>
      <w:proofErr w:type="spellEnd"/>
      <w:r w:rsidRPr="009042DF">
        <w:rPr>
          <w:sz w:val="24"/>
          <w:lang w:val="et-EE"/>
        </w:rPr>
        <w:t xml:space="preserve"> </w:t>
      </w:r>
      <w:proofErr w:type="spellStart"/>
      <w:r w:rsidRPr="009042DF">
        <w:rPr>
          <w:sz w:val="24"/>
          <w:lang w:val="et-EE"/>
        </w:rPr>
        <w:t>assessments</w:t>
      </w:r>
      <w:proofErr w:type="spellEnd"/>
      <w:r w:rsidRPr="009042DF">
        <w:rPr>
          <w:sz w:val="24"/>
          <w:lang w:val="et-EE"/>
        </w:rPr>
        <w:t xml:space="preserve"> – A </w:t>
      </w:r>
      <w:proofErr w:type="spellStart"/>
      <w:r w:rsidRPr="009042DF">
        <w:rPr>
          <w:sz w:val="24"/>
          <w:lang w:val="et-EE"/>
        </w:rPr>
        <w:t>guide</w:t>
      </w:r>
      <w:proofErr w:type="spellEnd"/>
      <w:r w:rsidRPr="009042DF">
        <w:rPr>
          <w:sz w:val="24"/>
          <w:lang w:val="et-EE"/>
        </w:rPr>
        <w:t xml:space="preserve"> </w:t>
      </w:r>
      <w:proofErr w:type="spellStart"/>
      <w:r w:rsidRPr="009042DF">
        <w:rPr>
          <w:sz w:val="24"/>
          <w:lang w:val="et-EE"/>
        </w:rPr>
        <w:t>for</w:t>
      </w:r>
      <w:proofErr w:type="spellEnd"/>
      <w:r w:rsidRPr="009042DF">
        <w:rPr>
          <w:sz w:val="24"/>
          <w:lang w:val="et-EE"/>
        </w:rPr>
        <w:t xml:space="preserve"> </w:t>
      </w:r>
      <w:proofErr w:type="spellStart"/>
      <w:r w:rsidRPr="009042DF">
        <w:rPr>
          <w:sz w:val="24"/>
          <w:lang w:val="et-EE"/>
        </w:rPr>
        <w:t>integrating</w:t>
      </w:r>
      <w:proofErr w:type="spellEnd"/>
      <w:r w:rsidRPr="009042DF">
        <w:rPr>
          <w:sz w:val="24"/>
          <w:lang w:val="et-EE"/>
        </w:rPr>
        <w:t xml:space="preserve"> </w:t>
      </w:r>
      <w:proofErr w:type="spellStart"/>
      <w:r w:rsidRPr="009042DF">
        <w:rPr>
          <w:sz w:val="24"/>
          <w:lang w:val="et-EE"/>
        </w:rPr>
        <w:t>children’s</w:t>
      </w:r>
      <w:proofErr w:type="spellEnd"/>
      <w:r w:rsidRPr="009042DF">
        <w:rPr>
          <w:sz w:val="24"/>
          <w:lang w:val="et-EE"/>
        </w:rPr>
        <w:t xml:space="preserve"> </w:t>
      </w:r>
      <w:proofErr w:type="spellStart"/>
      <w:r w:rsidRPr="009042DF">
        <w:rPr>
          <w:sz w:val="24"/>
          <w:lang w:val="et-EE"/>
        </w:rPr>
        <w:t>rights</w:t>
      </w:r>
      <w:proofErr w:type="spellEnd"/>
      <w:r w:rsidRPr="009042DF">
        <w:rPr>
          <w:sz w:val="24"/>
          <w:lang w:val="et-EE"/>
        </w:rPr>
        <w:t xml:space="preserve"> </w:t>
      </w:r>
      <w:proofErr w:type="spellStart"/>
      <w:r w:rsidRPr="009042DF">
        <w:rPr>
          <w:sz w:val="24"/>
          <w:lang w:val="et-EE"/>
        </w:rPr>
        <w:t>into</w:t>
      </w:r>
      <w:proofErr w:type="spellEnd"/>
      <w:r w:rsidRPr="009042DF">
        <w:rPr>
          <w:sz w:val="24"/>
          <w:lang w:val="et-EE"/>
        </w:rPr>
        <w:t xml:space="preserve"> </w:t>
      </w:r>
      <w:proofErr w:type="spellStart"/>
      <w:r w:rsidRPr="009042DF">
        <w:rPr>
          <w:sz w:val="24"/>
          <w:lang w:val="et-EE"/>
        </w:rPr>
        <w:t>impact</w:t>
      </w:r>
      <w:proofErr w:type="spellEnd"/>
      <w:r w:rsidRPr="009042DF">
        <w:rPr>
          <w:sz w:val="24"/>
          <w:lang w:val="et-EE"/>
        </w:rPr>
        <w:t xml:space="preserve"> </w:t>
      </w:r>
      <w:proofErr w:type="spellStart"/>
      <w:r w:rsidRPr="009042DF">
        <w:rPr>
          <w:sz w:val="24"/>
          <w:lang w:val="et-EE"/>
        </w:rPr>
        <w:t>assessments</w:t>
      </w:r>
      <w:proofErr w:type="spellEnd"/>
      <w:r w:rsidRPr="009042DF">
        <w:rPr>
          <w:sz w:val="24"/>
          <w:lang w:val="et-EE"/>
        </w:rPr>
        <w:t xml:space="preserve"> and </w:t>
      </w:r>
      <w:proofErr w:type="spellStart"/>
      <w:r w:rsidRPr="009042DF">
        <w:rPr>
          <w:sz w:val="24"/>
          <w:lang w:val="et-EE"/>
        </w:rPr>
        <w:t>taking</w:t>
      </w:r>
      <w:proofErr w:type="spellEnd"/>
      <w:r w:rsidRPr="009042DF">
        <w:rPr>
          <w:sz w:val="24"/>
          <w:lang w:val="et-EE"/>
        </w:rPr>
        <w:t xml:space="preserve"> </w:t>
      </w:r>
      <w:proofErr w:type="spellStart"/>
      <w:r w:rsidRPr="009042DF">
        <w:rPr>
          <w:sz w:val="24"/>
          <w:lang w:val="et-EE"/>
        </w:rPr>
        <w:t>action</w:t>
      </w:r>
      <w:proofErr w:type="spellEnd"/>
      <w:r w:rsidRPr="009042DF">
        <w:rPr>
          <w:sz w:val="24"/>
          <w:lang w:val="et-EE"/>
        </w:rPr>
        <w:t xml:space="preserve"> </w:t>
      </w:r>
      <w:proofErr w:type="spellStart"/>
      <w:r w:rsidRPr="009042DF">
        <w:rPr>
          <w:sz w:val="24"/>
          <w:lang w:val="et-EE"/>
        </w:rPr>
        <w:t>for</w:t>
      </w:r>
      <w:proofErr w:type="spellEnd"/>
      <w:r w:rsidRPr="009042DF">
        <w:rPr>
          <w:sz w:val="24"/>
          <w:lang w:val="et-EE"/>
        </w:rPr>
        <w:t xml:space="preserve"> </w:t>
      </w:r>
      <w:proofErr w:type="spellStart"/>
      <w:r w:rsidRPr="009042DF">
        <w:rPr>
          <w:sz w:val="24"/>
          <w:lang w:val="et-EE"/>
        </w:rPr>
        <w:t>children</w:t>
      </w:r>
      <w:proofErr w:type="spellEnd"/>
      <w:r w:rsidRPr="00E76A11">
        <w:rPr>
          <w:sz w:val="24"/>
          <w:lang w:val="et-EE"/>
        </w:rPr>
        <w:t>“ (Lapse õigused mõjuhinnangutes: juhend lapse õiguste integreerimiseks mõjuhinnangutesse ja meetmete võtmine laste hüvanguks), UNICEF, Genf, detsember 2013.</w:t>
      </w:r>
    </w:p>
  </w:footnote>
  <w:footnote w:id="14">
    <w:p w:rsidR="00AC158D" w:rsidRPr="00E76A11" w:rsidRDefault="00AC158D" w:rsidP="00C24BF0">
      <w:pPr>
        <w:pStyle w:val="FootnoteText"/>
        <w:ind w:left="567" w:hanging="567"/>
        <w:rPr>
          <w:sz w:val="24"/>
          <w:lang w:val="et-EE"/>
        </w:rPr>
      </w:pPr>
      <w:r w:rsidRPr="00E76A11">
        <w:rPr>
          <w:rStyle w:val="FootnoteReference"/>
          <w:sz w:val="24"/>
          <w:lang w:val="et-EE"/>
        </w:rPr>
        <w:footnoteRef/>
      </w:r>
      <w:r w:rsidR="00C24BF0" w:rsidRPr="00E76A11">
        <w:rPr>
          <w:sz w:val="24"/>
          <w:lang w:val="et-EE"/>
        </w:rPr>
        <w:t xml:space="preserve"> </w:t>
      </w:r>
      <w:r w:rsidR="00C24BF0" w:rsidRPr="00E76A11">
        <w:rPr>
          <w:sz w:val="24"/>
          <w:lang w:val="et-EE"/>
        </w:rPr>
        <w:tab/>
      </w:r>
      <w:r w:rsidRPr="00E76A11">
        <w:rPr>
          <w:sz w:val="24"/>
          <w:lang w:val="et-EE"/>
        </w:rPr>
        <w:t>Kohtuotsus, Euroopa</w:t>
      </w:r>
      <w:r w:rsidR="001557FC">
        <w:rPr>
          <w:sz w:val="24"/>
          <w:lang w:val="et-EE"/>
        </w:rPr>
        <w:t xml:space="preserve"> Liidu</w:t>
      </w:r>
      <w:r w:rsidRPr="00E76A11">
        <w:rPr>
          <w:sz w:val="24"/>
          <w:lang w:val="et-EE"/>
        </w:rPr>
        <w:t xml:space="preserve"> Ko</w:t>
      </w:r>
      <w:r w:rsidR="001557FC">
        <w:rPr>
          <w:sz w:val="24"/>
          <w:lang w:val="et-EE"/>
        </w:rPr>
        <w:t>hus, 14. juuli </w:t>
      </w:r>
      <w:r w:rsidRPr="00E76A11">
        <w:rPr>
          <w:sz w:val="24"/>
          <w:lang w:val="et-EE"/>
        </w:rPr>
        <w:t xml:space="preserve">2016, Verband </w:t>
      </w:r>
      <w:proofErr w:type="spellStart"/>
      <w:r w:rsidRPr="00E76A11">
        <w:rPr>
          <w:sz w:val="24"/>
          <w:lang w:val="et-EE"/>
        </w:rPr>
        <w:t>Sozialer</w:t>
      </w:r>
      <w:proofErr w:type="spellEnd"/>
      <w:r w:rsidRPr="00E76A11">
        <w:rPr>
          <w:sz w:val="24"/>
          <w:lang w:val="et-EE"/>
        </w:rPr>
        <w:t xml:space="preserve"> </w:t>
      </w:r>
      <w:proofErr w:type="spellStart"/>
      <w:r w:rsidRPr="00E76A11">
        <w:rPr>
          <w:sz w:val="24"/>
          <w:lang w:val="et-EE"/>
        </w:rPr>
        <w:t>Wettbewerb</w:t>
      </w:r>
      <w:proofErr w:type="spellEnd"/>
      <w:r w:rsidRPr="00E76A11">
        <w:rPr>
          <w:sz w:val="24"/>
          <w:lang w:val="et-EE"/>
        </w:rPr>
        <w:t xml:space="preserve"> </w:t>
      </w:r>
      <w:proofErr w:type="spellStart"/>
      <w:r w:rsidRPr="00E76A11">
        <w:rPr>
          <w:sz w:val="24"/>
          <w:lang w:val="et-EE"/>
        </w:rPr>
        <w:t>eV</w:t>
      </w:r>
      <w:proofErr w:type="spellEnd"/>
      <w:r w:rsidRPr="00E76A11">
        <w:rPr>
          <w:sz w:val="24"/>
          <w:lang w:val="et-EE"/>
        </w:rPr>
        <w:t xml:space="preserve"> </w:t>
      </w:r>
      <w:r w:rsidRPr="001557FC">
        <w:rPr>
          <w:i/>
          <w:sz w:val="24"/>
          <w:lang w:val="et-EE"/>
        </w:rPr>
        <w:t>vs</w:t>
      </w:r>
      <w:r w:rsidRPr="00E76A11">
        <w:rPr>
          <w:sz w:val="24"/>
          <w:lang w:val="et-EE"/>
        </w:rPr>
        <w:t xml:space="preserve">. </w:t>
      </w:r>
      <w:proofErr w:type="spellStart"/>
      <w:r w:rsidRPr="00E76A11">
        <w:rPr>
          <w:sz w:val="24"/>
          <w:lang w:val="et-EE"/>
        </w:rPr>
        <w:t>Innova</w:t>
      </w:r>
      <w:proofErr w:type="spellEnd"/>
      <w:r w:rsidRPr="00E76A11">
        <w:rPr>
          <w:sz w:val="24"/>
          <w:lang w:val="et-EE"/>
        </w:rPr>
        <w:t xml:space="preserve"> </w:t>
      </w:r>
      <w:proofErr w:type="spellStart"/>
      <w:r w:rsidRPr="00E76A11">
        <w:rPr>
          <w:sz w:val="24"/>
          <w:lang w:val="et-EE"/>
        </w:rPr>
        <w:t>Vital</w:t>
      </w:r>
      <w:proofErr w:type="spellEnd"/>
      <w:r w:rsidRPr="00E76A11">
        <w:rPr>
          <w:sz w:val="24"/>
          <w:lang w:val="et-EE"/>
        </w:rPr>
        <w:t xml:space="preserve"> </w:t>
      </w:r>
      <w:proofErr w:type="spellStart"/>
      <w:r w:rsidRPr="00E76A11">
        <w:rPr>
          <w:sz w:val="24"/>
          <w:lang w:val="et-EE"/>
        </w:rPr>
        <w:t>GmbH</w:t>
      </w:r>
      <w:proofErr w:type="spellEnd"/>
      <w:r w:rsidRPr="00E76A11">
        <w:rPr>
          <w:sz w:val="24"/>
          <w:lang w:val="et-EE"/>
        </w:rPr>
        <w:t>, C-19/15, ECLI:EU:C:2016:563.</w:t>
      </w:r>
    </w:p>
  </w:footnote>
  <w:footnote w:id="15">
    <w:p w:rsidR="00AC158D" w:rsidRPr="00C24BF0" w:rsidRDefault="00AC158D" w:rsidP="00C24BF0">
      <w:pPr>
        <w:pStyle w:val="FootnoteText"/>
        <w:ind w:left="567" w:hanging="567"/>
        <w:rPr>
          <w:sz w:val="24"/>
          <w:lang w:val="et-EE"/>
        </w:rPr>
      </w:pPr>
      <w:r w:rsidRPr="00E76A11">
        <w:rPr>
          <w:rStyle w:val="FootnoteReference"/>
          <w:sz w:val="24"/>
          <w:lang w:val="et-EE"/>
        </w:rPr>
        <w:footnoteRef/>
      </w:r>
      <w:r w:rsidR="00C24BF0" w:rsidRPr="00E76A11">
        <w:rPr>
          <w:sz w:val="24"/>
          <w:lang w:val="et-EE"/>
        </w:rPr>
        <w:t xml:space="preserve"> </w:t>
      </w:r>
      <w:r w:rsidR="00C24BF0" w:rsidRPr="00E76A11">
        <w:rPr>
          <w:sz w:val="24"/>
          <w:lang w:val="et-EE"/>
        </w:rPr>
        <w:tab/>
      </w:r>
      <w:r w:rsidRPr="00E76A11">
        <w:rPr>
          <w:sz w:val="24"/>
          <w:lang w:val="et-EE"/>
        </w:rPr>
        <w:t>Euroopa Komisjon, „</w:t>
      </w:r>
      <w:proofErr w:type="spellStart"/>
      <w:r w:rsidRPr="009042DF">
        <w:rPr>
          <w:sz w:val="24"/>
          <w:lang w:val="et-EE"/>
        </w:rPr>
        <w:t>Final</w:t>
      </w:r>
      <w:proofErr w:type="spellEnd"/>
      <w:r w:rsidRPr="009042DF">
        <w:rPr>
          <w:sz w:val="24"/>
          <w:lang w:val="et-EE"/>
        </w:rPr>
        <w:t xml:space="preserve"> </w:t>
      </w:r>
      <w:proofErr w:type="spellStart"/>
      <w:r w:rsidRPr="009042DF">
        <w:rPr>
          <w:sz w:val="24"/>
          <w:lang w:val="et-EE"/>
        </w:rPr>
        <w:t>Report</w:t>
      </w:r>
      <w:proofErr w:type="spellEnd"/>
      <w:r w:rsidRPr="009042DF">
        <w:rPr>
          <w:sz w:val="24"/>
          <w:lang w:val="et-EE"/>
        </w:rPr>
        <w:t xml:space="preserve"> </w:t>
      </w:r>
      <w:proofErr w:type="spellStart"/>
      <w:r w:rsidRPr="009042DF">
        <w:rPr>
          <w:sz w:val="24"/>
          <w:lang w:val="et-EE"/>
        </w:rPr>
        <w:t>Summary</w:t>
      </w:r>
      <w:proofErr w:type="spellEnd"/>
      <w:r w:rsidRPr="009042DF">
        <w:rPr>
          <w:sz w:val="24"/>
          <w:lang w:val="et-EE"/>
        </w:rPr>
        <w:t xml:space="preserve"> – CLYMBOL (</w:t>
      </w:r>
      <w:proofErr w:type="spellStart"/>
      <w:r w:rsidRPr="009042DF">
        <w:rPr>
          <w:sz w:val="24"/>
          <w:lang w:val="et-EE"/>
        </w:rPr>
        <w:t>Role</w:t>
      </w:r>
      <w:proofErr w:type="spellEnd"/>
      <w:r w:rsidRPr="009042DF">
        <w:rPr>
          <w:sz w:val="24"/>
          <w:lang w:val="et-EE"/>
        </w:rPr>
        <w:t xml:space="preserve"> of </w:t>
      </w:r>
      <w:proofErr w:type="spellStart"/>
      <w:r w:rsidRPr="009042DF">
        <w:rPr>
          <w:sz w:val="24"/>
          <w:lang w:val="et-EE"/>
        </w:rPr>
        <w:t>health-related</w:t>
      </w:r>
      <w:proofErr w:type="spellEnd"/>
      <w:r w:rsidRPr="009042DF">
        <w:rPr>
          <w:sz w:val="24"/>
          <w:lang w:val="et-EE"/>
        </w:rPr>
        <w:t xml:space="preserve"> </w:t>
      </w:r>
      <w:proofErr w:type="spellStart"/>
      <w:r w:rsidRPr="009042DF">
        <w:rPr>
          <w:sz w:val="24"/>
          <w:lang w:val="et-EE"/>
        </w:rPr>
        <w:t>claims</w:t>
      </w:r>
      <w:proofErr w:type="spellEnd"/>
      <w:r w:rsidRPr="009042DF">
        <w:rPr>
          <w:sz w:val="24"/>
          <w:lang w:val="et-EE"/>
        </w:rPr>
        <w:t xml:space="preserve"> and </w:t>
      </w:r>
      <w:proofErr w:type="spellStart"/>
      <w:r w:rsidRPr="009042DF">
        <w:rPr>
          <w:sz w:val="24"/>
          <w:lang w:val="et-EE"/>
        </w:rPr>
        <w:t>symbols</w:t>
      </w:r>
      <w:proofErr w:type="spellEnd"/>
      <w:r w:rsidRPr="009042DF">
        <w:rPr>
          <w:sz w:val="24"/>
          <w:lang w:val="et-EE"/>
        </w:rPr>
        <w:t xml:space="preserve"> in </w:t>
      </w:r>
      <w:proofErr w:type="spellStart"/>
      <w:r w:rsidRPr="009042DF">
        <w:rPr>
          <w:sz w:val="24"/>
          <w:lang w:val="et-EE"/>
        </w:rPr>
        <w:t>consumer</w:t>
      </w:r>
      <w:proofErr w:type="spellEnd"/>
      <w:r w:rsidRPr="009042DF">
        <w:rPr>
          <w:sz w:val="24"/>
          <w:lang w:val="et-EE"/>
        </w:rPr>
        <w:t xml:space="preserve"> </w:t>
      </w:r>
      <w:proofErr w:type="spellStart"/>
      <w:r w:rsidRPr="009042DF">
        <w:rPr>
          <w:sz w:val="24"/>
          <w:lang w:val="et-EE"/>
        </w:rPr>
        <w:t>behaviour</w:t>
      </w:r>
      <w:proofErr w:type="spellEnd"/>
      <w:r w:rsidRPr="00E76A11">
        <w:rPr>
          <w:sz w:val="24"/>
          <w:lang w:val="et-EE"/>
        </w:rPr>
        <w:t>)“ (Lõpliku aruande kokkuvõte – CLYM</w:t>
      </w:r>
      <w:r w:rsidRPr="001557FC">
        <w:rPr>
          <w:sz w:val="24"/>
          <w:lang w:val="et-EE"/>
        </w:rPr>
        <w:t>BOL (tervisealaste väidete ja sümbolite rol</w:t>
      </w:r>
      <w:r w:rsidR="001557FC">
        <w:rPr>
          <w:sz w:val="24"/>
          <w:lang w:val="et-EE"/>
        </w:rPr>
        <w:t>l tarbijakäitumises)), 8. märts </w:t>
      </w:r>
      <w:r w:rsidRPr="001557FC">
        <w:rPr>
          <w:sz w:val="24"/>
          <w:lang w:val="et-EE"/>
        </w:rPr>
        <w:t>2017.</w:t>
      </w:r>
    </w:p>
  </w:footnote>
  <w:footnote w:id="16">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proofErr w:type="spellStart"/>
      <w:r w:rsidRPr="00C24BF0">
        <w:rPr>
          <w:sz w:val="24"/>
          <w:lang w:val="et-EE"/>
        </w:rPr>
        <w:t>Pichierri</w:t>
      </w:r>
      <w:proofErr w:type="spellEnd"/>
      <w:r w:rsidRPr="00C24BF0">
        <w:rPr>
          <w:sz w:val="24"/>
          <w:lang w:val="et-EE"/>
        </w:rPr>
        <w:t xml:space="preserve">, M. </w:t>
      </w:r>
      <w:r w:rsidRPr="00C24BF0">
        <w:rPr>
          <w:i/>
          <w:sz w:val="24"/>
          <w:lang w:val="et-EE"/>
        </w:rPr>
        <w:t xml:space="preserve">et </w:t>
      </w:r>
      <w:proofErr w:type="spellStart"/>
      <w:r w:rsidRPr="00C24BF0">
        <w:rPr>
          <w:i/>
          <w:sz w:val="24"/>
          <w:lang w:val="et-EE"/>
        </w:rPr>
        <w:t>al</w:t>
      </w:r>
      <w:proofErr w:type="spellEnd"/>
      <w:r w:rsidRPr="00C24BF0">
        <w:rPr>
          <w:sz w:val="24"/>
          <w:lang w:val="et-EE"/>
        </w:rPr>
        <w:t>., „</w:t>
      </w:r>
      <w:proofErr w:type="spellStart"/>
      <w:r w:rsidRPr="00C24BF0">
        <w:rPr>
          <w:sz w:val="24"/>
          <w:lang w:val="et-EE"/>
        </w:rPr>
        <w:t>The</w:t>
      </w:r>
      <w:proofErr w:type="spellEnd"/>
      <w:r w:rsidRPr="00C24BF0">
        <w:rPr>
          <w:sz w:val="24"/>
          <w:lang w:val="et-EE"/>
        </w:rPr>
        <w:t xml:space="preserve"> </w:t>
      </w:r>
      <w:proofErr w:type="spellStart"/>
      <w:r w:rsidRPr="00C24BF0">
        <w:rPr>
          <w:sz w:val="24"/>
          <w:lang w:val="et-EE"/>
        </w:rPr>
        <w:t>interplay</w:t>
      </w:r>
      <w:proofErr w:type="spellEnd"/>
      <w:r w:rsidRPr="00C24BF0">
        <w:rPr>
          <w:sz w:val="24"/>
          <w:lang w:val="et-EE"/>
        </w:rPr>
        <w:t xml:space="preserve"> </w:t>
      </w:r>
      <w:proofErr w:type="spellStart"/>
      <w:r w:rsidRPr="00C24BF0">
        <w:rPr>
          <w:sz w:val="24"/>
          <w:lang w:val="et-EE"/>
        </w:rPr>
        <w:t>between</w:t>
      </w:r>
      <w:proofErr w:type="spellEnd"/>
      <w:r w:rsidRPr="00C24BF0">
        <w:rPr>
          <w:sz w:val="24"/>
          <w:lang w:val="et-EE"/>
        </w:rPr>
        <w:t xml:space="preserve"> </w:t>
      </w:r>
      <w:proofErr w:type="spellStart"/>
      <w:r w:rsidRPr="00C24BF0">
        <w:rPr>
          <w:sz w:val="24"/>
          <w:lang w:val="et-EE"/>
        </w:rPr>
        <w:t>health</w:t>
      </w:r>
      <w:proofErr w:type="spellEnd"/>
      <w:r w:rsidRPr="00C24BF0">
        <w:rPr>
          <w:sz w:val="24"/>
          <w:lang w:val="et-EE"/>
        </w:rPr>
        <w:t xml:space="preserve"> </w:t>
      </w:r>
      <w:proofErr w:type="spellStart"/>
      <w:r w:rsidRPr="00C24BF0">
        <w:rPr>
          <w:sz w:val="24"/>
          <w:lang w:val="et-EE"/>
        </w:rPr>
        <w:t>claim</w:t>
      </w:r>
      <w:proofErr w:type="spellEnd"/>
      <w:r w:rsidRPr="00C24BF0">
        <w:rPr>
          <w:sz w:val="24"/>
          <w:lang w:val="et-EE"/>
        </w:rPr>
        <w:t xml:space="preserve"> </w:t>
      </w:r>
      <w:proofErr w:type="spellStart"/>
      <w:r w:rsidRPr="00C24BF0">
        <w:rPr>
          <w:sz w:val="24"/>
          <w:lang w:val="et-EE"/>
        </w:rPr>
        <w:t>type</w:t>
      </w:r>
      <w:proofErr w:type="spellEnd"/>
      <w:r w:rsidRPr="00C24BF0">
        <w:rPr>
          <w:sz w:val="24"/>
          <w:lang w:val="et-EE"/>
        </w:rPr>
        <w:t xml:space="preserve"> and </w:t>
      </w:r>
      <w:proofErr w:type="spellStart"/>
      <w:r w:rsidRPr="00C24BF0">
        <w:rPr>
          <w:sz w:val="24"/>
          <w:lang w:val="et-EE"/>
        </w:rPr>
        <w:t>individual</w:t>
      </w:r>
      <w:proofErr w:type="spellEnd"/>
      <w:r w:rsidRPr="00C24BF0">
        <w:rPr>
          <w:sz w:val="24"/>
          <w:lang w:val="et-EE"/>
        </w:rPr>
        <w:t xml:space="preserve"> </w:t>
      </w:r>
      <w:proofErr w:type="spellStart"/>
      <w:r w:rsidRPr="00C24BF0">
        <w:rPr>
          <w:sz w:val="24"/>
          <w:lang w:val="et-EE"/>
        </w:rPr>
        <w:t>regulatory</w:t>
      </w:r>
      <w:proofErr w:type="spellEnd"/>
      <w:r w:rsidRPr="00C24BF0">
        <w:rPr>
          <w:sz w:val="24"/>
          <w:lang w:val="et-EE"/>
        </w:rPr>
        <w:t xml:space="preserve"> </w:t>
      </w:r>
      <w:proofErr w:type="spellStart"/>
      <w:r w:rsidRPr="00C24BF0">
        <w:rPr>
          <w:sz w:val="24"/>
          <w:lang w:val="et-EE"/>
        </w:rPr>
        <w:t>focus</w:t>
      </w:r>
      <w:proofErr w:type="spellEnd"/>
      <w:r w:rsidRPr="00C24BF0">
        <w:rPr>
          <w:sz w:val="24"/>
          <w:lang w:val="et-EE"/>
        </w:rPr>
        <w:t xml:space="preserve"> in </w:t>
      </w:r>
      <w:proofErr w:type="spellStart"/>
      <w:r w:rsidRPr="00C24BF0">
        <w:rPr>
          <w:sz w:val="24"/>
          <w:lang w:val="et-EE"/>
        </w:rPr>
        <w:t>determining</w:t>
      </w:r>
      <w:proofErr w:type="spellEnd"/>
      <w:r w:rsidRPr="00C24BF0">
        <w:rPr>
          <w:sz w:val="24"/>
          <w:lang w:val="et-EE"/>
        </w:rPr>
        <w:t xml:space="preserve"> </w:t>
      </w:r>
      <w:proofErr w:type="spellStart"/>
      <w:r w:rsidRPr="00C24BF0">
        <w:rPr>
          <w:sz w:val="24"/>
          <w:lang w:val="et-EE"/>
        </w:rPr>
        <w:t>consumers</w:t>
      </w:r>
      <w:proofErr w:type="spellEnd"/>
      <w:r w:rsidRPr="00C24BF0">
        <w:rPr>
          <w:sz w:val="24"/>
          <w:lang w:val="et-EE"/>
        </w:rPr>
        <w:t xml:space="preserve">’ </w:t>
      </w:r>
      <w:proofErr w:type="spellStart"/>
      <w:r w:rsidRPr="00C24BF0">
        <w:rPr>
          <w:sz w:val="24"/>
          <w:lang w:val="et-EE"/>
        </w:rPr>
        <w:t>intentions</w:t>
      </w:r>
      <w:proofErr w:type="spellEnd"/>
      <w:r w:rsidRPr="00C24BF0">
        <w:rPr>
          <w:sz w:val="24"/>
          <w:lang w:val="et-EE"/>
        </w:rPr>
        <w:t xml:space="preserve"> </w:t>
      </w:r>
      <w:proofErr w:type="spellStart"/>
      <w:r w:rsidRPr="00C24BF0">
        <w:rPr>
          <w:sz w:val="24"/>
          <w:lang w:val="et-EE"/>
        </w:rPr>
        <w:t>toward</w:t>
      </w:r>
      <w:proofErr w:type="spellEnd"/>
      <w:r w:rsidRPr="00C24BF0">
        <w:rPr>
          <w:sz w:val="24"/>
          <w:lang w:val="et-EE"/>
        </w:rPr>
        <w:t xml:space="preserve"> </w:t>
      </w:r>
      <w:proofErr w:type="spellStart"/>
      <w:r w:rsidRPr="00C24BF0">
        <w:rPr>
          <w:sz w:val="24"/>
          <w:lang w:val="et-EE"/>
        </w:rPr>
        <w:t>extra-virgin</w:t>
      </w:r>
      <w:proofErr w:type="spellEnd"/>
      <w:r w:rsidRPr="00C24BF0">
        <w:rPr>
          <w:sz w:val="24"/>
          <w:lang w:val="et-EE"/>
        </w:rPr>
        <w:t xml:space="preserve"> </w:t>
      </w:r>
      <w:proofErr w:type="spellStart"/>
      <w:r w:rsidRPr="00C24BF0">
        <w:rPr>
          <w:sz w:val="24"/>
          <w:lang w:val="et-EE"/>
        </w:rPr>
        <w:t>olive</w:t>
      </w:r>
      <w:proofErr w:type="spellEnd"/>
      <w:r w:rsidRPr="00C24BF0">
        <w:rPr>
          <w:sz w:val="24"/>
          <w:lang w:val="et-EE"/>
        </w:rPr>
        <w:t xml:space="preserve"> </w:t>
      </w:r>
      <w:proofErr w:type="spellStart"/>
      <w:r w:rsidRPr="00C24BF0">
        <w:rPr>
          <w:sz w:val="24"/>
          <w:lang w:val="et-EE"/>
        </w:rPr>
        <w:t>oil</w:t>
      </w:r>
      <w:proofErr w:type="spellEnd"/>
      <w:r w:rsidRPr="00C24BF0">
        <w:rPr>
          <w:sz w:val="24"/>
          <w:lang w:val="et-EE"/>
        </w:rPr>
        <w:t>“ (Tervisealase väite tüübi ja individuaalse regulatiivse fookuse koosmõju tarbijate kavatsuste kindlaksmääramisel ekstra-</w:t>
      </w:r>
      <w:proofErr w:type="spellStart"/>
      <w:r w:rsidRPr="00C24BF0">
        <w:rPr>
          <w:sz w:val="24"/>
          <w:lang w:val="et-EE"/>
        </w:rPr>
        <w:t>väärisoliiviõli</w:t>
      </w:r>
      <w:proofErr w:type="spellEnd"/>
      <w:r w:rsidRPr="00C24BF0">
        <w:rPr>
          <w:sz w:val="24"/>
          <w:lang w:val="et-EE"/>
        </w:rPr>
        <w:t xml:space="preserve"> suhtes), </w:t>
      </w:r>
      <w:proofErr w:type="spellStart"/>
      <w:r w:rsidRPr="00C24BF0">
        <w:rPr>
          <w:sz w:val="24"/>
          <w:lang w:val="et-EE"/>
        </w:rPr>
        <w:t>Food</w:t>
      </w:r>
      <w:proofErr w:type="spellEnd"/>
      <w:r w:rsidRPr="00C24BF0">
        <w:rPr>
          <w:sz w:val="24"/>
          <w:lang w:val="et-EE"/>
        </w:rPr>
        <w:t xml:space="preserve"> </w:t>
      </w:r>
      <w:proofErr w:type="spellStart"/>
      <w:r w:rsidRPr="00C24BF0">
        <w:rPr>
          <w:sz w:val="24"/>
          <w:lang w:val="et-EE"/>
        </w:rPr>
        <w:t>Research</w:t>
      </w:r>
      <w:proofErr w:type="spellEnd"/>
      <w:r w:rsidRPr="00C24BF0">
        <w:rPr>
          <w:sz w:val="24"/>
          <w:lang w:val="et-EE"/>
        </w:rPr>
        <w:t xml:space="preserve"> International, köide 136, artikkel 109467, </w:t>
      </w:r>
      <w:proofErr w:type="spellStart"/>
      <w:r w:rsidRPr="00C24BF0">
        <w:rPr>
          <w:sz w:val="24"/>
          <w:lang w:val="et-EE"/>
        </w:rPr>
        <w:t>Elsevier</w:t>
      </w:r>
      <w:proofErr w:type="spellEnd"/>
      <w:r w:rsidRPr="00C24BF0">
        <w:rPr>
          <w:sz w:val="24"/>
          <w:lang w:val="et-EE"/>
        </w:rPr>
        <w:t>, oktoober 2020.</w:t>
      </w:r>
    </w:p>
  </w:footnote>
  <w:footnote w:id="17">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 xml:space="preserve">Maailma Terviseorganisatsioon, </w:t>
      </w:r>
      <w:r w:rsidRPr="001557FC">
        <w:rPr>
          <w:sz w:val="24"/>
          <w:lang w:val="et-EE"/>
        </w:rPr>
        <w:t>„</w:t>
      </w:r>
      <w:hyperlink r:id="rId1" w:history="1">
        <w:r w:rsidRPr="009042DF">
          <w:rPr>
            <w:rStyle w:val="Hyperlink"/>
            <w:sz w:val="24"/>
            <w:lang w:val="et-EE"/>
          </w:rPr>
          <w:t xml:space="preserve">WHO </w:t>
        </w:r>
        <w:proofErr w:type="spellStart"/>
        <w:r w:rsidRPr="009042DF">
          <w:rPr>
            <w:rStyle w:val="Hyperlink"/>
            <w:sz w:val="24"/>
            <w:lang w:val="et-EE"/>
          </w:rPr>
          <w:t>E</w:t>
        </w:r>
        <w:r w:rsidR="001557FC">
          <w:rPr>
            <w:rStyle w:val="Hyperlink"/>
            <w:sz w:val="24"/>
            <w:lang w:val="et-EE"/>
          </w:rPr>
          <w:t>uropean</w:t>
        </w:r>
        <w:proofErr w:type="spellEnd"/>
        <w:r w:rsidR="001557FC">
          <w:rPr>
            <w:rStyle w:val="Hyperlink"/>
            <w:sz w:val="24"/>
            <w:lang w:val="et-EE"/>
          </w:rPr>
          <w:t xml:space="preserve"> </w:t>
        </w:r>
        <w:proofErr w:type="spellStart"/>
        <w:r w:rsidR="001557FC">
          <w:rPr>
            <w:rStyle w:val="Hyperlink"/>
            <w:sz w:val="24"/>
            <w:lang w:val="et-EE"/>
          </w:rPr>
          <w:t>Regional</w:t>
        </w:r>
        <w:proofErr w:type="spellEnd"/>
        <w:r w:rsidR="001557FC">
          <w:rPr>
            <w:rStyle w:val="Hyperlink"/>
            <w:sz w:val="24"/>
            <w:lang w:val="et-EE"/>
          </w:rPr>
          <w:t xml:space="preserve"> </w:t>
        </w:r>
        <w:proofErr w:type="spellStart"/>
        <w:r w:rsidR="001557FC">
          <w:rPr>
            <w:rStyle w:val="Hyperlink"/>
            <w:sz w:val="24"/>
            <w:lang w:val="et-EE"/>
          </w:rPr>
          <w:t>Obesity</w:t>
        </w:r>
        <w:proofErr w:type="spellEnd"/>
        <w:r w:rsidR="001557FC">
          <w:rPr>
            <w:rStyle w:val="Hyperlink"/>
            <w:sz w:val="24"/>
            <w:lang w:val="et-EE"/>
          </w:rPr>
          <w:t xml:space="preserve"> </w:t>
        </w:r>
        <w:proofErr w:type="spellStart"/>
        <w:r w:rsidR="001557FC">
          <w:rPr>
            <w:rStyle w:val="Hyperlink"/>
            <w:sz w:val="24"/>
            <w:lang w:val="et-EE"/>
          </w:rPr>
          <w:t>Report</w:t>
        </w:r>
        <w:proofErr w:type="spellEnd"/>
        <w:r w:rsidR="001557FC">
          <w:rPr>
            <w:rStyle w:val="Hyperlink"/>
            <w:sz w:val="24"/>
            <w:lang w:val="et-EE"/>
          </w:rPr>
          <w:t> </w:t>
        </w:r>
        <w:r w:rsidRPr="009042DF">
          <w:rPr>
            <w:rStyle w:val="Hyperlink"/>
            <w:sz w:val="24"/>
            <w:lang w:val="et-EE"/>
          </w:rPr>
          <w:t>2022</w:t>
        </w:r>
      </w:hyperlink>
      <w:r w:rsidRPr="001557FC">
        <w:rPr>
          <w:sz w:val="24"/>
          <w:lang w:val="et-EE"/>
        </w:rPr>
        <w:t xml:space="preserve">“ </w:t>
      </w:r>
      <w:r w:rsidRPr="00C24BF0">
        <w:rPr>
          <w:sz w:val="24"/>
          <w:lang w:val="et-EE"/>
        </w:rPr>
        <w:t>(WHO Euroopa piirkondlik aruanne rasvumise kohta,</w:t>
      </w:r>
      <w:r w:rsidR="001557FC">
        <w:rPr>
          <w:sz w:val="24"/>
          <w:lang w:val="et-EE"/>
        </w:rPr>
        <w:t> </w:t>
      </w:r>
      <w:r w:rsidRPr="00C24BF0">
        <w:rPr>
          <w:sz w:val="24"/>
          <w:lang w:val="et-EE"/>
        </w:rPr>
        <w:t>2022), Maailma Terviseorganisatsioon, Genf, 2022.</w:t>
      </w:r>
    </w:p>
  </w:footnote>
  <w:footnote w:id="18">
    <w:p w:rsidR="00AC158D" w:rsidRPr="00C24BF0" w:rsidRDefault="00AC158D" w:rsidP="00C24BF0">
      <w:pPr>
        <w:pStyle w:val="FootnoteText"/>
        <w:ind w:left="567" w:hanging="567"/>
        <w:rPr>
          <w:rFonts w:eastAsia="Arial"/>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001557FC">
        <w:rPr>
          <w:sz w:val="24"/>
          <w:lang w:val="et-EE"/>
        </w:rPr>
        <w:t>ELT C </w:t>
      </w:r>
      <w:r w:rsidRPr="00C24BF0">
        <w:rPr>
          <w:sz w:val="24"/>
          <w:lang w:val="et-EE"/>
        </w:rPr>
        <w:t>342, 6.9.2022, lk 109.</w:t>
      </w:r>
    </w:p>
  </w:footnote>
  <w:footnote w:id="19">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Euroopa Toiduohutusamet, „</w:t>
      </w:r>
      <w:r w:rsidRPr="009042DF">
        <w:rPr>
          <w:sz w:val="24"/>
          <w:lang w:val="et-EE"/>
        </w:rPr>
        <w:t xml:space="preserve">EFSA </w:t>
      </w:r>
      <w:proofErr w:type="spellStart"/>
      <w:r w:rsidRPr="009042DF">
        <w:rPr>
          <w:sz w:val="24"/>
          <w:lang w:val="et-EE"/>
        </w:rPr>
        <w:t>explains</w:t>
      </w:r>
      <w:proofErr w:type="spellEnd"/>
      <w:r w:rsidRPr="009042DF">
        <w:rPr>
          <w:sz w:val="24"/>
          <w:lang w:val="et-EE"/>
        </w:rPr>
        <w:t xml:space="preserve"> </w:t>
      </w:r>
      <w:proofErr w:type="spellStart"/>
      <w:r w:rsidRPr="009042DF">
        <w:rPr>
          <w:sz w:val="24"/>
          <w:lang w:val="et-EE"/>
        </w:rPr>
        <w:t>draft</w:t>
      </w:r>
      <w:proofErr w:type="spellEnd"/>
      <w:r w:rsidRPr="009042DF">
        <w:rPr>
          <w:sz w:val="24"/>
          <w:lang w:val="et-EE"/>
        </w:rPr>
        <w:t xml:space="preserve"> </w:t>
      </w:r>
      <w:proofErr w:type="spellStart"/>
      <w:r w:rsidRPr="009042DF">
        <w:rPr>
          <w:sz w:val="24"/>
          <w:lang w:val="et-EE"/>
        </w:rPr>
        <w:t>scientific</w:t>
      </w:r>
      <w:proofErr w:type="spellEnd"/>
      <w:r w:rsidRPr="009042DF">
        <w:rPr>
          <w:sz w:val="24"/>
          <w:lang w:val="et-EE"/>
        </w:rPr>
        <w:t xml:space="preserve"> </w:t>
      </w:r>
      <w:proofErr w:type="spellStart"/>
      <w:r w:rsidRPr="009042DF">
        <w:rPr>
          <w:sz w:val="24"/>
          <w:lang w:val="et-EE"/>
        </w:rPr>
        <w:t>opinion</w:t>
      </w:r>
      <w:proofErr w:type="spellEnd"/>
      <w:r w:rsidRPr="009042DF">
        <w:rPr>
          <w:sz w:val="24"/>
          <w:lang w:val="et-EE"/>
        </w:rPr>
        <w:t xml:space="preserve"> on a </w:t>
      </w:r>
      <w:proofErr w:type="spellStart"/>
      <w:r w:rsidRPr="009042DF">
        <w:rPr>
          <w:sz w:val="24"/>
          <w:lang w:val="et-EE"/>
        </w:rPr>
        <w:t>tolerable</w:t>
      </w:r>
      <w:proofErr w:type="spellEnd"/>
      <w:r w:rsidRPr="009042DF">
        <w:rPr>
          <w:sz w:val="24"/>
          <w:lang w:val="et-EE"/>
        </w:rPr>
        <w:t xml:space="preserve"> </w:t>
      </w:r>
      <w:proofErr w:type="spellStart"/>
      <w:r w:rsidRPr="009042DF">
        <w:rPr>
          <w:sz w:val="24"/>
          <w:lang w:val="et-EE"/>
        </w:rPr>
        <w:t>upper</w:t>
      </w:r>
      <w:proofErr w:type="spellEnd"/>
      <w:r w:rsidRPr="009042DF">
        <w:rPr>
          <w:sz w:val="24"/>
          <w:lang w:val="et-EE"/>
        </w:rPr>
        <w:t xml:space="preserve"> </w:t>
      </w:r>
      <w:proofErr w:type="spellStart"/>
      <w:r w:rsidRPr="009042DF">
        <w:rPr>
          <w:sz w:val="24"/>
          <w:lang w:val="et-EE"/>
        </w:rPr>
        <w:t>intake</w:t>
      </w:r>
      <w:proofErr w:type="spellEnd"/>
      <w:r w:rsidRPr="009042DF">
        <w:rPr>
          <w:sz w:val="24"/>
          <w:lang w:val="et-EE"/>
        </w:rPr>
        <w:t xml:space="preserve"> </w:t>
      </w:r>
      <w:proofErr w:type="spellStart"/>
      <w:r w:rsidRPr="009042DF">
        <w:rPr>
          <w:sz w:val="24"/>
          <w:lang w:val="et-EE"/>
        </w:rPr>
        <w:t>level</w:t>
      </w:r>
      <w:proofErr w:type="spellEnd"/>
      <w:r w:rsidRPr="009042DF">
        <w:rPr>
          <w:sz w:val="24"/>
          <w:lang w:val="et-EE"/>
        </w:rPr>
        <w:t xml:space="preserve"> </w:t>
      </w:r>
      <w:proofErr w:type="spellStart"/>
      <w:r w:rsidRPr="009042DF">
        <w:rPr>
          <w:sz w:val="24"/>
          <w:lang w:val="et-EE"/>
        </w:rPr>
        <w:t>for</w:t>
      </w:r>
      <w:proofErr w:type="spellEnd"/>
      <w:r w:rsidRPr="009042DF">
        <w:rPr>
          <w:sz w:val="24"/>
          <w:lang w:val="et-EE"/>
        </w:rPr>
        <w:t xml:space="preserve"> </w:t>
      </w:r>
      <w:proofErr w:type="spellStart"/>
      <w:r w:rsidRPr="009042DF">
        <w:rPr>
          <w:sz w:val="24"/>
          <w:lang w:val="et-EE"/>
        </w:rPr>
        <w:t>dietary</w:t>
      </w:r>
      <w:proofErr w:type="spellEnd"/>
      <w:r w:rsidRPr="009042DF">
        <w:rPr>
          <w:sz w:val="24"/>
          <w:lang w:val="et-EE"/>
        </w:rPr>
        <w:t xml:space="preserve"> </w:t>
      </w:r>
      <w:proofErr w:type="spellStart"/>
      <w:r w:rsidRPr="009042DF">
        <w:rPr>
          <w:sz w:val="24"/>
          <w:lang w:val="et-EE"/>
        </w:rPr>
        <w:t>sugars</w:t>
      </w:r>
      <w:proofErr w:type="spellEnd"/>
      <w:r w:rsidRPr="00C24BF0">
        <w:rPr>
          <w:sz w:val="24"/>
          <w:lang w:val="et-EE"/>
        </w:rPr>
        <w:t>“ (EFSA selgitab teadusliku arvamuse eelnõud toidusuhkrute lubatud päevadoosi k</w:t>
      </w:r>
      <w:r w:rsidR="001557FC">
        <w:rPr>
          <w:sz w:val="24"/>
          <w:lang w:val="et-EE"/>
        </w:rPr>
        <w:t>ohta), Euroopa Toiduohutusamet, </w:t>
      </w:r>
      <w:r w:rsidRPr="00C24BF0">
        <w:rPr>
          <w:sz w:val="24"/>
          <w:lang w:val="et-EE"/>
        </w:rPr>
        <w:t>2021.</w:t>
      </w:r>
    </w:p>
  </w:footnote>
  <w:footnote w:id="20">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proofErr w:type="spellStart"/>
      <w:r w:rsidRPr="00C24BF0">
        <w:rPr>
          <w:sz w:val="24"/>
          <w:lang w:val="et-EE"/>
        </w:rPr>
        <w:t>Ashwell</w:t>
      </w:r>
      <w:proofErr w:type="spellEnd"/>
      <w:r w:rsidRPr="00C24BF0">
        <w:rPr>
          <w:sz w:val="24"/>
          <w:lang w:val="et-EE"/>
        </w:rPr>
        <w:t xml:space="preserve">, M., </w:t>
      </w:r>
      <w:r w:rsidRPr="00C24BF0">
        <w:rPr>
          <w:i/>
          <w:sz w:val="24"/>
          <w:lang w:val="et-EE"/>
        </w:rPr>
        <w:t xml:space="preserve">et </w:t>
      </w:r>
      <w:proofErr w:type="spellStart"/>
      <w:r w:rsidRPr="00C24BF0">
        <w:rPr>
          <w:i/>
          <w:sz w:val="24"/>
          <w:lang w:val="et-EE"/>
        </w:rPr>
        <w:t>al</w:t>
      </w:r>
      <w:proofErr w:type="spellEnd"/>
      <w:r w:rsidRPr="00C24BF0">
        <w:rPr>
          <w:sz w:val="24"/>
          <w:lang w:val="et-EE"/>
        </w:rPr>
        <w:t>., „</w:t>
      </w:r>
      <w:proofErr w:type="spellStart"/>
      <w:r w:rsidRPr="00C24BF0">
        <w:rPr>
          <w:sz w:val="24"/>
          <w:lang w:val="et-EE"/>
        </w:rPr>
        <w:t>Nature</w:t>
      </w:r>
      <w:proofErr w:type="spellEnd"/>
      <w:r w:rsidRPr="00C24BF0">
        <w:rPr>
          <w:sz w:val="24"/>
          <w:lang w:val="et-EE"/>
        </w:rPr>
        <w:t xml:space="preserve"> of </w:t>
      </w:r>
      <w:proofErr w:type="spellStart"/>
      <w:r w:rsidRPr="00C24BF0">
        <w:rPr>
          <w:sz w:val="24"/>
          <w:lang w:val="et-EE"/>
        </w:rPr>
        <w:t>the</w:t>
      </w:r>
      <w:proofErr w:type="spellEnd"/>
      <w:r w:rsidRPr="00C24BF0">
        <w:rPr>
          <w:sz w:val="24"/>
          <w:lang w:val="et-EE"/>
        </w:rPr>
        <w:t xml:space="preserve"> </w:t>
      </w:r>
      <w:proofErr w:type="spellStart"/>
      <w:r w:rsidRPr="00C24BF0">
        <w:rPr>
          <w:sz w:val="24"/>
          <w:lang w:val="et-EE"/>
        </w:rPr>
        <w:t>evidence</w:t>
      </w:r>
      <w:proofErr w:type="spellEnd"/>
      <w:r w:rsidRPr="00C24BF0">
        <w:rPr>
          <w:sz w:val="24"/>
          <w:lang w:val="et-EE"/>
        </w:rPr>
        <w:t xml:space="preserve"> </w:t>
      </w:r>
      <w:proofErr w:type="spellStart"/>
      <w:r w:rsidRPr="00C24BF0">
        <w:rPr>
          <w:sz w:val="24"/>
          <w:lang w:val="et-EE"/>
        </w:rPr>
        <w:t>base</w:t>
      </w:r>
      <w:proofErr w:type="spellEnd"/>
      <w:r w:rsidRPr="00C24BF0">
        <w:rPr>
          <w:sz w:val="24"/>
          <w:lang w:val="et-EE"/>
        </w:rPr>
        <w:t xml:space="preserve"> and </w:t>
      </w:r>
      <w:proofErr w:type="spellStart"/>
      <w:r w:rsidRPr="00C24BF0">
        <w:rPr>
          <w:sz w:val="24"/>
          <w:lang w:val="et-EE"/>
        </w:rPr>
        <w:t>strengths</w:t>
      </w:r>
      <w:proofErr w:type="spellEnd"/>
      <w:r w:rsidRPr="00C24BF0">
        <w:rPr>
          <w:sz w:val="24"/>
          <w:lang w:val="et-EE"/>
        </w:rPr>
        <w:t xml:space="preserve">, </w:t>
      </w:r>
      <w:proofErr w:type="spellStart"/>
      <w:r w:rsidRPr="00C24BF0">
        <w:rPr>
          <w:sz w:val="24"/>
          <w:lang w:val="et-EE"/>
        </w:rPr>
        <w:t>challenges</w:t>
      </w:r>
      <w:proofErr w:type="spellEnd"/>
      <w:r w:rsidRPr="00C24BF0">
        <w:rPr>
          <w:sz w:val="24"/>
          <w:lang w:val="et-EE"/>
        </w:rPr>
        <w:t xml:space="preserve"> and </w:t>
      </w:r>
      <w:proofErr w:type="spellStart"/>
      <w:r w:rsidRPr="00C24BF0">
        <w:rPr>
          <w:sz w:val="24"/>
          <w:lang w:val="et-EE"/>
        </w:rPr>
        <w:t>recommendations</w:t>
      </w:r>
      <w:proofErr w:type="spellEnd"/>
      <w:r w:rsidRPr="00C24BF0">
        <w:rPr>
          <w:sz w:val="24"/>
          <w:lang w:val="et-EE"/>
        </w:rPr>
        <w:t xml:space="preserve"> in </w:t>
      </w:r>
      <w:proofErr w:type="spellStart"/>
      <w:r w:rsidRPr="00C24BF0">
        <w:rPr>
          <w:sz w:val="24"/>
          <w:lang w:val="et-EE"/>
        </w:rPr>
        <w:t>the</w:t>
      </w:r>
      <w:proofErr w:type="spellEnd"/>
      <w:r w:rsidRPr="00C24BF0">
        <w:rPr>
          <w:sz w:val="24"/>
          <w:lang w:val="et-EE"/>
        </w:rPr>
        <w:t xml:space="preserve"> </w:t>
      </w:r>
      <w:proofErr w:type="spellStart"/>
      <w:r w:rsidRPr="00C24BF0">
        <w:rPr>
          <w:sz w:val="24"/>
          <w:lang w:val="et-EE"/>
        </w:rPr>
        <w:t>area</w:t>
      </w:r>
      <w:proofErr w:type="spellEnd"/>
      <w:r w:rsidRPr="00C24BF0">
        <w:rPr>
          <w:sz w:val="24"/>
          <w:lang w:val="et-EE"/>
        </w:rPr>
        <w:t xml:space="preserve"> of </w:t>
      </w:r>
      <w:proofErr w:type="spellStart"/>
      <w:r w:rsidRPr="00C24BF0">
        <w:rPr>
          <w:sz w:val="24"/>
          <w:lang w:val="et-EE"/>
        </w:rPr>
        <w:t>nutrition</w:t>
      </w:r>
      <w:proofErr w:type="spellEnd"/>
      <w:r w:rsidRPr="00C24BF0">
        <w:rPr>
          <w:sz w:val="24"/>
          <w:lang w:val="et-EE"/>
        </w:rPr>
        <w:t xml:space="preserve"> and </w:t>
      </w:r>
      <w:proofErr w:type="spellStart"/>
      <w:r w:rsidRPr="00C24BF0">
        <w:rPr>
          <w:sz w:val="24"/>
          <w:lang w:val="et-EE"/>
        </w:rPr>
        <w:t>health</w:t>
      </w:r>
      <w:proofErr w:type="spellEnd"/>
      <w:r w:rsidRPr="00C24BF0">
        <w:rPr>
          <w:sz w:val="24"/>
          <w:lang w:val="et-EE"/>
        </w:rPr>
        <w:t xml:space="preserve"> </w:t>
      </w:r>
      <w:proofErr w:type="spellStart"/>
      <w:r w:rsidRPr="00C24BF0">
        <w:rPr>
          <w:sz w:val="24"/>
          <w:lang w:val="et-EE"/>
        </w:rPr>
        <w:t>claims</w:t>
      </w:r>
      <w:proofErr w:type="spellEnd"/>
      <w:r w:rsidRPr="00C24BF0">
        <w:rPr>
          <w:sz w:val="24"/>
          <w:lang w:val="et-EE"/>
        </w:rPr>
        <w:t xml:space="preserve">: a </w:t>
      </w:r>
      <w:proofErr w:type="spellStart"/>
      <w:r w:rsidRPr="00C24BF0">
        <w:rPr>
          <w:sz w:val="24"/>
          <w:lang w:val="et-EE"/>
        </w:rPr>
        <w:t>position</w:t>
      </w:r>
      <w:proofErr w:type="spellEnd"/>
      <w:r w:rsidRPr="00C24BF0">
        <w:rPr>
          <w:sz w:val="24"/>
          <w:lang w:val="et-EE"/>
        </w:rPr>
        <w:t xml:space="preserve"> </w:t>
      </w:r>
      <w:proofErr w:type="spellStart"/>
      <w:r w:rsidRPr="00C24BF0">
        <w:rPr>
          <w:sz w:val="24"/>
          <w:lang w:val="et-EE"/>
        </w:rPr>
        <w:t>paper</w:t>
      </w:r>
      <w:proofErr w:type="spellEnd"/>
      <w:r w:rsidRPr="00C24BF0">
        <w:rPr>
          <w:sz w:val="24"/>
          <w:lang w:val="et-EE"/>
        </w:rPr>
        <w:t xml:space="preserve"> </w:t>
      </w:r>
      <w:proofErr w:type="spellStart"/>
      <w:r w:rsidRPr="00C24BF0">
        <w:rPr>
          <w:sz w:val="24"/>
          <w:lang w:val="et-EE"/>
        </w:rPr>
        <w:t>from</w:t>
      </w:r>
      <w:proofErr w:type="spellEnd"/>
      <w:r w:rsidRPr="00C24BF0">
        <w:rPr>
          <w:sz w:val="24"/>
          <w:lang w:val="et-EE"/>
        </w:rPr>
        <w:t xml:space="preserve"> </w:t>
      </w:r>
      <w:proofErr w:type="spellStart"/>
      <w:r w:rsidRPr="00C24BF0">
        <w:rPr>
          <w:sz w:val="24"/>
          <w:lang w:val="et-EE"/>
        </w:rPr>
        <w:t>the</w:t>
      </w:r>
      <w:proofErr w:type="spellEnd"/>
      <w:r w:rsidRPr="00C24BF0">
        <w:rPr>
          <w:sz w:val="24"/>
          <w:lang w:val="et-EE"/>
        </w:rPr>
        <w:t xml:space="preserve"> </w:t>
      </w:r>
      <w:proofErr w:type="spellStart"/>
      <w:r w:rsidRPr="00C24BF0">
        <w:rPr>
          <w:sz w:val="24"/>
          <w:lang w:val="et-EE"/>
        </w:rPr>
        <w:t>Academy</w:t>
      </w:r>
      <w:proofErr w:type="spellEnd"/>
      <w:r w:rsidRPr="00C24BF0">
        <w:rPr>
          <w:sz w:val="24"/>
          <w:lang w:val="et-EE"/>
        </w:rPr>
        <w:t xml:space="preserve"> of </w:t>
      </w:r>
      <w:proofErr w:type="spellStart"/>
      <w:r w:rsidRPr="00C24BF0">
        <w:rPr>
          <w:sz w:val="24"/>
          <w:lang w:val="et-EE"/>
        </w:rPr>
        <w:t>Nutrition</w:t>
      </w:r>
      <w:proofErr w:type="spellEnd"/>
      <w:r w:rsidRPr="00C24BF0">
        <w:rPr>
          <w:sz w:val="24"/>
          <w:lang w:val="et-EE"/>
        </w:rPr>
        <w:t xml:space="preserve"> </w:t>
      </w:r>
      <w:proofErr w:type="spellStart"/>
      <w:r w:rsidRPr="00C24BF0">
        <w:rPr>
          <w:sz w:val="24"/>
          <w:lang w:val="et-EE"/>
        </w:rPr>
        <w:t>Sciences</w:t>
      </w:r>
      <w:proofErr w:type="spellEnd"/>
      <w:r w:rsidRPr="00C24BF0">
        <w:rPr>
          <w:sz w:val="24"/>
          <w:lang w:val="et-EE"/>
        </w:rPr>
        <w:t xml:space="preserve">“ (Tõendusbaasi olemus ning tugevad küljed, probleemid ja soovitused toitumis- ja tervisealaste väidete valdkonnas: toitumisteaduste akadeemia seisukoht), </w:t>
      </w:r>
      <w:proofErr w:type="spellStart"/>
      <w:r w:rsidRPr="009042DF">
        <w:rPr>
          <w:sz w:val="24"/>
          <w:lang w:val="et-EE"/>
        </w:rPr>
        <w:t>British</w:t>
      </w:r>
      <w:proofErr w:type="spellEnd"/>
      <w:r w:rsidRPr="009042DF">
        <w:rPr>
          <w:sz w:val="24"/>
          <w:lang w:val="et-EE"/>
        </w:rPr>
        <w:t xml:space="preserve"> </w:t>
      </w:r>
      <w:proofErr w:type="spellStart"/>
      <w:r w:rsidRPr="009042DF">
        <w:rPr>
          <w:sz w:val="24"/>
          <w:lang w:val="et-EE"/>
        </w:rPr>
        <w:t>Journal</w:t>
      </w:r>
      <w:proofErr w:type="spellEnd"/>
      <w:r w:rsidRPr="009042DF">
        <w:rPr>
          <w:sz w:val="24"/>
          <w:lang w:val="et-EE"/>
        </w:rPr>
        <w:t xml:space="preserve"> of </w:t>
      </w:r>
      <w:proofErr w:type="spellStart"/>
      <w:r w:rsidRPr="009042DF">
        <w:rPr>
          <w:sz w:val="24"/>
          <w:lang w:val="et-EE"/>
        </w:rPr>
        <w:t>Nutrition</w:t>
      </w:r>
      <w:proofErr w:type="spellEnd"/>
      <w:r w:rsidR="00E5707E">
        <w:rPr>
          <w:sz w:val="24"/>
          <w:lang w:val="et-EE"/>
        </w:rPr>
        <w:t>, köide 130, nr 2, 28. juuli </w:t>
      </w:r>
      <w:r w:rsidRPr="00C24BF0">
        <w:rPr>
          <w:sz w:val="24"/>
          <w:lang w:val="et-EE"/>
        </w:rPr>
        <w:t>2023, lk 221–238.</w:t>
      </w:r>
    </w:p>
  </w:footnote>
  <w:footnote w:id="21">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Pr="00C24BF0">
        <w:rPr>
          <w:sz w:val="24"/>
          <w:lang w:val="et-EE"/>
        </w:rPr>
        <w:t>Euroopa Liit, „</w:t>
      </w:r>
      <w:proofErr w:type="spellStart"/>
      <w:r w:rsidRPr="00C24BF0">
        <w:rPr>
          <w:sz w:val="24"/>
          <w:lang w:val="et-EE"/>
        </w:rPr>
        <w:t>Eurobarometer</w:t>
      </w:r>
      <w:proofErr w:type="spellEnd"/>
      <w:r w:rsidRPr="00C24BF0">
        <w:rPr>
          <w:sz w:val="24"/>
          <w:lang w:val="et-EE"/>
        </w:rPr>
        <w:t xml:space="preserve"> – </w:t>
      </w:r>
      <w:proofErr w:type="spellStart"/>
      <w:r w:rsidRPr="00C24BF0">
        <w:rPr>
          <w:sz w:val="24"/>
          <w:lang w:val="et-EE"/>
        </w:rPr>
        <w:t>Making</w:t>
      </w:r>
      <w:proofErr w:type="spellEnd"/>
      <w:r w:rsidRPr="00C24BF0">
        <w:rPr>
          <w:sz w:val="24"/>
          <w:lang w:val="et-EE"/>
        </w:rPr>
        <w:t xml:space="preserve"> </w:t>
      </w:r>
      <w:proofErr w:type="spellStart"/>
      <w:r w:rsidRPr="00C24BF0">
        <w:rPr>
          <w:sz w:val="24"/>
          <w:lang w:val="et-EE"/>
        </w:rPr>
        <w:t>our</w:t>
      </w:r>
      <w:proofErr w:type="spellEnd"/>
      <w:r w:rsidRPr="00C24BF0">
        <w:rPr>
          <w:sz w:val="24"/>
          <w:lang w:val="et-EE"/>
        </w:rPr>
        <w:t xml:space="preserve"> </w:t>
      </w:r>
      <w:proofErr w:type="spellStart"/>
      <w:r w:rsidRPr="00C24BF0">
        <w:rPr>
          <w:sz w:val="24"/>
          <w:lang w:val="et-EE"/>
        </w:rPr>
        <w:t>food</w:t>
      </w:r>
      <w:proofErr w:type="spellEnd"/>
      <w:r w:rsidRPr="00C24BF0">
        <w:rPr>
          <w:sz w:val="24"/>
          <w:lang w:val="et-EE"/>
        </w:rPr>
        <w:t xml:space="preserve"> </w:t>
      </w:r>
      <w:proofErr w:type="spellStart"/>
      <w:r w:rsidRPr="00C24BF0">
        <w:rPr>
          <w:sz w:val="24"/>
          <w:lang w:val="et-EE"/>
        </w:rPr>
        <w:t>for</w:t>
      </w:r>
      <w:proofErr w:type="spellEnd"/>
      <w:r w:rsidRPr="00C24BF0">
        <w:rPr>
          <w:sz w:val="24"/>
          <w:lang w:val="et-EE"/>
        </w:rPr>
        <w:t xml:space="preserve"> </w:t>
      </w:r>
      <w:proofErr w:type="spellStart"/>
      <w:r w:rsidRPr="00C24BF0">
        <w:rPr>
          <w:sz w:val="24"/>
          <w:lang w:val="et-EE"/>
        </w:rPr>
        <w:t>the</w:t>
      </w:r>
      <w:proofErr w:type="spellEnd"/>
      <w:r w:rsidRPr="00C24BF0">
        <w:rPr>
          <w:sz w:val="24"/>
          <w:lang w:val="et-EE"/>
        </w:rPr>
        <w:t xml:space="preserve"> </w:t>
      </w:r>
      <w:proofErr w:type="spellStart"/>
      <w:r w:rsidRPr="00C24BF0">
        <w:rPr>
          <w:sz w:val="24"/>
          <w:lang w:val="et-EE"/>
        </w:rPr>
        <w:t>future</w:t>
      </w:r>
      <w:proofErr w:type="spellEnd"/>
      <w:r w:rsidRPr="00C24BF0">
        <w:rPr>
          <w:sz w:val="24"/>
          <w:lang w:val="et-EE"/>
        </w:rPr>
        <w:t xml:space="preserve"> – </w:t>
      </w:r>
      <w:proofErr w:type="spellStart"/>
      <w:r w:rsidRPr="00C24BF0">
        <w:rPr>
          <w:sz w:val="24"/>
          <w:lang w:val="et-EE"/>
        </w:rPr>
        <w:t>new</w:t>
      </w:r>
      <w:proofErr w:type="spellEnd"/>
      <w:r w:rsidRPr="00C24BF0">
        <w:rPr>
          <w:sz w:val="24"/>
          <w:lang w:val="et-EE"/>
        </w:rPr>
        <w:t xml:space="preserve"> </w:t>
      </w:r>
      <w:proofErr w:type="spellStart"/>
      <w:r w:rsidRPr="00C24BF0">
        <w:rPr>
          <w:sz w:val="24"/>
          <w:lang w:val="et-EE"/>
        </w:rPr>
        <w:t>trends</w:t>
      </w:r>
      <w:proofErr w:type="spellEnd"/>
      <w:r w:rsidRPr="00C24BF0">
        <w:rPr>
          <w:sz w:val="24"/>
          <w:lang w:val="et-EE"/>
        </w:rPr>
        <w:t xml:space="preserve"> and </w:t>
      </w:r>
      <w:proofErr w:type="spellStart"/>
      <w:r w:rsidRPr="00C24BF0">
        <w:rPr>
          <w:sz w:val="24"/>
          <w:lang w:val="et-EE"/>
        </w:rPr>
        <w:t>challenges</w:t>
      </w:r>
      <w:proofErr w:type="spellEnd"/>
      <w:r w:rsidRPr="00C24BF0">
        <w:rPr>
          <w:sz w:val="24"/>
          <w:lang w:val="et-EE"/>
        </w:rPr>
        <w:t>“ (Eurobaromeetri uuring – toidu tegemine tulevikuks – uued suund</w:t>
      </w:r>
      <w:r w:rsidR="00E5707E">
        <w:rPr>
          <w:sz w:val="24"/>
          <w:lang w:val="et-EE"/>
        </w:rPr>
        <w:t>umused ja probleemid), oktoober </w:t>
      </w:r>
      <w:r w:rsidRPr="00C24BF0">
        <w:rPr>
          <w:sz w:val="24"/>
          <w:lang w:val="et-EE"/>
        </w:rPr>
        <w:t>2020.</w:t>
      </w:r>
    </w:p>
  </w:footnote>
  <w:footnote w:id="22">
    <w:p w:rsidR="00AC158D" w:rsidRPr="00C24BF0" w:rsidRDefault="00AC158D" w:rsidP="00C24BF0">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r w:rsidR="00E5707E">
        <w:rPr>
          <w:sz w:val="24"/>
          <w:lang w:val="et-EE"/>
        </w:rPr>
        <w:t xml:space="preserve">Euroopa </w:t>
      </w:r>
      <w:r w:rsidR="006A53AF">
        <w:rPr>
          <w:sz w:val="24"/>
          <w:lang w:val="et-EE"/>
        </w:rPr>
        <w:t xml:space="preserve">Liidu </w:t>
      </w:r>
      <w:r w:rsidR="00E5707E">
        <w:rPr>
          <w:sz w:val="24"/>
          <w:lang w:val="et-EE"/>
        </w:rPr>
        <w:t>Kohtu otsus, 8. juuni </w:t>
      </w:r>
      <w:r w:rsidRPr="00C24BF0">
        <w:rPr>
          <w:sz w:val="24"/>
          <w:lang w:val="et-EE"/>
        </w:rPr>
        <w:t xml:space="preserve">2017, </w:t>
      </w:r>
      <w:proofErr w:type="spellStart"/>
      <w:r w:rsidRPr="00C24BF0">
        <w:rPr>
          <w:sz w:val="24"/>
          <w:lang w:val="et-EE"/>
        </w:rPr>
        <w:t>Dextro</w:t>
      </w:r>
      <w:proofErr w:type="spellEnd"/>
      <w:r w:rsidRPr="00C24BF0">
        <w:rPr>
          <w:sz w:val="24"/>
          <w:lang w:val="et-EE"/>
        </w:rPr>
        <w:t xml:space="preserve"> </w:t>
      </w:r>
      <w:proofErr w:type="spellStart"/>
      <w:r w:rsidRPr="00C24BF0">
        <w:rPr>
          <w:sz w:val="24"/>
          <w:lang w:val="et-EE"/>
        </w:rPr>
        <w:t>Energy</w:t>
      </w:r>
      <w:proofErr w:type="spellEnd"/>
      <w:r w:rsidRPr="00C24BF0">
        <w:rPr>
          <w:sz w:val="24"/>
          <w:lang w:val="et-EE"/>
        </w:rPr>
        <w:t xml:space="preserve"> </w:t>
      </w:r>
      <w:proofErr w:type="spellStart"/>
      <w:r w:rsidRPr="00C24BF0">
        <w:rPr>
          <w:sz w:val="24"/>
          <w:lang w:val="et-EE"/>
        </w:rPr>
        <w:t>GmbH</w:t>
      </w:r>
      <w:proofErr w:type="spellEnd"/>
      <w:r w:rsidRPr="00C24BF0">
        <w:rPr>
          <w:sz w:val="24"/>
          <w:lang w:val="et-EE"/>
        </w:rPr>
        <w:t xml:space="preserve"> &amp; </w:t>
      </w:r>
      <w:proofErr w:type="spellStart"/>
      <w:r w:rsidRPr="00C24BF0">
        <w:rPr>
          <w:sz w:val="24"/>
          <w:lang w:val="et-EE"/>
        </w:rPr>
        <w:t>Co</w:t>
      </w:r>
      <w:proofErr w:type="spellEnd"/>
      <w:r w:rsidRPr="00C24BF0">
        <w:rPr>
          <w:sz w:val="24"/>
          <w:lang w:val="et-EE"/>
        </w:rPr>
        <w:t xml:space="preserve">. KG </w:t>
      </w:r>
      <w:r w:rsidRPr="00C24BF0">
        <w:rPr>
          <w:i/>
          <w:sz w:val="24"/>
          <w:lang w:val="et-EE"/>
        </w:rPr>
        <w:t>vs</w:t>
      </w:r>
      <w:r w:rsidRPr="00C24BF0">
        <w:rPr>
          <w:sz w:val="24"/>
          <w:lang w:val="et-EE"/>
        </w:rPr>
        <w:t>. Euroopa Komisjon, C-296/16, ECLI:EU:C:2017:437.</w:t>
      </w:r>
    </w:p>
  </w:footnote>
  <w:footnote w:id="23">
    <w:p w:rsidR="00AC158D" w:rsidRPr="00C24BF0" w:rsidRDefault="00AC158D" w:rsidP="00E5707E">
      <w:pPr>
        <w:pStyle w:val="FootnoteText"/>
        <w:ind w:left="567" w:hanging="567"/>
        <w:rPr>
          <w:sz w:val="24"/>
          <w:lang w:val="et-EE"/>
        </w:rPr>
      </w:pPr>
      <w:r w:rsidRPr="00C24BF0">
        <w:rPr>
          <w:rStyle w:val="FootnoteReference"/>
          <w:sz w:val="24"/>
          <w:lang w:val="et-EE"/>
        </w:rPr>
        <w:footnoteRef/>
      </w:r>
      <w:r w:rsidR="00C24BF0" w:rsidRPr="00C24BF0">
        <w:rPr>
          <w:sz w:val="24"/>
          <w:lang w:val="et-EE"/>
        </w:rPr>
        <w:t xml:space="preserve"> </w:t>
      </w:r>
      <w:r w:rsidR="00C24BF0" w:rsidRPr="00C24BF0">
        <w:rPr>
          <w:sz w:val="24"/>
          <w:lang w:val="et-EE"/>
        </w:rPr>
        <w:tab/>
      </w:r>
      <w:proofErr w:type="spellStart"/>
      <w:r w:rsidR="00E5707E">
        <w:rPr>
          <w:sz w:val="24"/>
          <w:lang w:val="et-EE"/>
        </w:rPr>
        <w:t>Munblit</w:t>
      </w:r>
      <w:proofErr w:type="spellEnd"/>
      <w:r w:rsidR="00E5707E">
        <w:rPr>
          <w:sz w:val="24"/>
          <w:lang w:val="et-EE"/>
        </w:rPr>
        <w:t>, </w:t>
      </w:r>
      <w:r w:rsidRPr="00C24BF0">
        <w:rPr>
          <w:sz w:val="24"/>
          <w:lang w:val="et-EE"/>
        </w:rPr>
        <w:t>D.,</w:t>
      </w:r>
      <w:r w:rsidR="00E5707E">
        <w:rPr>
          <w:sz w:val="24"/>
          <w:lang w:val="et-EE"/>
        </w:rPr>
        <w:t> </w:t>
      </w:r>
      <w:r w:rsidR="00E5707E">
        <w:rPr>
          <w:i/>
          <w:sz w:val="24"/>
          <w:lang w:val="et-EE"/>
        </w:rPr>
        <w:t>et </w:t>
      </w:r>
      <w:proofErr w:type="spellStart"/>
      <w:r w:rsidRPr="00C24BF0">
        <w:rPr>
          <w:i/>
          <w:sz w:val="24"/>
          <w:lang w:val="et-EE"/>
        </w:rPr>
        <w:t>al</w:t>
      </w:r>
      <w:proofErr w:type="spellEnd"/>
      <w:r w:rsidRPr="00C24BF0">
        <w:rPr>
          <w:sz w:val="24"/>
          <w:lang w:val="et-EE"/>
        </w:rPr>
        <w:t>., „</w:t>
      </w:r>
      <w:proofErr w:type="spellStart"/>
      <w:r w:rsidRPr="00C24BF0">
        <w:rPr>
          <w:sz w:val="24"/>
          <w:lang w:val="et-EE"/>
        </w:rPr>
        <w:t>Health</w:t>
      </w:r>
      <w:proofErr w:type="spellEnd"/>
      <w:r w:rsidRPr="00C24BF0">
        <w:rPr>
          <w:sz w:val="24"/>
          <w:lang w:val="et-EE"/>
        </w:rPr>
        <w:t xml:space="preserve"> and </w:t>
      </w:r>
      <w:proofErr w:type="spellStart"/>
      <w:r w:rsidRPr="00C24BF0">
        <w:rPr>
          <w:sz w:val="24"/>
          <w:lang w:val="et-EE"/>
        </w:rPr>
        <w:t>nutrition</w:t>
      </w:r>
      <w:proofErr w:type="spellEnd"/>
      <w:r w:rsidRPr="00C24BF0">
        <w:rPr>
          <w:sz w:val="24"/>
          <w:lang w:val="et-EE"/>
        </w:rPr>
        <w:t xml:space="preserve"> </w:t>
      </w:r>
      <w:proofErr w:type="spellStart"/>
      <w:r w:rsidRPr="00C24BF0">
        <w:rPr>
          <w:sz w:val="24"/>
          <w:lang w:val="et-EE"/>
        </w:rPr>
        <w:t>claims</w:t>
      </w:r>
      <w:proofErr w:type="spellEnd"/>
      <w:r w:rsidRPr="00C24BF0">
        <w:rPr>
          <w:sz w:val="24"/>
          <w:lang w:val="et-EE"/>
        </w:rPr>
        <w:t xml:space="preserve"> </w:t>
      </w:r>
      <w:proofErr w:type="spellStart"/>
      <w:r w:rsidRPr="00C24BF0">
        <w:rPr>
          <w:sz w:val="24"/>
          <w:lang w:val="et-EE"/>
        </w:rPr>
        <w:t>for</w:t>
      </w:r>
      <w:proofErr w:type="spellEnd"/>
      <w:r w:rsidRPr="00C24BF0">
        <w:rPr>
          <w:sz w:val="24"/>
          <w:lang w:val="et-EE"/>
        </w:rPr>
        <w:t xml:space="preserve"> infant </w:t>
      </w:r>
      <w:proofErr w:type="spellStart"/>
      <w:r w:rsidRPr="00C24BF0">
        <w:rPr>
          <w:sz w:val="24"/>
          <w:lang w:val="et-EE"/>
        </w:rPr>
        <w:t>formula</w:t>
      </w:r>
      <w:proofErr w:type="spellEnd"/>
      <w:r w:rsidRPr="00C24BF0">
        <w:rPr>
          <w:sz w:val="24"/>
          <w:lang w:val="et-EE"/>
        </w:rPr>
        <w:t xml:space="preserve"> are </w:t>
      </w:r>
      <w:proofErr w:type="spellStart"/>
      <w:r w:rsidRPr="00C24BF0">
        <w:rPr>
          <w:sz w:val="24"/>
          <w:lang w:val="et-EE"/>
        </w:rPr>
        <w:t>poorly</w:t>
      </w:r>
      <w:proofErr w:type="spellEnd"/>
      <w:r w:rsidRPr="00C24BF0">
        <w:rPr>
          <w:sz w:val="24"/>
          <w:lang w:val="et-EE"/>
        </w:rPr>
        <w:t xml:space="preserve"> </w:t>
      </w:r>
      <w:proofErr w:type="spellStart"/>
      <w:r w:rsidRPr="00C24BF0">
        <w:rPr>
          <w:sz w:val="24"/>
          <w:lang w:val="et-EE"/>
        </w:rPr>
        <w:t>substantiated</w:t>
      </w:r>
      <w:proofErr w:type="spellEnd"/>
      <w:r w:rsidRPr="00C24BF0">
        <w:rPr>
          <w:sz w:val="24"/>
          <w:lang w:val="et-EE"/>
        </w:rPr>
        <w:t xml:space="preserve"> and </w:t>
      </w:r>
      <w:proofErr w:type="spellStart"/>
      <w:r w:rsidRPr="00C24BF0">
        <w:rPr>
          <w:sz w:val="24"/>
          <w:lang w:val="et-EE"/>
        </w:rPr>
        <w:t>potentially</w:t>
      </w:r>
      <w:proofErr w:type="spellEnd"/>
      <w:r w:rsidRPr="00C24BF0">
        <w:rPr>
          <w:sz w:val="24"/>
          <w:lang w:val="et-EE"/>
        </w:rPr>
        <w:t xml:space="preserve"> </w:t>
      </w:r>
      <w:proofErr w:type="spellStart"/>
      <w:r w:rsidRPr="00C24BF0">
        <w:rPr>
          <w:sz w:val="24"/>
          <w:lang w:val="et-EE"/>
        </w:rPr>
        <w:t>harmful</w:t>
      </w:r>
      <w:proofErr w:type="spellEnd"/>
      <w:r w:rsidRPr="00C24BF0">
        <w:rPr>
          <w:sz w:val="24"/>
          <w:lang w:val="et-EE"/>
        </w:rPr>
        <w:t xml:space="preserve">“ (Tervise- ja toitumisalased väited imiku piimasegude kohta on halvasti põhjendatud ja potentsiaalselt kahjulikud), </w:t>
      </w:r>
      <w:proofErr w:type="spellStart"/>
      <w:r w:rsidRPr="009042DF">
        <w:rPr>
          <w:lang w:val="et-EE"/>
        </w:rPr>
        <w:t>British</w:t>
      </w:r>
      <w:proofErr w:type="spellEnd"/>
      <w:r w:rsidRPr="009042DF">
        <w:rPr>
          <w:lang w:val="et-EE"/>
        </w:rPr>
        <w:t xml:space="preserve"> </w:t>
      </w:r>
      <w:proofErr w:type="spellStart"/>
      <w:r w:rsidRPr="009042DF">
        <w:rPr>
          <w:lang w:val="et-EE"/>
        </w:rPr>
        <w:t>Medical</w:t>
      </w:r>
      <w:proofErr w:type="spellEnd"/>
      <w:r w:rsidRPr="009042DF">
        <w:rPr>
          <w:lang w:val="et-EE"/>
        </w:rPr>
        <w:t xml:space="preserve"> </w:t>
      </w:r>
      <w:proofErr w:type="spellStart"/>
      <w:r w:rsidRPr="009042DF">
        <w:rPr>
          <w:lang w:val="et-EE"/>
        </w:rPr>
        <w:t>Journal</w:t>
      </w:r>
      <w:proofErr w:type="spellEnd"/>
      <w:r w:rsidR="00E5707E">
        <w:rPr>
          <w:sz w:val="24"/>
          <w:lang w:val="et-EE"/>
        </w:rPr>
        <w:t>, köide 369, artikkel m875, </w:t>
      </w:r>
      <w:r w:rsidRPr="00C24BF0">
        <w:rPr>
          <w:sz w:val="24"/>
          <w:lang w:val="et-EE"/>
        </w:rPr>
        <w:t>2</w:t>
      </w:r>
      <w:r w:rsidR="00E5707E">
        <w:rPr>
          <w:sz w:val="24"/>
          <w:lang w:val="et-EE"/>
        </w:rPr>
        <w:t xml:space="preserve">020, ja </w:t>
      </w:r>
      <w:proofErr w:type="spellStart"/>
      <w:r w:rsidR="00E5707E">
        <w:rPr>
          <w:sz w:val="24"/>
          <w:lang w:val="et-EE"/>
        </w:rPr>
        <w:t>Cheung</w:t>
      </w:r>
      <w:proofErr w:type="spellEnd"/>
      <w:r w:rsidR="00E5707E">
        <w:rPr>
          <w:sz w:val="24"/>
          <w:lang w:val="et-EE"/>
        </w:rPr>
        <w:t>, K. </w:t>
      </w:r>
      <w:r w:rsidRPr="00C24BF0">
        <w:rPr>
          <w:sz w:val="24"/>
          <w:lang w:val="et-EE"/>
        </w:rPr>
        <w:t>Y.,</w:t>
      </w:r>
      <w:r w:rsidR="00E5707E">
        <w:rPr>
          <w:sz w:val="24"/>
          <w:lang w:val="et-EE"/>
        </w:rPr>
        <w:t> </w:t>
      </w:r>
      <w:r w:rsidR="00E5707E">
        <w:rPr>
          <w:i/>
          <w:sz w:val="24"/>
          <w:lang w:val="et-EE"/>
        </w:rPr>
        <w:t>et </w:t>
      </w:r>
      <w:proofErr w:type="spellStart"/>
      <w:r w:rsidRPr="00C24BF0">
        <w:rPr>
          <w:i/>
          <w:sz w:val="24"/>
          <w:lang w:val="et-EE"/>
        </w:rPr>
        <w:t>al</w:t>
      </w:r>
      <w:proofErr w:type="spellEnd"/>
      <w:r w:rsidRPr="00C24BF0">
        <w:rPr>
          <w:sz w:val="24"/>
          <w:lang w:val="et-EE"/>
        </w:rPr>
        <w:t>., „</w:t>
      </w:r>
      <w:proofErr w:type="spellStart"/>
      <w:r w:rsidRPr="00C24BF0">
        <w:rPr>
          <w:sz w:val="24"/>
          <w:lang w:val="et-EE"/>
        </w:rPr>
        <w:t>Health</w:t>
      </w:r>
      <w:proofErr w:type="spellEnd"/>
      <w:r w:rsidRPr="00C24BF0">
        <w:rPr>
          <w:sz w:val="24"/>
          <w:lang w:val="et-EE"/>
        </w:rPr>
        <w:t xml:space="preserve"> and </w:t>
      </w:r>
      <w:proofErr w:type="spellStart"/>
      <w:r w:rsidRPr="00C24BF0">
        <w:rPr>
          <w:sz w:val="24"/>
          <w:lang w:val="et-EE"/>
        </w:rPr>
        <w:t>nutrition</w:t>
      </w:r>
      <w:proofErr w:type="spellEnd"/>
      <w:r w:rsidRPr="00C24BF0">
        <w:rPr>
          <w:sz w:val="24"/>
          <w:lang w:val="et-EE"/>
        </w:rPr>
        <w:t xml:space="preserve"> </w:t>
      </w:r>
      <w:proofErr w:type="spellStart"/>
      <w:r w:rsidRPr="00C24BF0">
        <w:rPr>
          <w:sz w:val="24"/>
          <w:lang w:val="et-EE"/>
        </w:rPr>
        <w:t>claims</w:t>
      </w:r>
      <w:proofErr w:type="spellEnd"/>
      <w:r w:rsidRPr="00C24BF0">
        <w:rPr>
          <w:sz w:val="24"/>
          <w:lang w:val="et-EE"/>
        </w:rPr>
        <w:t xml:space="preserve"> </w:t>
      </w:r>
      <w:proofErr w:type="spellStart"/>
      <w:r w:rsidRPr="00C24BF0">
        <w:rPr>
          <w:sz w:val="24"/>
          <w:lang w:val="et-EE"/>
        </w:rPr>
        <w:t>for</w:t>
      </w:r>
      <w:proofErr w:type="spellEnd"/>
      <w:r w:rsidRPr="00C24BF0">
        <w:rPr>
          <w:sz w:val="24"/>
          <w:lang w:val="et-EE"/>
        </w:rPr>
        <w:t xml:space="preserve"> infant </w:t>
      </w:r>
      <w:proofErr w:type="spellStart"/>
      <w:r w:rsidRPr="00C24BF0">
        <w:rPr>
          <w:sz w:val="24"/>
          <w:lang w:val="et-EE"/>
        </w:rPr>
        <w:t>formula</w:t>
      </w:r>
      <w:proofErr w:type="spellEnd"/>
      <w:r w:rsidRPr="00C24BF0">
        <w:rPr>
          <w:sz w:val="24"/>
          <w:lang w:val="et-EE"/>
        </w:rPr>
        <w:t xml:space="preserve">: </w:t>
      </w:r>
      <w:proofErr w:type="spellStart"/>
      <w:r w:rsidRPr="00C24BF0">
        <w:rPr>
          <w:sz w:val="24"/>
          <w:lang w:val="et-EE"/>
        </w:rPr>
        <w:t>international</w:t>
      </w:r>
      <w:proofErr w:type="spellEnd"/>
      <w:r w:rsidRPr="00C24BF0">
        <w:rPr>
          <w:sz w:val="24"/>
          <w:lang w:val="et-EE"/>
        </w:rPr>
        <w:t xml:space="preserve"> </w:t>
      </w:r>
      <w:proofErr w:type="spellStart"/>
      <w:r w:rsidRPr="00C24BF0">
        <w:rPr>
          <w:sz w:val="24"/>
          <w:lang w:val="et-EE"/>
        </w:rPr>
        <w:t>cross</w:t>
      </w:r>
      <w:proofErr w:type="spellEnd"/>
      <w:r w:rsidRPr="00C24BF0">
        <w:rPr>
          <w:sz w:val="24"/>
          <w:lang w:val="et-EE"/>
        </w:rPr>
        <w:t xml:space="preserve"> </w:t>
      </w:r>
      <w:proofErr w:type="spellStart"/>
      <w:r w:rsidRPr="00C24BF0">
        <w:rPr>
          <w:sz w:val="24"/>
          <w:lang w:val="et-EE"/>
        </w:rPr>
        <w:t>sectional</w:t>
      </w:r>
      <w:proofErr w:type="spellEnd"/>
      <w:r w:rsidRPr="00C24BF0">
        <w:rPr>
          <w:sz w:val="24"/>
          <w:lang w:val="et-EE"/>
        </w:rPr>
        <w:t xml:space="preserve"> </w:t>
      </w:r>
      <w:proofErr w:type="spellStart"/>
      <w:r w:rsidRPr="00C24BF0">
        <w:rPr>
          <w:sz w:val="24"/>
          <w:lang w:val="et-EE"/>
        </w:rPr>
        <w:t>survey</w:t>
      </w:r>
      <w:proofErr w:type="spellEnd"/>
      <w:r w:rsidRPr="00C24BF0">
        <w:rPr>
          <w:sz w:val="24"/>
          <w:lang w:val="et-EE"/>
        </w:rPr>
        <w:t xml:space="preserve">“ (Tervise- ja toitumisalased väited imiku piimasegude kohta: rahvusvaheline läbilõikeuuring), </w:t>
      </w:r>
      <w:proofErr w:type="spellStart"/>
      <w:r w:rsidRPr="009042DF">
        <w:rPr>
          <w:lang w:val="et-EE"/>
        </w:rPr>
        <w:t>British</w:t>
      </w:r>
      <w:proofErr w:type="spellEnd"/>
      <w:r w:rsidRPr="009042DF">
        <w:rPr>
          <w:lang w:val="et-EE"/>
        </w:rPr>
        <w:t xml:space="preserve"> </w:t>
      </w:r>
      <w:proofErr w:type="spellStart"/>
      <w:r w:rsidRPr="009042DF">
        <w:rPr>
          <w:lang w:val="et-EE"/>
        </w:rPr>
        <w:t>Medical</w:t>
      </w:r>
      <w:proofErr w:type="spellEnd"/>
      <w:r w:rsidRPr="009042DF">
        <w:rPr>
          <w:lang w:val="et-EE"/>
        </w:rPr>
        <w:t xml:space="preserve"> </w:t>
      </w:r>
      <w:proofErr w:type="spellStart"/>
      <w:r w:rsidRPr="009042DF">
        <w:rPr>
          <w:lang w:val="et-EE"/>
        </w:rPr>
        <w:t>Journal</w:t>
      </w:r>
      <w:proofErr w:type="spellEnd"/>
      <w:r w:rsidRPr="00C24BF0">
        <w:rPr>
          <w:sz w:val="24"/>
          <w:lang w:val="et-EE"/>
        </w:rPr>
        <w:t xml:space="preserve">, köide 380, </w:t>
      </w:r>
      <w:r w:rsidR="00E5707E">
        <w:rPr>
          <w:sz w:val="24"/>
          <w:lang w:val="et-EE"/>
        </w:rPr>
        <w:t>nr 8371, </w:t>
      </w:r>
      <w:r w:rsidRPr="00C24BF0">
        <w:rPr>
          <w:sz w:val="24"/>
          <w:lang w:val="et-EE"/>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4B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4B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4B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ET"/>
    <w:docVar w:name="dvnumam" w:val="0"/>
    <w:docVar w:name="dvpe" w:val="753.549"/>
    <w:docVar w:name="dvrapporteur" w:val="Raportöör: "/>
    <w:docVar w:name="dvtitre" w:val="Euroopa Parlamendi .... 2024. aasta resolutsioon määruse (EÜ) nr 1924/2006 (toidu kohta esitatavate toitumis- ja tervisealaste väidete kohta) rakendamise kohta(2023/2081(INI))"/>
  </w:docVars>
  <w:rsids>
    <w:rsidRoot w:val="009E1886"/>
    <w:rsid w:val="00002272"/>
    <w:rsid w:val="00064002"/>
    <w:rsid w:val="000677B9"/>
    <w:rsid w:val="000831BA"/>
    <w:rsid w:val="000A42CC"/>
    <w:rsid w:val="000E7DD9"/>
    <w:rsid w:val="0010095E"/>
    <w:rsid w:val="00125B37"/>
    <w:rsid w:val="001557F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2162"/>
    <w:rsid w:val="006A53A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2DF"/>
    <w:rsid w:val="009251A2"/>
    <w:rsid w:val="00930C23"/>
    <w:rsid w:val="0093193B"/>
    <w:rsid w:val="009509D8"/>
    <w:rsid w:val="00950B64"/>
    <w:rsid w:val="00981893"/>
    <w:rsid w:val="009E1886"/>
    <w:rsid w:val="00A1687D"/>
    <w:rsid w:val="00A43E52"/>
    <w:rsid w:val="00A4678D"/>
    <w:rsid w:val="00A778C7"/>
    <w:rsid w:val="00AB441E"/>
    <w:rsid w:val="00AB6293"/>
    <w:rsid w:val="00AC158D"/>
    <w:rsid w:val="00AE0928"/>
    <w:rsid w:val="00AF3B82"/>
    <w:rsid w:val="00B1023F"/>
    <w:rsid w:val="00B12E95"/>
    <w:rsid w:val="00B22876"/>
    <w:rsid w:val="00B558F0"/>
    <w:rsid w:val="00BB7290"/>
    <w:rsid w:val="00BD48FE"/>
    <w:rsid w:val="00BD7BD8"/>
    <w:rsid w:val="00BE6ADC"/>
    <w:rsid w:val="00C05BFE"/>
    <w:rsid w:val="00C23CD4"/>
    <w:rsid w:val="00C24BF0"/>
    <w:rsid w:val="00C61C0C"/>
    <w:rsid w:val="00C941CB"/>
    <w:rsid w:val="00CB0C5F"/>
    <w:rsid w:val="00CC2357"/>
    <w:rsid w:val="00CD0A1C"/>
    <w:rsid w:val="00CF071A"/>
    <w:rsid w:val="00D058B8"/>
    <w:rsid w:val="00D56C11"/>
    <w:rsid w:val="00D834A0"/>
    <w:rsid w:val="00D872DF"/>
    <w:rsid w:val="00D91E21"/>
    <w:rsid w:val="00D94B94"/>
    <w:rsid w:val="00DA7FCD"/>
    <w:rsid w:val="00E365E1"/>
    <w:rsid w:val="00E5707E"/>
    <w:rsid w:val="00E76A11"/>
    <w:rsid w:val="00E820A4"/>
    <w:rsid w:val="00EA437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C1D4F"/>
  <w15:chartTrackingRefBased/>
  <w15:docId w15:val="{1072310F-F4D1-4345-BC3F-62CBDB62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C158D"/>
    <w:pPr>
      <w:spacing w:after="240"/>
      <w:ind w:left="567" w:hanging="567"/>
    </w:pPr>
  </w:style>
  <w:style w:type="paragraph" w:customStyle="1" w:styleId="EPComma">
    <w:name w:val="EPComma"/>
    <w:basedOn w:val="Normal"/>
    <w:rsid w:val="00AC158D"/>
    <w:pPr>
      <w:spacing w:before="480" w:after="240"/>
    </w:pPr>
  </w:style>
  <w:style w:type="character" w:styleId="Hyperlink">
    <w:name w:val="Hyperlink"/>
    <w:basedOn w:val="DefaultParagraphFont"/>
    <w:uiPriority w:val="99"/>
    <w:unhideWhenUsed/>
    <w:rsid w:val="00AC158D"/>
    <w:rPr>
      <w:color w:val="0563C1" w:themeColor="hyperlink"/>
      <w:u w:val="single"/>
    </w:rPr>
  </w:style>
  <w:style w:type="character" w:styleId="Emphasis">
    <w:name w:val="Emphasis"/>
    <w:basedOn w:val="DefaultParagraphFont"/>
    <w:uiPriority w:val="20"/>
    <w:qFormat/>
    <w:rsid w:val="00AC158D"/>
    <w:rPr>
      <w:i/>
      <w:iCs/>
    </w:rPr>
  </w:style>
  <w:style w:type="character" w:customStyle="1" w:styleId="NormalHanging12aChar">
    <w:name w:val="NormalHanging12a Char"/>
    <w:basedOn w:val="DefaultParagraphFont"/>
    <w:link w:val="NormalHanging12a"/>
    <w:locked/>
    <w:rsid w:val="00AC158D"/>
    <w:rPr>
      <w:sz w:val="24"/>
      <w:lang w:val="et-EE"/>
    </w:rPr>
  </w:style>
  <w:style w:type="paragraph" w:styleId="BalloonText">
    <w:name w:val="Balloon Text"/>
    <w:basedOn w:val="Normal"/>
    <w:link w:val="BalloonTextChar"/>
    <w:rsid w:val="00E76A11"/>
    <w:rPr>
      <w:rFonts w:ascii="Segoe UI" w:hAnsi="Segoe UI" w:cs="Segoe UI"/>
      <w:sz w:val="18"/>
      <w:szCs w:val="18"/>
    </w:rPr>
  </w:style>
  <w:style w:type="character" w:customStyle="1" w:styleId="BalloonTextChar">
    <w:name w:val="Balloon Text Char"/>
    <w:basedOn w:val="DefaultParagraphFont"/>
    <w:link w:val="BalloonText"/>
    <w:rsid w:val="00E76A11"/>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0B733-2332-4906-9DC9-279DED69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3388</Words>
  <Characters>25221</Characters>
  <Application>Microsoft Office Word</Application>
  <DocSecurity>0</DocSecurity>
  <Lines>210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2024-02-19T12:46:00Z</dcterms:created>
  <dcterms:modified xsi:type="dcterms:W3CDTF">2024-02-19T12:46:00Z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A9-0416/2023</vt:lpwstr>
  </property>
  <property fmtid="{D5CDD505-2E9C-101B-9397-08002B2CF9AE}" pid="4" name="&lt;Type&gt;">
    <vt:lpwstr>RR</vt:lpwstr>
  </property>
</Properties>
</file>