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3C77" w:rsidTr="0010095E">
        <w:trPr>
          <w:trHeight w:hRule="exact" w:val="1418"/>
        </w:trPr>
        <w:tc>
          <w:tcPr>
            <w:tcW w:w="6804" w:type="dxa"/>
            <w:shd w:val="clear" w:color="auto" w:fill="auto"/>
            <w:vAlign w:val="center"/>
          </w:tcPr>
          <w:p w:rsidR="00751A4A" w:rsidRPr="002A3C77" w:rsidRDefault="00BA4E65" w:rsidP="0010095E">
            <w:pPr>
              <w:pStyle w:val="EPName"/>
            </w:pPr>
            <w:r w:rsidRPr="002A3C77">
              <w:t>Euroopan parlamentti</w:t>
            </w:r>
          </w:p>
          <w:p w:rsidR="00751A4A" w:rsidRPr="002A3C77" w:rsidRDefault="00817416" w:rsidP="00756632">
            <w:pPr>
              <w:pStyle w:val="EPTerm"/>
              <w:rPr>
                <w:rStyle w:val="HideTWBExt"/>
                <w:noProof w:val="0"/>
                <w:vanish w:val="0"/>
                <w:color w:val="auto"/>
              </w:rPr>
            </w:pPr>
            <w:r w:rsidRPr="002A3C77">
              <w:t>2019-2024</w:t>
            </w:r>
          </w:p>
        </w:tc>
        <w:tc>
          <w:tcPr>
            <w:tcW w:w="2268" w:type="dxa"/>
            <w:shd w:val="clear" w:color="auto" w:fill="auto"/>
          </w:tcPr>
          <w:p w:rsidR="00751A4A" w:rsidRPr="002A3C77" w:rsidRDefault="00187494" w:rsidP="0010095E">
            <w:pPr>
              <w:pStyle w:val="EPLogo"/>
            </w:pPr>
            <w:r w:rsidRPr="002A3C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3C77" w:rsidRDefault="00D058B8" w:rsidP="004C5D52">
      <w:pPr>
        <w:pStyle w:val="LineTop"/>
      </w:pPr>
    </w:p>
    <w:p w:rsidR="00680577" w:rsidRPr="002A3C77" w:rsidRDefault="00BA4E65" w:rsidP="00680577">
      <w:pPr>
        <w:pStyle w:val="EPBodyTA1"/>
      </w:pPr>
      <w:r w:rsidRPr="002A3C77">
        <w:t>HYVÄKSYTYT TEKSTIT</w:t>
      </w:r>
    </w:p>
    <w:p w:rsidR="00D058B8" w:rsidRPr="002A3C77" w:rsidRDefault="00D058B8" w:rsidP="00D058B8">
      <w:pPr>
        <w:pStyle w:val="LineBottom"/>
      </w:pPr>
    </w:p>
    <w:p w:rsidR="00BA4E65" w:rsidRPr="002A3C77" w:rsidRDefault="00BA4E65" w:rsidP="00BA4E65">
      <w:pPr>
        <w:pStyle w:val="ATHeading1"/>
      </w:pPr>
      <w:bookmarkStart w:id="0" w:name="TANumber"/>
      <w:r w:rsidRPr="002A3C77">
        <w:t>P9_</w:t>
      </w:r>
      <w:proofErr w:type="gramStart"/>
      <w:r w:rsidRPr="002A3C77">
        <w:t>TA(</w:t>
      </w:r>
      <w:proofErr w:type="gramEnd"/>
      <w:r w:rsidRPr="002A3C77">
        <w:t>2024)00</w:t>
      </w:r>
      <w:r w:rsidR="00192A74">
        <w:t>4</w:t>
      </w:r>
      <w:r w:rsidRPr="002A3C77">
        <w:t>0</w:t>
      </w:r>
      <w:bookmarkEnd w:id="0"/>
    </w:p>
    <w:p w:rsidR="00BA4E65" w:rsidRPr="002A3C77" w:rsidRDefault="00986DDB" w:rsidP="00986DDB">
      <w:pPr>
        <w:pStyle w:val="ATHeading2"/>
      </w:pPr>
      <w:bookmarkStart w:id="1" w:name="title"/>
      <w:r w:rsidRPr="00986DDB">
        <w:rPr>
          <w:bCs/>
        </w:rPr>
        <w:t>Mietintö elintarvikkeita koskevista ravitsemus- ja terveysväitteistä annetun asetuksen (EY) N:o</w:t>
      </w:r>
      <w:r>
        <w:rPr>
          <w:bCs/>
        </w:rPr>
        <w:t xml:space="preserve"> </w:t>
      </w:r>
      <w:r w:rsidRPr="00986DDB">
        <w:rPr>
          <w:bCs/>
        </w:rPr>
        <w:t>1924/2006 täytäntöönpanosta</w:t>
      </w:r>
      <w:bookmarkEnd w:id="1"/>
    </w:p>
    <w:p w:rsidR="00BA4E65" w:rsidRPr="002A3C77" w:rsidRDefault="00BA4E65" w:rsidP="00BA4E65">
      <w:pPr>
        <w:rPr>
          <w:i/>
          <w:vanish/>
        </w:rPr>
      </w:pPr>
      <w:r w:rsidRPr="002A3C77">
        <w:rPr>
          <w:i/>
        </w:rPr>
        <w:fldChar w:fldCharType="begin"/>
      </w:r>
      <w:r w:rsidRPr="002A3C77">
        <w:rPr>
          <w:i/>
        </w:rPr>
        <w:instrText xml:space="preserve"> TC"(</w:instrText>
      </w:r>
      <w:bookmarkStart w:id="2" w:name="DocNumber"/>
      <w:r w:rsidRPr="002A3C77">
        <w:rPr>
          <w:i/>
        </w:rPr>
        <w:instrText>A9-0416/2023</w:instrText>
      </w:r>
      <w:bookmarkEnd w:id="2"/>
      <w:r w:rsidRPr="002A3C77">
        <w:rPr>
          <w:i/>
        </w:rPr>
        <w:instrText xml:space="preserve"> - Esittelijä: Tilly Metz)"\l3 \n&gt; \* MERGEFORMAT </w:instrText>
      </w:r>
      <w:r w:rsidRPr="002A3C77">
        <w:rPr>
          <w:i/>
        </w:rPr>
        <w:fldChar w:fldCharType="end"/>
      </w:r>
    </w:p>
    <w:p w:rsidR="00BA4E65" w:rsidRPr="002A3C77" w:rsidRDefault="00BA4E65" w:rsidP="00BA4E65">
      <w:pPr>
        <w:rPr>
          <w:vanish/>
        </w:rPr>
      </w:pPr>
      <w:bookmarkStart w:id="3" w:name="Commission"/>
      <w:r w:rsidRPr="002A3C77">
        <w:rPr>
          <w:vanish/>
        </w:rPr>
        <w:t>Istuntoasiakirja</w:t>
      </w:r>
      <w:bookmarkEnd w:id="3"/>
    </w:p>
    <w:p w:rsidR="00BA4E65" w:rsidRPr="002A3C77" w:rsidRDefault="00BA4E65" w:rsidP="00BA4E65">
      <w:pPr>
        <w:rPr>
          <w:vanish/>
        </w:rPr>
      </w:pPr>
      <w:bookmarkStart w:id="4" w:name="PE"/>
      <w:r w:rsidRPr="002A3C77">
        <w:rPr>
          <w:vanish/>
        </w:rPr>
        <w:t>PE753.549</w:t>
      </w:r>
      <w:bookmarkEnd w:id="4"/>
    </w:p>
    <w:p w:rsidR="00BA4E65" w:rsidRPr="002A3C77" w:rsidRDefault="00BA4E65" w:rsidP="00BA4E65">
      <w:pPr>
        <w:pStyle w:val="ATHeading3"/>
      </w:pPr>
      <w:bookmarkStart w:id="5" w:name="Sujet"/>
      <w:r w:rsidRPr="002A3C77">
        <w:t xml:space="preserve">Euroopan parlamentin päätöslauselma </w:t>
      </w:r>
      <w:r w:rsidR="00192A74">
        <w:t>18</w:t>
      </w:r>
      <w:r w:rsidRPr="002A3C77">
        <w:t xml:space="preserve">. tammikuuta 2024 elintarvikkeita koskevista ravitsemus- ja terveysväitteistä annetun asetuksen (EY) </w:t>
      </w:r>
      <w:proofErr w:type="gramStart"/>
      <w:r w:rsidRPr="002A3C77">
        <w:t>N:o</w:t>
      </w:r>
      <w:proofErr w:type="gramEnd"/>
      <w:r w:rsidRPr="002A3C77">
        <w:t xml:space="preserve"> 1924/2006 täytäntöönpanosta</w:t>
      </w:r>
      <w:bookmarkEnd w:id="5"/>
      <w:r w:rsidRPr="002A3C77">
        <w:t xml:space="preserve"> </w:t>
      </w:r>
      <w:bookmarkStart w:id="6" w:name="References"/>
      <w:r w:rsidRPr="002A3C77">
        <w:t>(2023/2081(INI))</w:t>
      </w:r>
      <w:bookmarkEnd w:id="6"/>
    </w:p>
    <w:p w:rsidR="00F70A20" w:rsidRPr="002A3C77" w:rsidRDefault="00F70A20" w:rsidP="00986DDB">
      <w:pPr>
        <w:pStyle w:val="EPComma"/>
        <w:widowControl/>
      </w:pPr>
      <w:bookmarkStart w:id="7" w:name="TextBodyBegin"/>
      <w:bookmarkEnd w:id="7"/>
      <w:r w:rsidRPr="002A3C77">
        <w:rPr>
          <w:i/>
          <w:iCs/>
        </w:rPr>
        <w:t>Euroopan parlamentti</w:t>
      </w:r>
      <w:r w:rsidRPr="002A3C77">
        <w:t>, joka</w:t>
      </w:r>
    </w:p>
    <w:p w:rsidR="00F70A20" w:rsidRPr="002A3C77" w:rsidRDefault="00F70A20" w:rsidP="00986DDB">
      <w:pPr>
        <w:pStyle w:val="NormalHanging12a"/>
        <w:widowControl/>
      </w:pPr>
      <w:r w:rsidRPr="002A3C77">
        <w:t>–</w:t>
      </w:r>
      <w:r w:rsidRPr="002A3C77">
        <w:tab/>
        <w:t>ottaa huomioon Euroopan unionin toiminnasta tehdyn sopimuksen 168 ja 169 artiklan,</w:t>
      </w:r>
    </w:p>
    <w:p w:rsidR="00F70A20" w:rsidRPr="002A3C77" w:rsidRDefault="00F70A20" w:rsidP="00986DDB">
      <w:pPr>
        <w:pStyle w:val="NormalHanging12a"/>
        <w:widowControl/>
        <w:rPr>
          <w:szCs w:val="24"/>
        </w:rPr>
      </w:pPr>
      <w:r w:rsidRPr="002A3C77">
        <w:t>–</w:t>
      </w:r>
      <w:r w:rsidRPr="002A3C77">
        <w:rPr>
          <w:color w:val="000000"/>
        </w:rPr>
        <w:tab/>
        <w:t>ottaa huomioon elintarvikkeita koskevista ravitsemus- ja terveysväitteistä 20. joulukuuta 2006 annetun Euroopan parlamentin ja neuvoston asetuksen (EY) N:o 1924/2006</w:t>
      </w:r>
      <w:r w:rsidRPr="002A3C77">
        <w:rPr>
          <w:rStyle w:val="FootnoteReference"/>
          <w:bCs/>
          <w:color w:val="000000"/>
          <w:szCs w:val="24"/>
        </w:rPr>
        <w:footnoteReference w:id="1"/>
      </w:r>
      <w:r w:rsidRPr="002A3C77">
        <w:rPr>
          <w:color w:val="000000"/>
        </w:rPr>
        <w:t>,</w:t>
      </w:r>
    </w:p>
    <w:p w:rsidR="00F70A20" w:rsidRPr="002A3C77" w:rsidRDefault="00F70A20" w:rsidP="00986DDB">
      <w:pPr>
        <w:pStyle w:val="NormalHanging12a"/>
        <w:widowControl/>
      </w:pPr>
      <w:r w:rsidRPr="002A3C77">
        <w:t>–</w:t>
      </w:r>
      <w:r w:rsidRPr="002A3C77">
        <w:tab/>
        <w:t>ottaa huomioon elintarvikelainsäädäntöä koskevista yleisistä periaatteista ja vaatimuksista, Euroopan elintarviketurvallisuusviranomaisen perustamisesta sekä elintarvikkeiden turvallisuuteen liittyvistä menettelyistä 28. tammikuuta 2002 annetun Euroopan parlamentin ja ne</w:t>
      </w:r>
      <w:bookmarkStart w:id="8" w:name="_GoBack"/>
      <w:bookmarkEnd w:id="8"/>
      <w:r w:rsidRPr="002A3C77">
        <w:t>uvoston asetuksen (EY) N:o 178/2002</w:t>
      </w:r>
      <w:r w:rsidRPr="002A3C77">
        <w:rPr>
          <w:rStyle w:val="FootnoteReference"/>
          <w:bCs/>
          <w:color w:val="000000"/>
          <w:szCs w:val="24"/>
        </w:rPr>
        <w:footnoteReference w:id="2"/>
      </w:r>
      <w:r w:rsidRPr="002A3C77">
        <w:t>,</w:t>
      </w:r>
    </w:p>
    <w:p w:rsidR="00F70A20" w:rsidRPr="002A3C77" w:rsidRDefault="00F70A20" w:rsidP="00986DDB">
      <w:pPr>
        <w:pStyle w:val="NormalHanging12a"/>
        <w:widowControl/>
        <w:rPr>
          <w:szCs w:val="24"/>
        </w:rPr>
      </w:pPr>
      <w:r w:rsidRPr="002A3C77">
        <w:t>–</w:t>
      </w:r>
      <w:r w:rsidRPr="002A3C77">
        <w:rPr>
          <w:color w:val="000000"/>
        </w:rPr>
        <w:tab/>
        <w:t>ottaa huomioon elintarviketietojen antamisesta kuluttajille, Euroopan parlamentin ja neuvoston asetusten (EY) N:o 1924/2006 ja (EY) N:o 1925/2006 muuttamisesta sekä komission direktiivin 87/250/ETY, neuvoston direktiivin 90/496/ETY, komission direktiivin 1999/10/EY, Euroopan parlamentin ja neuvoston direktiivin 2000/13/EY, komission direktiivien 2002/67/EY ja 2008/5/EY sekä komission asetuksen (EY) N:o 608/2004 kumoamisesta 25. lokakuuta 2011 annetun Euroopan parlamentin ja neuvoston asetuksen (EU) N:o 1169/2011</w:t>
      </w:r>
      <w:r w:rsidRPr="002A3C77">
        <w:rPr>
          <w:rStyle w:val="FootnoteReference"/>
          <w:bCs/>
          <w:color w:val="000000"/>
          <w:szCs w:val="24"/>
        </w:rPr>
        <w:footnoteReference w:id="3"/>
      </w:r>
      <w:r w:rsidRPr="002A3C77">
        <w:rPr>
          <w:color w:val="000000"/>
        </w:rPr>
        <w:t>,</w:t>
      </w:r>
    </w:p>
    <w:p w:rsidR="00F70A20" w:rsidRPr="002A3C77" w:rsidRDefault="00F70A20" w:rsidP="00986DDB">
      <w:pPr>
        <w:pStyle w:val="NormalHanging12a"/>
        <w:widowControl/>
        <w:rPr>
          <w:szCs w:val="24"/>
        </w:rPr>
      </w:pPr>
      <w:r w:rsidRPr="002A3C77">
        <w:t>–</w:t>
      </w:r>
      <w:r w:rsidRPr="002A3C77">
        <w:rPr>
          <w:color w:val="000000"/>
        </w:rPr>
        <w:tab/>
        <w:t>ottaa huomioon ravintolisiä koskevan jäsenvaltioiden lainsäädännön lähentämisestä 10. kesäkuuta 2002 annetun Euroopan parlamentin ja neuvoston direktiivin 2002/46/EY</w:t>
      </w:r>
      <w:r w:rsidRPr="002A3C77">
        <w:rPr>
          <w:rStyle w:val="FootnoteReference"/>
          <w:bCs/>
          <w:color w:val="000000"/>
          <w:szCs w:val="24"/>
        </w:rPr>
        <w:footnoteReference w:id="4"/>
      </w:r>
      <w:r w:rsidRPr="002A3C77">
        <w:rPr>
          <w:color w:val="000000"/>
        </w:rPr>
        <w:t>,</w:t>
      </w:r>
    </w:p>
    <w:p w:rsidR="00F70A20" w:rsidRPr="002A3C77" w:rsidRDefault="00F70A20" w:rsidP="00986DDB">
      <w:pPr>
        <w:pStyle w:val="NormalHanging12a"/>
        <w:widowControl/>
        <w:rPr>
          <w:szCs w:val="24"/>
        </w:rPr>
      </w:pPr>
      <w:r w:rsidRPr="002A3C77">
        <w:t>–</w:t>
      </w:r>
      <w:r w:rsidRPr="002A3C77">
        <w:rPr>
          <w:color w:val="000000"/>
        </w:rPr>
        <w:tab/>
        <w:t>ottaa huomioon vitamiinien, kivennäisaineiden ja eräiden muiden aineiden lisäämisestä elintarvikkeisiin 20. joulukuuta 2006 annetun Euroopan parlamentin ja neuvoston asetuksen (EY) N:o 1925/2006</w:t>
      </w:r>
      <w:r w:rsidRPr="002A3C77">
        <w:rPr>
          <w:rStyle w:val="FootnoteReference"/>
          <w:bCs/>
          <w:color w:val="000000"/>
          <w:szCs w:val="24"/>
        </w:rPr>
        <w:footnoteReference w:id="5"/>
      </w:r>
      <w:r w:rsidRPr="002A3C77">
        <w:rPr>
          <w:color w:val="000000"/>
        </w:rPr>
        <w:t>,</w:t>
      </w:r>
    </w:p>
    <w:p w:rsidR="00F70A20" w:rsidRPr="002A3C77" w:rsidRDefault="00F70A20" w:rsidP="00986DDB">
      <w:pPr>
        <w:pStyle w:val="NormalHanging12a"/>
        <w:widowControl/>
        <w:rPr>
          <w:bCs/>
          <w:color w:val="000000"/>
          <w:szCs w:val="24"/>
        </w:rPr>
      </w:pPr>
      <w:r w:rsidRPr="002A3C77">
        <w:lastRenderedPageBreak/>
        <w:t>–</w:t>
      </w:r>
      <w:r w:rsidRPr="002A3C77">
        <w:rPr>
          <w:color w:val="000000"/>
        </w:rPr>
        <w:tab/>
        <w:t>ottaa huomioon imeväisille ja pikkulapsille tarkoitetuista ruoista, erityisiin lääkinnällisiin tarkoituksiin tarkoitetuista elintarvikkeista ja painonhallintaan tarkoitetuista ruokavalionkorvikkeista ja neuvoston direktiivin 92/52/ETY, komission direktiivien 96/8/EY, 1999/21/EY, 2006/125/EY ja 2006/141/EY, Euroopan parlamentin ja neuvoston direktiivin 2009/39/EY sekä komission asetusten (EY) N:o 41/2009 ja (EY) N:o 953/2009 kumoamisesta 12. kesäkuuta 2013 annetun Euroopan parlamentin ja neuvoston asetuksen (EU) N:o 609/2013</w:t>
      </w:r>
      <w:r w:rsidRPr="002A3C77">
        <w:rPr>
          <w:rStyle w:val="FootnoteReference"/>
          <w:bCs/>
          <w:color w:val="000000"/>
          <w:szCs w:val="24"/>
        </w:rPr>
        <w:footnoteReference w:id="6"/>
      </w:r>
      <w:r w:rsidRPr="002A3C77">
        <w:rPr>
          <w:color w:val="000000"/>
        </w:rPr>
        <w:t>,</w:t>
      </w:r>
    </w:p>
    <w:p w:rsidR="00F70A20" w:rsidRPr="002A3C77" w:rsidRDefault="00F70A20" w:rsidP="00986DDB">
      <w:pPr>
        <w:pStyle w:val="NormalHanging12a"/>
        <w:widowControl/>
        <w:rPr>
          <w:szCs w:val="24"/>
        </w:rPr>
      </w:pPr>
      <w:r w:rsidRPr="002A3C77">
        <w:t>–</w:t>
      </w:r>
      <w:r w:rsidRPr="002A3C77">
        <w:rPr>
          <w:b/>
          <w:i/>
        </w:rPr>
        <w:tab/>
      </w:r>
      <w:r w:rsidRPr="002A3C77">
        <w:t>ottaa huomioon digitaalisten palvelujen sisämarkkinoista ja direktiivin 2000/31/EY muuttamisesta 19. lokakuuta 2022 annetun Euroopan parlamentin ja neuvoston asetuksen (EU) 2022/2065 (digipalvelusäädös)</w:t>
      </w:r>
      <w:r w:rsidRPr="002A3C77">
        <w:rPr>
          <w:rStyle w:val="FootnoteReference"/>
          <w:szCs w:val="24"/>
        </w:rPr>
        <w:footnoteReference w:id="7"/>
      </w:r>
      <w:r w:rsidRPr="002A3C77">
        <w:t xml:space="preserve">, </w:t>
      </w:r>
    </w:p>
    <w:p w:rsidR="00F70A20" w:rsidRPr="002A3C77" w:rsidRDefault="00F70A20" w:rsidP="00986DDB">
      <w:pPr>
        <w:pStyle w:val="NormalHanging12a"/>
        <w:widowControl/>
        <w:rPr>
          <w:szCs w:val="24"/>
        </w:rPr>
      </w:pPr>
      <w:r w:rsidRPr="002A3C77">
        <w:t>–</w:t>
      </w:r>
      <w:r w:rsidRPr="002A3C77">
        <w:tab/>
        <w:t>ottaa huomioon unionin terveysalan toimintaohjelman (EU4Health) perustamisesta kaudeksi 2021–2027 ja asetuksen (EU) N:o 282/2014 kumoamisesta 24. maaliskuuta 2021 annetun Euroopan parlamentin ja neuvoston asetuksen (EU) 2021/522</w:t>
      </w:r>
      <w:r w:rsidRPr="002A3C77">
        <w:rPr>
          <w:rStyle w:val="FootnoteReference"/>
          <w:szCs w:val="24"/>
        </w:rPr>
        <w:footnoteReference w:id="8"/>
      </w:r>
      <w:r w:rsidRPr="002A3C77">
        <w:t>,</w:t>
      </w:r>
    </w:p>
    <w:p w:rsidR="00F70A20" w:rsidRPr="002A3C77" w:rsidRDefault="00F70A20" w:rsidP="00986DDB">
      <w:pPr>
        <w:pStyle w:val="NormalHanging12a"/>
        <w:widowControl/>
        <w:rPr>
          <w:bCs/>
          <w:color w:val="000000"/>
          <w:szCs w:val="24"/>
        </w:rPr>
      </w:pPr>
      <w:r w:rsidRPr="002A3C77">
        <w:t>–</w:t>
      </w:r>
      <w:r w:rsidRPr="002A3C77">
        <w:rPr>
          <w:color w:val="000000"/>
        </w:rPr>
        <w:tab/>
        <w:t xml:space="preserve">ottaa huomioon 20. lokakuuta 2021 antamansa päätöslauselman Pellolta pöytään </w:t>
      </w:r>
      <w:r w:rsidRPr="002A3C77">
        <w:rPr>
          <w:color w:val="000000"/>
        </w:rPr>
        <w:noBreakHyphen/>
        <w:t>strategiasta oikeudenmukaista, terveyttä edistävää ja ympäristöä säästävää elintarvikejärjestelmää varten</w:t>
      </w:r>
      <w:r w:rsidRPr="002A3C77">
        <w:rPr>
          <w:rStyle w:val="FootnoteReference"/>
          <w:bCs/>
          <w:color w:val="000000"/>
          <w:szCs w:val="24"/>
        </w:rPr>
        <w:footnoteReference w:id="9"/>
      </w:r>
      <w:r w:rsidRPr="002A3C77">
        <w:rPr>
          <w:color w:val="000000"/>
        </w:rPr>
        <w:t>,</w:t>
      </w:r>
    </w:p>
    <w:p w:rsidR="00F70A20" w:rsidRPr="002A3C77" w:rsidRDefault="00F70A20" w:rsidP="00986DDB">
      <w:pPr>
        <w:pStyle w:val="NormalHanging12a"/>
        <w:widowControl/>
        <w:rPr>
          <w:szCs w:val="24"/>
        </w:rPr>
      </w:pPr>
      <w:r w:rsidRPr="002A3C77">
        <w:t>–</w:t>
      </w:r>
      <w:r w:rsidRPr="002A3C77">
        <w:rPr>
          <w:color w:val="000000"/>
        </w:rPr>
        <w:tab/>
        <w:t xml:space="preserve">ottaa huomioon 20. toukokuuta 2020 annetun komission tiedonannon Pellolta pöytään </w:t>
      </w:r>
      <w:r w:rsidRPr="002A3C77">
        <w:rPr>
          <w:color w:val="000000"/>
        </w:rPr>
        <w:noBreakHyphen/>
        <w:t>strategiasta oikeudenmukaista, terveyttä edistävää ja ympäristöä säästävää elintarvikejärjestelmää varten (COM(2020)0381),</w:t>
      </w:r>
    </w:p>
    <w:p w:rsidR="00F70A20" w:rsidRPr="00986DDB" w:rsidRDefault="00F70A20" w:rsidP="00986DDB">
      <w:pPr>
        <w:pStyle w:val="NormalHanging12a"/>
        <w:widowControl/>
        <w:rPr>
          <w:bCs/>
          <w:color w:val="000000"/>
          <w:szCs w:val="24"/>
          <w:lang w:val="en-GB"/>
        </w:rPr>
      </w:pPr>
      <w:r w:rsidRPr="00986DDB">
        <w:rPr>
          <w:lang w:val="en-GB"/>
        </w:rPr>
        <w:t>–</w:t>
      </w:r>
      <w:r w:rsidRPr="00986DDB">
        <w:rPr>
          <w:color w:val="000000"/>
          <w:lang w:val="en-GB"/>
        </w:rPr>
        <w:tab/>
        <w:t xml:space="preserve">ottaa huomioon 20. </w:t>
      </w:r>
      <w:proofErr w:type="spellStart"/>
      <w:proofErr w:type="gramStart"/>
      <w:r w:rsidRPr="00986DDB">
        <w:rPr>
          <w:color w:val="000000"/>
          <w:lang w:val="en-GB"/>
        </w:rPr>
        <w:t>toukokuuta</w:t>
      </w:r>
      <w:proofErr w:type="spellEnd"/>
      <w:r w:rsidRPr="00986DDB">
        <w:rPr>
          <w:color w:val="000000"/>
          <w:lang w:val="en-GB"/>
        </w:rPr>
        <w:t xml:space="preserve"> 2020 </w:t>
      </w:r>
      <w:proofErr w:type="spellStart"/>
      <w:r w:rsidRPr="00986DDB">
        <w:rPr>
          <w:color w:val="000000"/>
          <w:lang w:val="en-GB"/>
        </w:rPr>
        <w:t>julkaistun</w:t>
      </w:r>
      <w:proofErr w:type="spellEnd"/>
      <w:r w:rsidRPr="00192A74">
        <w:rPr>
          <w:color w:val="000000"/>
          <w:lang w:val="en-GB"/>
        </w:rPr>
        <w:t xml:space="preserve"> </w:t>
      </w:r>
      <w:proofErr w:type="spellStart"/>
      <w:r w:rsidRPr="00192A74">
        <w:rPr>
          <w:color w:val="000000"/>
          <w:lang w:val="en-GB"/>
        </w:rPr>
        <w:t>asetuksen</w:t>
      </w:r>
      <w:proofErr w:type="spellEnd"/>
      <w:r w:rsidRPr="00986DDB">
        <w:rPr>
          <w:color w:val="000000"/>
          <w:lang w:val="en-GB"/>
        </w:rPr>
        <w:t xml:space="preserve"> (EY) N:o 1924/2006 arviointia käsittelevän komission yksiköiden valmisteluasiakirjan ”Executive summary of the evaluation of the Regulation (EC) No 1924/2006 on nutrition and health claims made on foods with regard to nutrient profiles and health claims made on plants and their preparations and of the general regulatory framework for their use in foods” (SWD(2020)0096),</w:t>
      </w:r>
      <w:proofErr w:type="gramEnd"/>
    </w:p>
    <w:p w:rsidR="00F70A20" w:rsidRPr="002A3C77" w:rsidRDefault="00F70A20" w:rsidP="00986DDB">
      <w:pPr>
        <w:pStyle w:val="NormalHanging12a"/>
        <w:widowControl/>
        <w:rPr>
          <w:szCs w:val="24"/>
        </w:rPr>
      </w:pPr>
      <w:r w:rsidRPr="002A3C77">
        <w:t>–</w:t>
      </w:r>
      <w:r w:rsidRPr="002A3C77">
        <w:rPr>
          <w:b/>
          <w:i/>
        </w:rPr>
        <w:tab/>
      </w:r>
      <w:r w:rsidRPr="002A3C77">
        <w:t>ottaa huomioon 15. joulukuuta 2021 annetun Euroopan elintarviketurvallisuusviranomaisen (EFSA) tieteellisen lausunnon ruokavalion sisältämän sokerin siedettävästä päiväsaannista ”Tolerable upper intake level for dietary sugars”</w:t>
      </w:r>
      <w:r w:rsidRPr="002A3C77">
        <w:rPr>
          <w:rStyle w:val="FootnoteReference"/>
          <w:szCs w:val="24"/>
        </w:rPr>
        <w:footnoteReference w:id="10"/>
      </w:r>
      <w:r w:rsidRPr="002A3C77">
        <w:t>,</w:t>
      </w:r>
    </w:p>
    <w:p w:rsidR="00F70A20" w:rsidRPr="002A3C77" w:rsidRDefault="00F70A20" w:rsidP="00986DDB">
      <w:pPr>
        <w:pStyle w:val="NormalHanging12a"/>
        <w:widowControl/>
        <w:rPr>
          <w:szCs w:val="24"/>
        </w:rPr>
      </w:pPr>
      <w:r w:rsidRPr="002A3C77">
        <w:t>–</w:t>
      </w:r>
      <w:r w:rsidRPr="002A3C77">
        <w:tab/>
        <w:t>ottaa huomioon vuonna 2022 julkaistun Maailman terveysjärjestön (WHO) toimintapoliittisen katsauksen ravintoarvomerkinnöistä ”Nutrition labelling: policy brief”</w:t>
      </w:r>
      <w:r w:rsidRPr="002A3C77">
        <w:rPr>
          <w:rStyle w:val="FootnoteReference"/>
          <w:szCs w:val="24"/>
        </w:rPr>
        <w:footnoteReference w:id="11"/>
      </w:r>
      <w:r w:rsidRPr="002A3C77">
        <w:t>,</w:t>
      </w:r>
    </w:p>
    <w:p w:rsidR="00F70A20" w:rsidRPr="002A3C77" w:rsidRDefault="00F70A20" w:rsidP="00986DDB">
      <w:pPr>
        <w:pStyle w:val="NormalHanging12a"/>
        <w:widowControl/>
        <w:rPr>
          <w:szCs w:val="24"/>
        </w:rPr>
      </w:pPr>
      <w:r w:rsidRPr="002A3C77">
        <w:lastRenderedPageBreak/>
        <w:t>–</w:t>
      </w:r>
      <w:r w:rsidRPr="002A3C77">
        <w:tab/>
        <w:t>ottaa huomioon vuonna 2019 julkaistut WHO:n ohjeet pakkauksen etupuolelle tehtävistä merkinnöistä terveellisten ruokavalioiden edistämiseksi ”Guiding principles and framework manual for front-of-pack labelling for promoting healthy diets”</w:t>
      </w:r>
      <w:r w:rsidRPr="002A3C77">
        <w:rPr>
          <w:rStyle w:val="FootnoteReference"/>
          <w:szCs w:val="24"/>
        </w:rPr>
        <w:footnoteReference w:id="12"/>
      </w:r>
      <w:r w:rsidRPr="002A3C77">
        <w:t>,</w:t>
      </w:r>
    </w:p>
    <w:p w:rsidR="00F70A20" w:rsidRPr="002A3C77" w:rsidRDefault="00F70A20" w:rsidP="00986DDB">
      <w:pPr>
        <w:pStyle w:val="NormalHanging12a"/>
        <w:widowControl/>
        <w:rPr>
          <w:szCs w:val="24"/>
        </w:rPr>
      </w:pPr>
      <w:r w:rsidRPr="002A3C77">
        <w:t>–</w:t>
      </w:r>
      <w:r w:rsidRPr="002A3C77">
        <w:tab/>
        <w:t xml:space="preserve">ottaa huomioon YK:n kolmannen kestävän kehityksen tavoitteen, joka koskee terveellisen elämän ja hyvinvoinnin takaamista kaiken ikäisille, </w:t>
      </w:r>
    </w:p>
    <w:p w:rsidR="00F70A20" w:rsidRPr="00986DDB" w:rsidRDefault="00F70A20" w:rsidP="00986DDB">
      <w:pPr>
        <w:pStyle w:val="NormalHanging12a"/>
        <w:widowControl/>
        <w:rPr>
          <w:szCs w:val="24"/>
          <w:lang w:val="en-GB"/>
        </w:rPr>
      </w:pPr>
      <w:r w:rsidRPr="00986DDB">
        <w:rPr>
          <w:lang w:val="en-GB"/>
        </w:rPr>
        <w:t>–</w:t>
      </w:r>
      <w:r w:rsidRPr="00986DDB">
        <w:rPr>
          <w:lang w:val="en-GB"/>
        </w:rPr>
        <w:tab/>
        <w:t xml:space="preserve">ottaa huomioon </w:t>
      </w:r>
      <w:proofErr w:type="spellStart"/>
      <w:r w:rsidRPr="00986DDB">
        <w:rPr>
          <w:lang w:val="en-GB"/>
        </w:rPr>
        <w:t>joulukuussa</w:t>
      </w:r>
      <w:proofErr w:type="spellEnd"/>
      <w:r w:rsidRPr="00986DDB">
        <w:rPr>
          <w:lang w:val="en-GB"/>
        </w:rPr>
        <w:t xml:space="preserve"> 2013 </w:t>
      </w:r>
      <w:proofErr w:type="spellStart"/>
      <w:r w:rsidRPr="00986DDB">
        <w:rPr>
          <w:lang w:val="en-GB"/>
        </w:rPr>
        <w:t>julkaistun</w:t>
      </w:r>
      <w:proofErr w:type="spellEnd"/>
      <w:r w:rsidRPr="00986DDB">
        <w:rPr>
          <w:lang w:val="en-GB"/>
        </w:rPr>
        <w:t xml:space="preserve"> </w:t>
      </w:r>
      <w:proofErr w:type="spellStart"/>
      <w:r w:rsidRPr="00986DDB">
        <w:rPr>
          <w:lang w:val="en-GB"/>
        </w:rPr>
        <w:t>Unicefin</w:t>
      </w:r>
      <w:proofErr w:type="spellEnd"/>
      <w:r w:rsidRPr="00986DDB">
        <w:rPr>
          <w:lang w:val="en-GB"/>
        </w:rPr>
        <w:t xml:space="preserve"> </w:t>
      </w:r>
      <w:proofErr w:type="spellStart"/>
      <w:r w:rsidRPr="00986DDB">
        <w:rPr>
          <w:lang w:val="en-GB"/>
        </w:rPr>
        <w:t>oppaan</w:t>
      </w:r>
      <w:proofErr w:type="spellEnd"/>
      <w:r w:rsidRPr="00986DDB">
        <w:rPr>
          <w:lang w:val="en-GB"/>
        </w:rPr>
        <w:t xml:space="preserve"> </w:t>
      </w:r>
      <w:proofErr w:type="spellStart"/>
      <w:r w:rsidRPr="00986DDB">
        <w:rPr>
          <w:lang w:val="en-GB"/>
        </w:rPr>
        <w:t>lasten</w:t>
      </w:r>
      <w:proofErr w:type="spellEnd"/>
      <w:r w:rsidRPr="00986DDB">
        <w:rPr>
          <w:lang w:val="en-GB"/>
        </w:rPr>
        <w:t xml:space="preserve"> </w:t>
      </w:r>
      <w:proofErr w:type="spellStart"/>
      <w:r w:rsidRPr="00986DDB">
        <w:rPr>
          <w:lang w:val="en-GB"/>
        </w:rPr>
        <w:t>oikeuksien</w:t>
      </w:r>
      <w:proofErr w:type="spellEnd"/>
      <w:r w:rsidRPr="00986DDB">
        <w:rPr>
          <w:lang w:val="en-GB"/>
        </w:rPr>
        <w:t xml:space="preserve"> </w:t>
      </w:r>
      <w:proofErr w:type="spellStart"/>
      <w:r w:rsidRPr="00986DDB">
        <w:rPr>
          <w:lang w:val="en-GB"/>
        </w:rPr>
        <w:t>sisällyttämisestä</w:t>
      </w:r>
      <w:proofErr w:type="spellEnd"/>
      <w:r w:rsidRPr="00986DDB">
        <w:rPr>
          <w:lang w:val="en-GB"/>
        </w:rPr>
        <w:t xml:space="preserve"> </w:t>
      </w:r>
      <w:proofErr w:type="spellStart"/>
      <w:r w:rsidRPr="00986DDB">
        <w:rPr>
          <w:lang w:val="en-GB"/>
        </w:rPr>
        <w:t>vaikutustenarviointeihin</w:t>
      </w:r>
      <w:proofErr w:type="spellEnd"/>
      <w:r w:rsidRPr="00986DDB">
        <w:rPr>
          <w:lang w:val="en-GB"/>
        </w:rPr>
        <w:t xml:space="preserve"> ”Children’s rights in impact assessments – A guide for integrating children’s rights into impact assessments and taking action for children”</w:t>
      </w:r>
      <w:r w:rsidRPr="002A3C77">
        <w:rPr>
          <w:rStyle w:val="FootnoteReference"/>
          <w:szCs w:val="24"/>
        </w:rPr>
        <w:footnoteReference w:id="13"/>
      </w:r>
      <w:r w:rsidRPr="00986DDB">
        <w:rPr>
          <w:lang w:val="en-GB"/>
        </w:rPr>
        <w:t>,</w:t>
      </w:r>
    </w:p>
    <w:p w:rsidR="00F70A20" w:rsidRPr="002A3C77" w:rsidRDefault="00F70A20" w:rsidP="00986DDB">
      <w:pPr>
        <w:pStyle w:val="NormalHanging12a"/>
        <w:widowControl/>
        <w:rPr>
          <w:szCs w:val="24"/>
        </w:rPr>
      </w:pPr>
      <w:r w:rsidRPr="002A3C77">
        <w:t>–</w:t>
      </w:r>
      <w:r w:rsidRPr="002A3C77">
        <w:rPr>
          <w:color w:val="000000"/>
        </w:rPr>
        <w:tab/>
        <w:t>ottaa huomioon työjärjestyksen 54 artiklan sekä valiokunta-aloitteisten mietintöjen laatimista koskevasta lupamenettelystä 12. joulukuuta 2002 tehdyn puheenjohtajakokouksen päätöksen 1 artiklan 1 kohdan e alakohdan ja liitteen 3,</w:t>
      </w:r>
    </w:p>
    <w:p w:rsidR="00F70A20" w:rsidRPr="002A3C77" w:rsidRDefault="00F70A20" w:rsidP="00986DDB">
      <w:pPr>
        <w:pStyle w:val="NormalHanging12a"/>
        <w:widowControl/>
        <w:rPr>
          <w:szCs w:val="24"/>
        </w:rPr>
      </w:pPr>
      <w:r w:rsidRPr="002A3C77">
        <w:t>–</w:t>
      </w:r>
      <w:r w:rsidRPr="002A3C77">
        <w:rPr>
          <w:color w:val="000000"/>
        </w:rPr>
        <w:tab/>
      </w:r>
      <w:r w:rsidRPr="002A3C77">
        <w:t xml:space="preserve">ottaa huomioon ympäristön, kansanterveyden ja elintarvikkeiden turvallisuuden valiokunnan mietinnön (A9-0416/2023), </w:t>
      </w:r>
    </w:p>
    <w:p w:rsidR="00F70A20" w:rsidRPr="002A3C77" w:rsidRDefault="00F70A20" w:rsidP="00986DDB">
      <w:pPr>
        <w:pStyle w:val="NormalHanging12a"/>
        <w:widowControl/>
      </w:pPr>
      <w:r w:rsidRPr="002A3C77">
        <w:rPr>
          <w:color w:val="000000"/>
        </w:rPr>
        <w:t>A.</w:t>
      </w:r>
      <w:r w:rsidRPr="002A3C77">
        <w:rPr>
          <w:b/>
          <w:i/>
          <w:color w:val="000000"/>
        </w:rPr>
        <w:tab/>
      </w:r>
      <w:r w:rsidRPr="002A3C77">
        <w:rPr>
          <w:color w:val="000000"/>
        </w:rPr>
        <w:t>ottaa huomioon, että asetus (EY) N:o 1924/2006, jäljempänä ’ravitsemus- ja terveysväitteitä koskeva asetus’, otettiin käyttöön kuluttajansuojan mahdollisimman korkean tason varmistamiseksi ja kuluttajien valintojen helpottamiseksi; ottaa huomioon, että ravitsemus- ja terveysväitteitä koskevaa asetusta sovelletaan kaikessa kaupallisessa viestinnässä, mukaan lukien merkinnöissä ja mainonnassa sekä terveydenhuollon ammattilaisille suunnatussa viestinnässä, esitettyihin elintarvikkeita koskeviin vapaaehtoisiin ravitsemus- ja terveysväitteisiin</w:t>
      </w:r>
      <w:r w:rsidRPr="002A3C77">
        <w:rPr>
          <w:rStyle w:val="FootnoteReference"/>
          <w:color w:val="000000"/>
          <w:szCs w:val="24"/>
        </w:rPr>
        <w:footnoteReference w:id="14"/>
      </w:r>
      <w:r w:rsidRPr="002A3C77">
        <w:rPr>
          <w:color w:val="000000"/>
        </w:rPr>
        <w:t>; ottaa huomioon, että EFSAn tekemän tieteellisen arvioinnin jälkeen komissio hyväksyy sellaiset terveysväitteet, jotka perustuvat tieteelliseen näyttöön ja jotka ovat kuluttajien ymmärrettävissä;</w:t>
      </w:r>
    </w:p>
    <w:p w:rsidR="00F70A20" w:rsidRPr="002A3C77" w:rsidRDefault="00F70A20" w:rsidP="00986DDB">
      <w:pPr>
        <w:pStyle w:val="NormalHanging12a"/>
        <w:widowControl/>
      </w:pPr>
      <w:r w:rsidRPr="002A3C77">
        <w:t>B.</w:t>
      </w:r>
      <w:r w:rsidRPr="002A3C77">
        <w:tab/>
        <w:t>toteaa, että väitteet voidaan luokitella toiminnallisiksi terveysväitteiksi, riskin vähentämistä koskeviksi väitteiksi ja lasten kehitykseen liittyviksi väitteiksi; toteaa, että heinäkuussa 2023 EU:ssa oli hyväksytty 269 terveysväitteen käyttö; toteaa, että lasten kehitykseen ja terveyteen liittyvät väitteet elintarvikkeiden merkinnöissä voidaan hyväksyä ravitsemus- ja terveysväitteitä koskevassa asetuksessa vahvistettujen menettelyjen ja vaatimusten mukaisesti;</w:t>
      </w:r>
    </w:p>
    <w:p w:rsidR="00F70A20" w:rsidRPr="002A3C77" w:rsidRDefault="00F70A20" w:rsidP="00986DDB">
      <w:pPr>
        <w:pStyle w:val="NormalHanging12a"/>
        <w:widowControl/>
        <w:rPr>
          <w:color w:val="000000"/>
          <w:szCs w:val="24"/>
        </w:rPr>
      </w:pPr>
      <w:r w:rsidRPr="002A3C77">
        <w:rPr>
          <w:color w:val="000000"/>
        </w:rPr>
        <w:t>C.</w:t>
      </w:r>
      <w:r w:rsidRPr="002A3C77">
        <w:rPr>
          <w:color w:val="000000"/>
        </w:rPr>
        <w:tab/>
        <w:t>ottaa huomioon, että vähintään 18 prosenttia EU:n elintarvike- ja juomamarkkinoille tulevista uusista tuotteista on varustettu ravitsemus- tai terveysväittein ja että arviolta neljäsosa kaikista EU:n markkinoilla saatavilla olevista elintarvikkeista on varustettu tällaisin väittein</w:t>
      </w:r>
      <w:r w:rsidRPr="002A3C77">
        <w:rPr>
          <w:rStyle w:val="FootnoteReference"/>
          <w:color w:val="000000"/>
          <w:szCs w:val="24"/>
        </w:rPr>
        <w:footnoteReference w:id="15"/>
      </w:r>
      <w:r w:rsidRPr="002A3C77">
        <w:rPr>
          <w:color w:val="000000"/>
        </w:rPr>
        <w:t xml:space="preserve">; ottaa huomioon, että kuten ravitsemus- ja terveysväitteitä koskevan asetuksen johdanto-osan 10 kappaleessa selitetään, kuluttajat saattavat luulla väittein mainostetuilla elintarvikkeilla olevan ravitsemuksellisia, fysiologisia tai muita terveyteen liittyviä etuja verrattuna vastaaviin tai muihin tuotteisiin, joihin tällaisia </w:t>
      </w:r>
      <w:r w:rsidRPr="002A3C77">
        <w:rPr>
          <w:color w:val="000000"/>
        </w:rPr>
        <w:lastRenderedPageBreak/>
        <w:t>ravintoaineita ja muita aineita ei lisätä, ja että tämä saattaa kannustaa kuluttajia tekemään valintoja, jotka vaikuttavat yksittäisten ravintoaineiden tai muiden aineiden kokonaissaantiin tavalla, joka on vastoin tieteellisiä suosituksia;</w:t>
      </w:r>
    </w:p>
    <w:p w:rsidR="00F70A20" w:rsidRPr="002A3C77" w:rsidRDefault="00F70A20" w:rsidP="00986DDB">
      <w:pPr>
        <w:pStyle w:val="NormalHanging12a"/>
        <w:widowControl/>
      </w:pPr>
      <w:r w:rsidRPr="002A3C77">
        <w:rPr>
          <w:color w:val="000000"/>
        </w:rPr>
        <w:t>D.</w:t>
      </w:r>
      <w:r w:rsidRPr="002A3C77">
        <w:rPr>
          <w:color w:val="000000"/>
        </w:rPr>
        <w:tab/>
        <w:t>ottaa huomioon, että ravitsemus- ja terveysväitteitä koskevan asetuksen 13 artiklan 3 kohdan mukaisesti komission oli määrä hyväksyä yhteisön luettelo sallituista väitteistä viimeistään 31. tammikuuta 2010;</w:t>
      </w:r>
    </w:p>
    <w:p w:rsidR="00F70A20" w:rsidRPr="002A3C77" w:rsidRDefault="00F70A20" w:rsidP="00986DDB">
      <w:pPr>
        <w:pStyle w:val="NormalHanging12a"/>
        <w:widowControl/>
        <w:rPr>
          <w:szCs w:val="22"/>
        </w:rPr>
      </w:pPr>
      <w:r w:rsidRPr="002A3C77">
        <w:rPr>
          <w:color w:val="000000"/>
        </w:rPr>
        <w:t>E.</w:t>
      </w:r>
      <w:r w:rsidRPr="002A3C77">
        <w:rPr>
          <w:color w:val="000000"/>
        </w:rPr>
        <w:tab/>
        <w:t>toteaa, että ravitsemus- tai terveysväitteet vaikuttavat kuluttajien elintarvikevalintoihin samoin kuin elintarvikkeen muut ominaisuudet, kuten hinta, tuotemerkki, väri ja pakkauksen muoto; toteaa, että terveysväitteet, erityisesti riskin vähentämistä koskevat väitteet, vaikuttavat kuluttajien asenteisiin enemmän kuin ravitsemusväitteet</w:t>
      </w:r>
      <w:r w:rsidRPr="002A3C77">
        <w:rPr>
          <w:rStyle w:val="FootnoteReference"/>
          <w:color w:val="000000"/>
          <w:szCs w:val="24"/>
        </w:rPr>
        <w:footnoteReference w:id="16"/>
      </w:r>
      <w:r w:rsidRPr="002A3C77">
        <w:rPr>
          <w:color w:val="000000"/>
        </w:rPr>
        <w:t>; toteaa, että useat tekijät vaikuttavat kuluttajien kykyyn ymmärtää ravitsemus- ja terveysväitteitä, esimerkiksi ravitsemusta koskevan tietämyksen taso ja koulutustaso, ja katsoo, että tämä olisi otettava huomioon, jotta voidaan helpottaa siirtymistä terveellisempiin ruokavalioihin ja edistää elintarvikkeiden uudelleenmuokkausta; toteaa kuitenkin, että tiedottaminen, koulutus ja valistuskampanjat eivät yksin riitä saavuttamaan tarvittavaa muutosta kohti kestävämpiä ja terveellisempiä kuluttajavalintoja, koska kuluttajien valintoihin voivat vaikuttaa elintarvikeympäristöjen muut keskeiset tekijät, kuten kohtuuhintaisuus, markkinointi ja saatavuus;</w:t>
      </w:r>
    </w:p>
    <w:p w:rsidR="00F70A20" w:rsidRPr="002A3C77" w:rsidRDefault="00F70A20" w:rsidP="00986DDB">
      <w:pPr>
        <w:pStyle w:val="NormalHanging12a"/>
        <w:widowControl/>
      </w:pPr>
      <w:r w:rsidRPr="002A3C77">
        <w:t>F.</w:t>
      </w:r>
      <w:r w:rsidRPr="002A3C77">
        <w:tab/>
        <w:t xml:space="preserve">ottaa huomioon, että ravitsemus- ja terveysväitteitä koskevassa asetuksessa komissiolle annettiin tehtäväksi vahvistaa elintarvikkeiden tai tiettyjen elintarvikeryhmien ravintosisältöprofiilit 19. tammikuuta 2009 mennessä; toteaa, että käytännössä ravintosisältöprofiileja ei ole vielä vahvistettu; ottaa huomioon, että vuonna 2020 ravitsemus- ja terveysväitteitä koskevaa asetusta käsittelevässä komission arviointikertomuksessa vahvistettiin, että on tarpeen kehittää ravintosisältöprofiileja kuluttajien suojelemiseksi, jottei heille esitetä terveysväitteitä elintarvikkeista, joiden ravitsemuksellinen koostumus on heikko; ottaa huomioon, että Pellolta pöytään </w:t>
      </w:r>
      <w:r w:rsidRPr="002A3C77">
        <w:noBreakHyphen/>
        <w:t>strategiassa vahvistettiin jälleen, että olisi laadittava ravintosisältöprofiileja, jotta voidaan rajoittaa epäterveellisten elintarvikkeiden markkinointia ja myynninedistämistä ravitsemus- ja terveysväitteiden avulla;</w:t>
      </w:r>
    </w:p>
    <w:p w:rsidR="00F70A20" w:rsidRPr="002A3C77" w:rsidRDefault="00F70A20" w:rsidP="00986DDB">
      <w:pPr>
        <w:pStyle w:val="NormalHanging12a"/>
        <w:widowControl/>
      </w:pPr>
      <w:r w:rsidRPr="002A3C77">
        <w:t>G.</w:t>
      </w:r>
      <w:r w:rsidRPr="002A3C77">
        <w:tab/>
        <w:t>ottaa huomioon, että Pellolta pöytään -strategiasta vuonna 2021 antamassaan päätöslauselmassa parlamentti suhtautui selvästi myönteisesti ilmoitukseen lainsäädäntöehdotuksen antamisesta ravintosisältöprofiilien luomiseksi, jotta voidaan kieltää ravitsemus- ja terveysväitteiden käyttö runsaasti rasvaa, sokeria ja/tai suolaa sisältävien elintarvikkeiden tai yleisesti epäterveellisten elintarvikkeiden osalta, ja kehotti kiinnittämään erityistä huomiota lastenruokiin ja muihin erityiselintarvikkeisiin;</w:t>
      </w:r>
    </w:p>
    <w:p w:rsidR="00F70A20" w:rsidRPr="002A3C77" w:rsidRDefault="00F70A20" w:rsidP="00986DDB">
      <w:pPr>
        <w:pStyle w:val="NormalHanging12a"/>
        <w:widowControl/>
      </w:pPr>
      <w:r w:rsidRPr="002A3C77">
        <w:t>H.</w:t>
      </w:r>
      <w:r w:rsidRPr="002A3C77">
        <w:tab/>
        <w:t>ottaa huomioon, että kuluttajille esitetään edelleen myönteisiä ravitsemus- tai terveysväitteitä elintarvikkeista, jotka sisältävät runsaasti rasvaa, suolaa tai sokeria, mikä on ristiriidassa korkeatasoista kuluttajansuojaa koskevan tavoitteen kanssa;</w:t>
      </w:r>
    </w:p>
    <w:p w:rsidR="00F70A20" w:rsidRPr="002A3C77" w:rsidRDefault="00F70A20" w:rsidP="00986DDB">
      <w:pPr>
        <w:pStyle w:val="NormalHanging12a"/>
        <w:widowControl/>
        <w:rPr>
          <w:szCs w:val="24"/>
        </w:rPr>
      </w:pPr>
      <w:r w:rsidRPr="002A3C77">
        <w:t>I.</w:t>
      </w:r>
      <w:r w:rsidRPr="002A3C77">
        <w:tab/>
        <w:t xml:space="preserve">ottaa huomioon, että paino-ongelmat ja lihavuus lisääntyvät nopeasti useimmissa jäsenvaltioissa ja että yli puolet eurooppalaisista aikuisista ja kolmasosa lapsista ovat </w:t>
      </w:r>
      <w:r w:rsidRPr="002A3C77">
        <w:lastRenderedPageBreak/>
        <w:t>ylipainoisia tai lihavia</w:t>
      </w:r>
      <w:r w:rsidRPr="002A3C77">
        <w:rPr>
          <w:rStyle w:val="FootnoteReference"/>
          <w:szCs w:val="24"/>
        </w:rPr>
        <w:footnoteReference w:id="17"/>
      </w:r>
      <w:r w:rsidRPr="002A3C77">
        <w:t>; toteaa, että lasten ylipaino ja lihavuus ovat yhä merkittävämpiä maailmanlaajuisia kansanterveyshaasteita; toteaa, että vaikka on riittävästi näyttöä siitä, että runsaasti rasvaa, suolaa ja sokeria sisältävien elintarvikkeiden markkinointi vaikuttaa lasten lihavuuteen, lapset altistuvat edelleen suurelle määrälle tällaista markkinointia, jossa käytetään tehokkaita ja vakuuttavia tekniikoita, yhä useammin myös digitaalisten keinojen kautta;</w:t>
      </w:r>
    </w:p>
    <w:p w:rsidR="00F70A20" w:rsidRPr="002A3C77" w:rsidRDefault="00F70A20" w:rsidP="00986DDB">
      <w:pPr>
        <w:pStyle w:val="NormalHanging12a"/>
        <w:widowControl/>
        <w:rPr>
          <w:rFonts w:eastAsia="Calibri"/>
        </w:rPr>
      </w:pPr>
      <w:r w:rsidRPr="002A3C77">
        <w:t>J.</w:t>
      </w:r>
      <w:r w:rsidRPr="002A3C77">
        <w:tab/>
        <w:t xml:space="preserve">ottaa huomioon, että epäterveelliset ruokavaliot, jotka sisältävät runsaasti suolaa, sokeria ja rasvaa, tyydyttyneet rasvat ja </w:t>
      </w:r>
      <w:proofErr w:type="spellStart"/>
      <w:r w:rsidRPr="002A3C77">
        <w:t>transrasvat</w:t>
      </w:r>
      <w:proofErr w:type="spellEnd"/>
      <w:r w:rsidRPr="002A3C77">
        <w:t xml:space="preserve"> mukaan lukien, ovat suurin sairauksien ja kuolleisuuden riskitekijä Euroopassa ja WHO:n mukaan ne aiheuttavat vuosittain kahdeksan miljoonaa ennenaikaista kuolemaa; toteaa, että vuonna 2017 kuolleista joka viidennen kuolinsyy oli yhteydessä epäterveelliseen ruokavalioon (tällaisia kuolinsyitä olivat pääasiassa sydän- ja verisuonisairaudet ja syövät); katsoo, että tautien ennaltaehkäisyyn on kiinnitettävä enemmän huomiota;</w:t>
      </w:r>
    </w:p>
    <w:p w:rsidR="00F70A20" w:rsidRPr="002A3C77" w:rsidRDefault="00F70A20" w:rsidP="00986DDB">
      <w:pPr>
        <w:pStyle w:val="NormalHanging12a"/>
        <w:widowControl/>
      </w:pPr>
      <w:r w:rsidRPr="002A3C77">
        <w:t>K.</w:t>
      </w:r>
      <w:r w:rsidRPr="002A3C77">
        <w:tab/>
        <w:t>ottaa huomioon, että 16. helmikuuta 2022 antamassaan päätöslauselmassa ”Syöväntorjunnan tehostaminen Euroopassa – kohti kattavaa ja koordinoitua strategiaa”</w:t>
      </w:r>
      <w:r w:rsidRPr="002A3C77">
        <w:rPr>
          <w:rStyle w:val="FootnoteReference"/>
        </w:rPr>
        <w:footnoteReference w:id="18"/>
      </w:r>
      <w:r w:rsidRPr="002A3C77">
        <w:t xml:space="preserve"> parlamentti korosti terveellisten ruokavalioiden merkitystä syövän esiintyvyyden ehkäisemisessä ja rajoittamisessa;</w:t>
      </w:r>
    </w:p>
    <w:p w:rsidR="00F70A20" w:rsidRPr="002A3C77" w:rsidRDefault="00F70A20" w:rsidP="00986DDB">
      <w:pPr>
        <w:pStyle w:val="NormalHanging12a"/>
        <w:widowControl/>
        <w:rPr>
          <w:szCs w:val="24"/>
        </w:rPr>
      </w:pPr>
      <w:r w:rsidRPr="002A3C77">
        <w:t>L.</w:t>
      </w:r>
      <w:r w:rsidRPr="002A3C77">
        <w:tab/>
        <w:t>toteaa, että EFSA ei voinut määrittää vapaiden ja lisättyjen sokerien turvallista saantitasoa, koska kielteisten terveysvaikutusten (reaktioiden) riski kasvoi tasaisesti (lineaarisesti) kaikilla tutkituilla saannin tasoilla (annoksilla), eli saannin lisääntyessä kielteisten vaikutusten riski kasvoi</w:t>
      </w:r>
      <w:r w:rsidRPr="002A3C77">
        <w:rPr>
          <w:rStyle w:val="FootnoteReference"/>
          <w:szCs w:val="24"/>
        </w:rPr>
        <w:footnoteReference w:id="19"/>
      </w:r>
      <w:r w:rsidRPr="002A3C77">
        <w:t xml:space="preserve">; ottaa huomioon, että WHO:n kansainvälinen syöväntutkimuslaitos on luokitellut makeutusaine </w:t>
      </w:r>
      <w:proofErr w:type="spellStart"/>
      <w:r w:rsidRPr="002A3C77">
        <w:t>aspartaamin</w:t>
      </w:r>
      <w:proofErr w:type="spellEnd"/>
      <w:r w:rsidRPr="002A3C77">
        <w:t xml:space="preserve"> mahdollisesti ihmisille syöpää aiheuttavaksi; ottaa huomioon, että WHO:n järjestelmällisen katsauksen mukaan sokerittomat makeutusaineet saattavat olla yhteydessä suurempaan tyypin 2 diabeteksen ja sydän- ja verisuonitautien riskiin, suurempaan yleiseen kuolleisuusriskiin ja suurempaan kehonpainoon; ottaa huomioon, että terveellisemmät ruokavaliot, joissa kulutetaan enemmän kasvipohjaisia elintarvikkeita, kuten tuoreita hedelmiä ja vihanneksia, täysjyväviljoja ja palkokasveja, ja vältetään lihan ja erittäin pitkälle jalostettujen tuotteiden liiallista kulutusta, parantavat terveyttä, vähentävät ruokavalioon liittyvien ei-tarttuvien tautien aiheuttamaa kuolleisuutta ja tuovat ympäristöhyötyjä;</w:t>
      </w:r>
    </w:p>
    <w:p w:rsidR="00F70A20" w:rsidRPr="002A3C77" w:rsidRDefault="00F70A20" w:rsidP="00986DDB">
      <w:pPr>
        <w:pStyle w:val="NormalHanging12a"/>
        <w:widowControl/>
        <w:rPr>
          <w:szCs w:val="24"/>
        </w:rPr>
      </w:pPr>
      <w:r w:rsidRPr="002A3C77">
        <w:rPr>
          <w:color w:val="000000"/>
        </w:rPr>
        <w:t>M.</w:t>
      </w:r>
      <w:r w:rsidRPr="002A3C77">
        <w:rPr>
          <w:color w:val="000000"/>
        </w:rPr>
        <w:tab/>
        <w:t>toteaa, että pakkauksen etupuolelle tehtävien ravintoarvomerkintöjen kaltaiset tehokkaat tiedotusvälineet auttavat kansalaisia tekemään terveellisempiä elintarvikevalintoja ja välttämään runsaasti suolaa, rasvaa ja sokeria sisältävien elintarvikkeiden epäterveellistä kulutusta; ottaa huomioon, että parlamentti kannatti tällai</w:t>
      </w:r>
      <w:r w:rsidR="007C5F4C">
        <w:rPr>
          <w:color w:val="000000"/>
        </w:rPr>
        <w:t>sen merkinnän käyttöönottoa 20. </w:t>
      </w:r>
      <w:r w:rsidRPr="002A3C77">
        <w:rPr>
          <w:color w:val="000000"/>
        </w:rPr>
        <w:t>lokakuuta 2021 antamassaan valiokunta-aloitteisessa päätöslauselmassa Pellolta pöytään -strategiasta ja kehotti komissiota varmistamaan, että kehitetään pakollinen ja yhdenmukainen pakkauksen etupuolelle tehtävä unionin ravintoarvomerkintä, joka perustuu tieteelliseen näyttöön ja kuluttajien toteennäytettyyn ymmärrykseen, jotta voidaan tukea paikkansapitävän tiedon antamista elintarvikkeista ja terveellisemmistä vaihtoehdoista;</w:t>
      </w:r>
      <w:r w:rsidRPr="002A3C77">
        <w:t xml:space="preserve"> </w:t>
      </w:r>
    </w:p>
    <w:p w:rsidR="00F70A20" w:rsidRPr="002A3C77" w:rsidRDefault="00F70A20" w:rsidP="00986DDB">
      <w:pPr>
        <w:pStyle w:val="NormalHanging12a"/>
        <w:widowControl/>
        <w:rPr>
          <w:szCs w:val="24"/>
        </w:rPr>
      </w:pPr>
      <w:r w:rsidRPr="002A3C77">
        <w:lastRenderedPageBreak/>
        <w:t>N.</w:t>
      </w:r>
      <w:r w:rsidRPr="002A3C77">
        <w:tab/>
        <w:t>ottaa huomioon, että vuonna 2012 komissio laati luettelon 2 078:sta kasviaineisiin liittyvästä terveysväitteestä, joiden käsittely on keskeytetty, pääasiassa siksi, ettei niistä ollut interventiotutkimuksia, minkä seurauksena EFSA oli keskeyttänyt arviointi- ja hyväksyntämenettelyt vuonna 2010; ottaa huomioon, että terveysväitteitä, joiden käsittely on keskeytetty – sekä niitä, joista on tehty kielteinen arvio, että niitä, joita ei ole vielä arvioitu – voidaan edelleen käyttää EU:n markkinoilla ravitsemus- ja terveysväitteitä koskevan asetuksen siirtymätoimenpiteiden mukaisesti, kunnes niiden väitteiden luettelosta, joiden käsittely on keskeytetty, tehdään päätös;</w:t>
      </w:r>
    </w:p>
    <w:p w:rsidR="00F70A20" w:rsidRPr="002A3C77" w:rsidRDefault="00F70A20" w:rsidP="00986DDB">
      <w:pPr>
        <w:pStyle w:val="NormalHanging12a"/>
        <w:widowControl/>
      </w:pPr>
      <w:r w:rsidRPr="002A3C77">
        <w:rPr>
          <w:color w:val="000000"/>
        </w:rPr>
        <w:t>O.</w:t>
      </w:r>
      <w:r w:rsidRPr="002A3C77">
        <w:rPr>
          <w:color w:val="000000"/>
        </w:rPr>
        <w:tab/>
        <w:t>toteaa, että vuonna 2020 ravitsemus- ja terveysväitteitä koskevaa asetusta käsittelevässä komission arviointikertomuksessa todettiin, että kuluttajille voidaan edelleen esittää kasviperäisiä aineita koskevia terveysväitteitä, joiden tieteellisten arviointien taso ei ole yhdenmukainen, mukaan lukien terveysväitteitä, joita ei ole osoitettu oikeiksi ja joiden osalta kuluttajat saattavat virheellisesti uskoa, että esitetyt myönteiset vaikutukset on arvioitu tieteellisesti;</w:t>
      </w:r>
    </w:p>
    <w:p w:rsidR="00F70A20" w:rsidRPr="002A3C77" w:rsidRDefault="00F70A20" w:rsidP="00986DDB">
      <w:pPr>
        <w:pStyle w:val="NormalHanging12a"/>
        <w:widowControl/>
      </w:pPr>
      <w:r w:rsidRPr="002A3C77">
        <w:t>P.</w:t>
      </w:r>
      <w:r w:rsidRPr="002A3C77">
        <w:tab/>
        <w:t>katsoo, että kasviperäisten aineiden turvallisuuskehykseen liittyvän koordinoinnin lisääminen voisi osaltaan parantaa kuluttajansuojaa;</w:t>
      </w:r>
    </w:p>
    <w:p w:rsidR="00F70A20" w:rsidRPr="002A3C77" w:rsidRDefault="00F70A20" w:rsidP="00986DDB">
      <w:pPr>
        <w:pStyle w:val="NormalHanging12a"/>
        <w:widowControl/>
      </w:pPr>
      <w:r w:rsidRPr="002A3C77">
        <w:rPr>
          <w:color w:val="000000"/>
        </w:rPr>
        <w:t>Q.</w:t>
      </w:r>
      <w:r w:rsidRPr="002A3C77">
        <w:rPr>
          <w:color w:val="000000"/>
        </w:rPr>
        <w:tab/>
        <w:t xml:space="preserve">ottaa huomioon, että lainsäädäntöä kasviperäisten aineiden käytöstä elintarvikkeissa ja ravintolisissä ei ole yhdenmukaistettu EU:n tasolla; toteaa, että jäsenvaltioilla on elintarvikkeissa sallituista kasviperäisistä aineista joko positiivinen luettelo, negatiivinen luettelo tai ei lainkaan luetteloa; ottaa huomioon, että kasviperäisten aineiden luokittelu joko elintarvikkeiksi tai lääkkeiksi kuuluu kunkin yksittäisen jäsenvaltion toimivaltaan; toteaa, että lääkkeen tarkoituksena on ihmisten sairauksien hoito tai ennaltaehkäisy ja että ravintolisät on tarkoitettu kuluttajille, jotka eivät ole välittömän lääketieteellisen hoidon tarpeessa; </w:t>
      </w:r>
      <w:r w:rsidRPr="002A3C77">
        <w:t>katsoo, että tämän vuoksi on tärkeää säilyttää selkeä ero elintarvikkeiden ja lääkkeiden välillä;</w:t>
      </w:r>
    </w:p>
    <w:p w:rsidR="00F70A20" w:rsidRPr="002A3C77" w:rsidRDefault="00F70A20" w:rsidP="00986DDB">
      <w:pPr>
        <w:pStyle w:val="NormalHanging12a"/>
        <w:widowControl/>
        <w:rPr>
          <w:color w:val="000000"/>
          <w:szCs w:val="24"/>
        </w:rPr>
      </w:pPr>
      <w:r w:rsidRPr="002A3C77">
        <w:rPr>
          <w:color w:val="000000"/>
        </w:rPr>
        <w:t>R.</w:t>
      </w:r>
      <w:r w:rsidRPr="002A3C77">
        <w:rPr>
          <w:color w:val="000000"/>
        </w:rPr>
        <w:tab/>
        <w:t>ottaa huomioon, että kasvirohdosvalmisteista on suoritettava lupamenettelyt ennen kuin ne saatetaan EU:n markkinoille, mikä edellyttää, että osoitetaan tuotteen turvallisuus ja teho ja oikeudellisten lisävaatimusten täyttyminen esimerkiksi laadunarviointien, lääkevalvonnan ja hyvien valmistustapojen noudattamisen alalla; ottaa huomioon, että kasvirohdosvalmisteisiin, joita on käytetty turvallisesti 30 vuoden ajan, josta 15 vuoden ajan EU:ssa, voidaan käyttää perinteisiin kasvirohdosvalmisteisiin sovellettavaa yksinkertaistettua rekisteröintimenettelyä, jossa perinteistä käyttöä koskevat tiedot hyväksytään näytöksi tuotteen turvallisuudesta ja tehosta;</w:t>
      </w:r>
    </w:p>
    <w:p w:rsidR="00F70A20" w:rsidRPr="002A3C77" w:rsidRDefault="00F70A20" w:rsidP="00986DDB">
      <w:pPr>
        <w:pStyle w:val="NormalHanging12a"/>
        <w:widowControl/>
      </w:pPr>
      <w:r w:rsidRPr="002A3C77">
        <w:rPr>
          <w:color w:val="000000"/>
        </w:rPr>
        <w:t>S.</w:t>
      </w:r>
      <w:r w:rsidRPr="002A3C77">
        <w:rPr>
          <w:color w:val="000000"/>
        </w:rPr>
        <w:tab/>
        <w:t>toteaa, että kasviperäisiä aineita koskevien väitteiden osalta ravitsemus- ja terveysväitteitä koskevan asetuksen täytäntöönpanon valvonta on viivästynyt huomattavasti; toteaa, että ravitsemus- ja terveysväitteitä koskevan asetuksen tavoite kuluttajansuojan korkean tason varmistamisesta edellyttää komissiolta nopeita toimia, jotta joko voidaan valvoa ravitsemus- ja terveysväitteitä koskevan asetuksen täytäntöönpanoa kaikilta osin tai jotta sitä voidaan tarkistaa, koska se ei ole tietyiltä osin tarkoituksenmukainen;</w:t>
      </w:r>
    </w:p>
    <w:p w:rsidR="00F70A20" w:rsidRPr="002A3C77" w:rsidRDefault="00F70A20" w:rsidP="00986DDB">
      <w:pPr>
        <w:pStyle w:val="NormalHanging12a"/>
        <w:widowControl/>
      </w:pPr>
      <w:r w:rsidRPr="002A3C77">
        <w:t>T.</w:t>
      </w:r>
      <w:r w:rsidRPr="002A3C77">
        <w:tab/>
        <w:t xml:space="preserve">ottaa huomioon, että jäsenvaltiot ovat vastuussa ravitsemus- ja terveysväitteitä koskevan asetuksen täytäntöönpanon valvonnasta lainkäyttöalueellaan; ottaa huomioon, että jäsenvaltiot ovat velvollisia soveltamaan vastavuoroisen tunnustamisen periaatetta; toteaa, että jäsenvaltioiden välisten tulkintaerojen ja täytäntöönpanon valvontaan liittyvien erojen vuoksi väitteiden virheellisen käytön johdosta toteutettavat </w:t>
      </w:r>
      <w:r w:rsidRPr="002A3C77">
        <w:lastRenderedPageBreak/>
        <w:t>täytäntöönpanotoimet vaihtelevat väitteiden mukauttamista koskevasta neuvonnasta sakkoihin niiden sääntöjenvastaisen käytön vuoksi;</w:t>
      </w:r>
    </w:p>
    <w:p w:rsidR="00F70A20" w:rsidRPr="002A3C77" w:rsidRDefault="00F70A20" w:rsidP="00986DDB">
      <w:pPr>
        <w:pStyle w:val="NormalHanging12a"/>
        <w:widowControl/>
      </w:pPr>
      <w:r w:rsidRPr="002A3C77">
        <w:t>U.</w:t>
      </w:r>
      <w:r w:rsidRPr="002A3C77">
        <w:tab/>
        <w:t>toteaa, että sosiaalisella medialla on merkittävä rooli elintarvikkeiden ja ravintolisien mainonnassa ja myynnissä ja että samalla on epäselvää, missä määrin ravitsemus- ja terveysväitteitä koskevalla asetuksella säännellään terveyteen liittyvää verkkoviestintää elintarvikkeista; toteaa, että sosiaalisen median vaikuttajien tai julkisuuden henkilöiden viestintä sosiaalisessa mediassa ei aina ole selvästi kaupallista tai ei-kaupallista</w:t>
      </w:r>
      <w:r w:rsidRPr="002A3C77">
        <w:rPr>
          <w:rStyle w:val="FootnoteReference"/>
          <w:rFonts w:eastAsia="Calibri"/>
          <w:szCs w:val="24"/>
        </w:rPr>
        <w:footnoteReference w:id="20"/>
      </w:r>
      <w:r w:rsidRPr="002A3C77">
        <w:t xml:space="preserve"> ja voi johtaa todentamattomiin vääriin ja harhaanjohtaviin väitteisiin elintarvikkeista esimerkiksi proteiinilisien ja muiden lihasten kasvun tehostamiseen liittyvien ravintolisien mainonnassa;</w:t>
      </w:r>
    </w:p>
    <w:p w:rsidR="00F70A20" w:rsidRPr="002A3C77" w:rsidRDefault="00F70A20" w:rsidP="00986DDB">
      <w:pPr>
        <w:pStyle w:val="NormalHanging12a"/>
        <w:widowControl/>
      </w:pPr>
      <w:r w:rsidRPr="002A3C77">
        <w:t>1.</w:t>
      </w:r>
      <w:r w:rsidRPr="002A3C77">
        <w:tab/>
        <w:t>toteaa, että ravitsemus- ja terveysväitteitä koskevan asetuksen päätavoitteena on varmistaa, että elintarvikkeita koskevat väitteet perustuvat yleisesti hyväksyttyyn tieteelliseen näyttöön ja että keskivertokuluttajan voidaan olettaa ymmärtävän ne; korostaa, että käytännössä harhaanjohtavista väitteistä ilmoitetaan edelleen sekä verkossa että sen ulkopuolella tapahtuvassa elintarvikkeiden myynnissä;</w:t>
      </w:r>
    </w:p>
    <w:p w:rsidR="00F70A20" w:rsidRPr="002A3C77" w:rsidRDefault="00F70A20" w:rsidP="00986DDB">
      <w:pPr>
        <w:pStyle w:val="NormalHanging12a"/>
        <w:widowControl/>
      </w:pPr>
      <w:r w:rsidRPr="002A3C77">
        <w:t>2.</w:t>
      </w:r>
      <w:r w:rsidRPr="002A3C77">
        <w:tab/>
        <w:t>huomauttaa, että kuluttajat ovat yhä kiinnostuneempia elintarviketiedoista</w:t>
      </w:r>
      <w:r w:rsidRPr="002A3C77">
        <w:rPr>
          <w:rStyle w:val="FootnoteReference"/>
          <w:szCs w:val="24"/>
        </w:rPr>
        <w:footnoteReference w:id="21"/>
      </w:r>
      <w:r w:rsidRPr="002A3C77">
        <w:t>; painottaa, että on tarpeen varmistaa, että merkinnöissä olevat ja esillepanossa, markkinoinnissa ja mainonnassa käytettävät tiedot, jotka koskevat elintarvikkeiden ravintoarvoa tai terveyshyötyjä, ovat paikkansapitäviä ja merkityksellisiä ja perustuvat tieteeseen; kehottaa päivittämään säännöllisesti elintarvikkeita koskevien hyväksyttyjen ravitsemus- ja terveysväitteiden luetteloa elintarvike- ja ravitsemusalan tieteellisen kehityksen mukaisesti;</w:t>
      </w:r>
    </w:p>
    <w:p w:rsidR="00F70A20" w:rsidRPr="002A3C77" w:rsidRDefault="00F70A20" w:rsidP="00986DDB">
      <w:pPr>
        <w:pStyle w:val="NormalHanging12a"/>
        <w:widowControl/>
      </w:pPr>
      <w:r w:rsidRPr="002A3C77">
        <w:t>3.</w:t>
      </w:r>
      <w:r w:rsidRPr="002A3C77">
        <w:tab/>
        <w:t>painottaa, että on tarpeen varmistaa, että terveysväitteet pysyvät yhdenmukaisina EU:n terveyden alan politiikkatoimien ja painopisteiden kanssa; toteaa jälleen pitävänsä tärkeänä, että komissio voi harkintansa mukaan olla hyväksymättä väitteitä, jos ne voisivat johtaa ristiriitaisten ja hämmentävien viestien välittämiseen kuluttajille</w:t>
      </w:r>
      <w:r w:rsidRPr="002A3C77">
        <w:rPr>
          <w:vertAlign w:val="superscript"/>
        </w:rPr>
        <w:footnoteReference w:id="22"/>
      </w:r>
      <w:r w:rsidRPr="002A3C77">
        <w:t>;</w:t>
      </w:r>
    </w:p>
    <w:p w:rsidR="00F70A20" w:rsidRPr="002A3C77" w:rsidRDefault="00F70A20" w:rsidP="00986DDB">
      <w:pPr>
        <w:pStyle w:val="NormalHanging12a"/>
        <w:keepNext/>
        <w:widowControl/>
        <w:rPr>
          <w:b/>
          <w:i/>
        </w:rPr>
      </w:pPr>
      <w:r w:rsidRPr="002A3C77">
        <w:rPr>
          <w:b/>
          <w:i/>
        </w:rPr>
        <w:t>Ravintosisältöprofiilien huomioon ottaminen terveysväitteiden arvioinnissa</w:t>
      </w:r>
    </w:p>
    <w:p w:rsidR="00F70A20" w:rsidRPr="002A3C77" w:rsidRDefault="00F70A20" w:rsidP="00986DDB">
      <w:pPr>
        <w:pStyle w:val="NormalHanging12a"/>
        <w:widowControl/>
      </w:pPr>
      <w:r w:rsidRPr="002A3C77">
        <w:t>4.</w:t>
      </w:r>
      <w:r w:rsidRPr="002A3C77">
        <w:tab/>
        <w:t>muistuttaa, että ravitsemus- ja terveysväitteitä koskevan asetuksen 4 artiklan mukaisesti komission olisi 19. tammikuuta 2009 mennessä pitänyt vahvistaa ravintosisältöprofiilit, joilla rajoitetaan ravitsemus- ja terveysväitteiden käyttöä runsaasti rasvaa, sokeria ja/tai suolaa sisältävien elintarvikkeiden osalta; pitää valitettavana, ettei komissio ole vielä antanut ehdotusta ravintosisältöprofiileista, vaikka se oli tarkoitus antaa vuonna 2022 osana kuluttajille annettavia elintarviketietoja koskevan EU:n lainsäädännön tarkistamista; korostaa, että terveys- ja ravitsemusväitteiden käyttöä varten on edelleen tarkoituksenmukaista ja tarpeellista vahvistaa ravintosisältöprofiilit ja tiettyjen ravintoaineiden raja-arvot ravitsemus- ja terveysväitteitä koskevan asetuksen 4 artiklan mukaisesti, jotta asetuksen tavoitteet voidaan saavuttaa;</w:t>
      </w:r>
    </w:p>
    <w:p w:rsidR="00F70A20" w:rsidRPr="002A3C77" w:rsidRDefault="00F70A20" w:rsidP="00986DDB">
      <w:pPr>
        <w:pStyle w:val="NormalHanging12a"/>
        <w:widowControl/>
        <w:rPr>
          <w:szCs w:val="24"/>
        </w:rPr>
      </w:pPr>
      <w:r w:rsidRPr="002A3C77">
        <w:lastRenderedPageBreak/>
        <w:t>5.</w:t>
      </w:r>
      <w:r w:rsidRPr="002A3C77">
        <w:tab/>
        <w:t>muistuttaa, että väitteet eivät saisi johtaa kuluttajia harhaan tuotteen todellisesta ravintoarvosta; korostaa, että ravintosisältöprofiilien puuttuessa väitteissä voidaan korostaa yleisesti epäterveellisen tuotteen tai tiettyjen ravintoaineiden, kuten rasvan, sokerin ja suolan, raja-arvot ylittävän tuotteen yksittäistä hyvää puolta; huomauttaa, että monista elintarvikkeista, myös joistakin lapsille markkinoiduista elintarvikkeista, esitetään edelleen terveys- ja ravitsemusväitteitä, vaikka ne sisältävät runsaasti huolta aiheuttavia ravintoaineita; korostaa, että erityisten ravintosisältöprofiilien kehittäminen ravitsemus- ja terveysväitteitä koskevan asetuksen 4 artiklan ja sen tavoitteiden mukaisesti on tarpeen, jotta voidaan rajoittaa ravitsemus- ja terveysväitteiden käyttöä runsaasti rasvaa, sokeria ja/tai suolaa sisältävien elintarvikkeiden osalta; korostaa, että tulevien ravintosisältöprofiilien olisi perustuttava luotettavaan ja riippumattomaan tieteelliseen näyttöön ja että ne voisivat auttaa kuluttajia tekemään tietoon perustuvia, terveellisiä ja kestäviä elintarvikevalintoja;</w:t>
      </w:r>
    </w:p>
    <w:p w:rsidR="00F70A20" w:rsidRPr="002A3C77" w:rsidRDefault="00F70A20" w:rsidP="00986DDB">
      <w:pPr>
        <w:pStyle w:val="NormalHanging12a"/>
        <w:widowControl/>
      </w:pPr>
      <w:r w:rsidRPr="002A3C77">
        <w:t>6.</w:t>
      </w:r>
      <w:r w:rsidRPr="002A3C77">
        <w:tab/>
        <w:t>pitää valitettavana, ettei käytössä ole järjestelmällistä ja näyttöön perustuvaa lähestymistapaa sellaisten elintarvikeympäristöjen luomiseen, jotka auttavat kuluttajia tekemään tietoon perustuvia valintoja ja edistävät siirtymistä terveellisempiin ruokavalioihin, joissa kulutetaan enemmän kasvipohjaisia elintarvikkeita, kuten tuoreita hedelmiä ja vihanneksia, täysjyväviljoja ja palkokasveja; katsoo, että komission ja jäsenvaltioiden olisi paitsi pantava ravitsemus- ja terveysväitteitä koskeva asetus asianmukaisesti täytäntöön myös investoitava enemmän elintarvike- ja ravitsemuskasvatukseen, kuten valistuskampanjoihin, eri ohjelmien, kuten EU4Health</w:t>
      </w:r>
      <w:r w:rsidRPr="002A3C77">
        <w:noBreakHyphen/>
        <w:t>ohjelman, kautta erityisesti tukemalla kouluissa toteutettavia toimia, joiden tarkoituksena on opettaa lapsia ja nuoria terveellisistä ja tasapainoisista ruokavalioista; korostaa sosiaalisten taustatekijöiden vaikutusta siihen, miten hyvin kuluttajat osaavat tulkita elintarvikkeita koskevia väitteitä; korostaa, että tiedottaminen, koulutus ja valistuskampanjat eivät yksin riitä takaamaan, että kuluttajat tekevät tietoon perustuvia valintoja, ja että niiden lisäksi on toteutettava politiikkatoimia, joilla parannetaan elintarvikeympäristöjä;</w:t>
      </w:r>
    </w:p>
    <w:p w:rsidR="00F70A20" w:rsidRPr="002A3C77" w:rsidRDefault="00F70A20" w:rsidP="00986DDB">
      <w:pPr>
        <w:pStyle w:val="NormalHanging12a"/>
        <w:keepNext/>
        <w:widowControl/>
        <w:rPr>
          <w:b/>
          <w:i/>
        </w:rPr>
      </w:pPr>
      <w:r w:rsidRPr="002A3C77">
        <w:rPr>
          <w:b/>
          <w:i/>
        </w:rPr>
        <w:t>Kuluttajille annettavat tiedot</w:t>
      </w:r>
    </w:p>
    <w:p w:rsidR="00F70A20" w:rsidRPr="002A3C77" w:rsidRDefault="00F70A20" w:rsidP="00986DDB">
      <w:pPr>
        <w:pStyle w:val="NormalHanging12a"/>
        <w:widowControl/>
        <w:rPr>
          <w:szCs w:val="24"/>
        </w:rPr>
      </w:pPr>
      <w:r w:rsidRPr="002A3C77">
        <w:t>7.</w:t>
      </w:r>
      <w:r w:rsidRPr="002A3C77">
        <w:tab/>
        <w:t>tuo esiin, että kuluttajat käyttävät tyypillisesti liikaa elintarvikkeita, joista on esitetty terveyden edistämistä koskevia väitteitä (ns. sädekehävaikutus); kannattaa sitä, että kaikkien terveysväittein varustettujen elintarvikkeiden ja ravintolisien tuotemerkintöihin sisällytetään sekä vähimmäis- että enimmäiskäyttörajat ja suositus pyytää neuvoa terveydenhuollon ammattilaiselta ennen ravintolisien käyttöä, erityisesti jotta vältetään mahdolliset haitalliset yhteisvaikutukset tiettyjen hoitojen kanssa ja jottei vahvisteta mahdollisia syömishäiriöitä; korostaa, että nopeasti muuttuvassa elintarvikeympäristössä tiedon epäsymmetria todennäköisesti jatkuu, ja kehottaa rahoittamaan tutkimusta siitä, miten kuluttajat ymmärtävät väitteet;</w:t>
      </w:r>
    </w:p>
    <w:p w:rsidR="00F70A20" w:rsidRPr="002A3C77" w:rsidRDefault="00F70A20" w:rsidP="00986DDB">
      <w:pPr>
        <w:pStyle w:val="NormalHanging12a"/>
        <w:widowControl/>
      </w:pPr>
      <w:r w:rsidRPr="002A3C77">
        <w:t>8.</w:t>
      </w:r>
      <w:r w:rsidRPr="002A3C77">
        <w:tab/>
        <w:t xml:space="preserve">pitää valitettavana, että ehdotus elintarviketietojen antamisesta kuluttajille annetun asetuksen (EU) N:o 1169/2011 tarkistamisesta pakkauksen etupuolelle tehtävien ravintoarvomerkintöjen kehittämisen osalta on viivästynyt, ja toteaa, että näiden merkintöjen on osoitettu auttavan tehokkaasti kuluttajia tekemään terveellisempiä elintarvike- ja juomavalintoja; pyytää komissiota ja jäsenvaltioita kannustamaan ja auttamaan kuluttajia tekemään tietoon perustuvia, terveellisiä ja kestäviä elintarvikevalintoja ottamalla mahdollisimman pian käyttöön pakollisen ja yhdenmukaistetun pakkauksen etupuolelle tehtävän unionin ravintoarvomerkinnän, joka kehitetään luotettavan ja riippumattoman tieteellisen näytön ja kuluttajien toteennäytetyn ymmärryksen perusteella; toteaa tutkimusten osoittaneen, että </w:t>
      </w:r>
      <w:r w:rsidRPr="002A3C77">
        <w:lastRenderedPageBreak/>
        <w:t>elintarvikkeiden terveysvaikutuksia ei voida selittää ainoastaan ravitsemuksellisella koostumuksella vaan myös jalostusasteella, erityisesti kun on kyse erittäin pitkälle jalostetuista elintarvikkeista; korostaa siksi, että elintarvikkeiden jalostusta koskevien tietojen sisällyttäminen pakkauksen etupuolelle tehtäviin selittäviin ravintoarvomerkintöihin voisi olla kansanterveyden ja kuluttajien edun mukaista ja saattaisi osoittautua tehokkaaksi tavaksi auttaa kuluttajia tekemään terveellisempiä elintarvikevalintoja; kehottaa toteuttamaan sääntelytoimenpiteitä, joilla vähennetään erittäin pitkälle jalostettujen elintarvikkeiden kansanterveydelle aiheuttamaa rasitetta;</w:t>
      </w:r>
    </w:p>
    <w:p w:rsidR="00F70A20" w:rsidRPr="002A3C77" w:rsidRDefault="00F70A20" w:rsidP="00986DDB">
      <w:pPr>
        <w:pStyle w:val="NormalHanging12a"/>
        <w:keepNext/>
        <w:widowControl/>
        <w:rPr>
          <w:b/>
          <w:i/>
        </w:rPr>
      </w:pPr>
      <w:r w:rsidRPr="002A3C77">
        <w:rPr>
          <w:b/>
          <w:i/>
        </w:rPr>
        <w:t>Väitteiden merkityksellisyys</w:t>
      </w:r>
    </w:p>
    <w:p w:rsidR="00F70A20" w:rsidRPr="002A3C77" w:rsidRDefault="00F70A20" w:rsidP="00986DDB">
      <w:pPr>
        <w:pStyle w:val="NormalHanging12a"/>
        <w:widowControl/>
        <w:rPr>
          <w:szCs w:val="24"/>
        </w:rPr>
      </w:pPr>
      <w:r w:rsidRPr="002A3C77">
        <w:t>9.</w:t>
      </w:r>
      <w:r w:rsidRPr="002A3C77">
        <w:tab/>
        <w:t>toteaa, että monet EU:n markkinoilla käytetyistä väitteistä koskevat ravintoaineita, joista on puutetta vain hyvin harvojen eurooppalaisten kuluttajien ruokavaliossa; kehottaa komissiota tutkimaan lainsäädännöllisiä mahdollisuuksia laajentaa EFSAn toimeksiantoa siten, että siihen sisältyy väitteiden tieteellisen perustan tutkimisen lisäksi tällaisten väitteiden käytön merkityksellisyyden arviointi; kannattaa vahvasti sitä, että EFSA jatkaa erityisten ohjeiden julkaisemista väitteiden käytöstä;</w:t>
      </w:r>
    </w:p>
    <w:p w:rsidR="00F70A20" w:rsidRPr="002A3C77" w:rsidRDefault="00F70A20" w:rsidP="00986DDB">
      <w:pPr>
        <w:pStyle w:val="NormalHanging12a"/>
        <w:widowControl/>
        <w:rPr>
          <w:szCs w:val="24"/>
        </w:rPr>
      </w:pPr>
      <w:r w:rsidRPr="002A3C77">
        <w:t>10.</w:t>
      </w:r>
      <w:r w:rsidRPr="002A3C77">
        <w:tab/>
        <w:t>kehottaa komissiota arvioimaan mahdollisuutta rajoittaa sallitun ravitsemusväitteen ”ei lisättyjä sokereita” käyttöä sellaisten tuotteiden osalta, jotka sisältävät makeutusaineita tai runsaasti vapaita sokereita;</w:t>
      </w:r>
    </w:p>
    <w:p w:rsidR="00F70A20" w:rsidRPr="002A3C77" w:rsidRDefault="00F70A20" w:rsidP="00986DDB">
      <w:pPr>
        <w:pStyle w:val="NormalHanging12a"/>
        <w:widowControl/>
        <w:rPr>
          <w:szCs w:val="24"/>
        </w:rPr>
      </w:pPr>
      <w:r w:rsidRPr="002A3C77">
        <w:t>11.</w:t>
      </w:r>
      <w:r w:rsidRPr="002A3C77">
        <w:tab/>
        <w:t>korostaa, että silloinkin, kun äidinmaidonkorvikkeita koskeville väitteille on tieteellistä näyttöä, kuten terveysväite ”dokosaheksaeenihapon (DHA) nauttiminen tukee alle 12 kuukauden ikäisten imeväisten näön normaalia kehitystä”, niiden käytössä olisi vältettävä vaikuttamasta imeväisten ruokintaa koskeviin valintoihin ja rajoittamasta äidinmaidonkorvikkeiden parannuksia</w:t>
      </w:r>
      <w:r w:rsidRPr="002A3C77">
        <w:rPr>
          <w:szCs w:val="24"/>
          <w:vertAlign w:val="superscript"/>
        </w:rPr>
        <w:footnoteReference w:id="23"/>
      </w:r>
      <w:r w:rsidRPr="002A3C77">
        <w:t xml:space="preserve">; </w:t>
      </w:r>
    </w:p>
    <w:p w:rsidR="00F70A20" w:rsidRPr="002A3C77" w:rsidRDefault="00F70A20" w:rsidP="00986DDB">
      <w:pPr>
        <w:pStyle w:val="NormalHanging12a"/>
        <w:widowControl/>
      </w:pPr>
      <w:r w:rsidRPr="002A3C77">
        <w:t>12.</w:t>
      </w:r>
      <w:r w:rsidRPr="002A3C77">
        <w:tab/>
        <w:t>kannattaa valmistajien ja EFSAn välisten ennakkokuulemisten käyttöönottoa, jotta EFSA voi esittää odotuksensa, kun valmistajat esittävät väitettä koskevan pyyntönsä, niin että samalla noudatetaan EFSAn riippumattomuuden periaatetta;</w:t>
      </w:r>
    </w:p>
    <w:p w:rsidR="00F70A20" w:rsidRPr="002A3C77" w:rsidRDefault="00F70A20" w:rsidP="00986DDB">
      <w:pPr>
        <w:pStyle w:val="NormalHanging12a"/>
        <w:keepNext/>
        <w:widowControl/>
        <w:rPr>
          <w:b/>
          <w:i/>
        </w:rPr>
      </w:pPr>
      <w:r w:rsidRPr="002A3C77">
        <w:rPr>
          <w:b/>
          <w:i/>
        </w:rPr>
        <w:t>Kasviperäiset aineet</w:t>
      </w:r>
    </w:p>
    <w:p w:rsidR="00F70A20" w:rsidRPr="002A3C77" w:rsidRDefault="00F70A20" w:rsidP="00986DDB">
      <w:pPr>
        <w:pStyle w:val="NormalHanging12a"/>
        <w:widowControl/>
        <w:rPr>
          <w:szCs w:val="22"/>
        </w:rPr>
      </w:pPr>
      <w:r w:rsidRPr="002A3C77">
        <w:t>13.</w:t>
      </w:r>
      <w:r w:rsidRPr="002A3C77">
        <w:tab/>
        <w:t>huomauttaa, että kasviperäisten aineiden luokittelua joko elintarvikkeiksi tai lääkkeiksi koskevan yhdenmukaistamisen puute EU:n tasolla tarkoittaa, että kasviaine voidaan luokitella yhdessä jäsenvaltiossa elintarvikkeeksi ja toisessa lääkkeeksi; korostaa, että tällaiset epäjohdonmukaisuudet aiheuttavat valmistajille ja sääntelyviranomaisille haasteita ja voivat vaikuttaa kielteisesti kuluttajien turvallisuuteen ja hyvinvointiin, koska kuluttajien on vaikea erottaa toisistaan samaan kasviperäiseen aineeseen tai samoihin kasviaineisiin perustuvat perinteiset kasvirohdosvalmisteet ja kasviperäiset ravintolisät, mikä voi aiheuttaa väärinkäsityksiä niiden käytöstä;</w:t>
      </w:r>
    </w:p>
    <w:p w:rsidR="00F70A20" w:rsidRPr="002A3C77" w:rsidRDefault="00F70A20" w:rsidP="00986DDB">
      <w:pPr>
        <w:pStyle w:val="NormalHanging12a"/>
        <w:widowControl/>
      </w:pPr>
      <w:r w:rsidRPr="002A3C77">
        <w:t>14.</w:t>
      </w:r>
      <w:r w:rsidRPr="002A3C77">
        <w:tab/>
        <w:t xml:space="preserve">huomauttaa, ettei EU:lla ole elintarvikkeissa ja ravintolisissä käytettävien kasviperäisten aineiden positiivista tai negatiivista luetteloa eikä myöskään kattavaa luetteloa kasviperäisten aineiden hyödyllisistä tai haitallisista terveysvaikutuksista, minkä vuoksi </w:t>
      </w:r>
      <w:r w:rsidRPr="002A3C77">
        <w:lastRenderedPageBreak/>
        <w:t>jäsenvaltioiden lainsäädännössä on eroja, markkinat ovat hajanaiset ja kuluttajille päätyy mahdollisesti vaarallisia tuotteita;</w:t>
      </w:r>
    </w:p>
    <w:p w:rsidR="00F70A20" w:rsidRPr="002A3C77" w:rsidRDefault="00F70A20" w:rsidP="00986DDB">
      <w:pPr>
        <w:pStyle w:val="NormalHanging12a"/>
        <w:widowControl/>
      </w:pPr>
      <w:r w:rsidRPr="002A3C77">
        <w:t>15.</w:t>
      </w:r>
      <w:r w:rsidRPr="002A3C77">
        <w:tab/>
        <w:t>pitää valitettavana, että kasviperäisiä aineita koskevien väitteiden arviointi on edelleen keskeytynyt, ja huomauttaa, että väitteiden, joiden käsittely on keskeytetty, jatkuvaan käyttöön ravitsemus- ja terveysväitteitä koskevan asetuksen siirtymätoimenpiteiden puitteissa liittyy merkittäviä oikeudellisia huolenaiheita; korostaa, että on välttämätöntä käsitellä luetteloa kasviperäisiä aineita koskevista väitteistä, joiden käsittely on keskeytetty, arvioimalla näitä väitteitä tarkemmin kiireellisenä ja välttämättömänä kuluttajansuojatoimenpiteenä, kuten todettiin komission vuonna 2020 laatimassa ravitsemus- ja terveysväitteitä koskevan asetuksen arviointikertomuksessa; on erittäin huolissaan siitä, että ravitsemus- ja terveysväitteitä koskevan asetuksen siirtymätoimenpiteiden puitteissa sellaisten väitteiden jatkuva käyttö, joiden käsittely on keskeytetty, voisi johtaa kuluttajia harhaan ja muodostaa kuluttajille terveysriskin, sillä he saattavat virheellisesti olettaa, että nämä väitteet on arvioitu tieteellisesti ja niiden riskit on otettu huomioon;</w:t>
      </w:r>
    </w:p>
    <w:p w:rsidR="00F70A20" w:rsidRPr="002A3C77" w:rsidRDefault="00F70A20" w:rsidP="00986DDB">
      <w:pPr>
        <w:pStyle w:val="NormalHanging12a"/>
        <w:widowControl/>
      </w:pPr>
      <w:r w:rsidRPr="002A3C77">
        <w:t>16.</w:t>
      </w:r>
      <w:r w:rsidRPr="002A3C77">
        <w:tab/>
        <w:t>pitää olennaisen tärkeänä, että EFSA ja komissio tarkastelevat pikaisesti uudelleen elintarvikkeissa oleviin kasviperäisiin aineisiin liittyviä terveysväitteitä, joiden käsittely on keskeytetty, ravitsemus- ja terveysväitteitä koskevan asetuksen säännösten mukaisesti; kehottaa komissiota hylkäämään niiden väitteiden luettelossa, joiden käsittely on keskeytetty, sellaiset väitteet, joista on jo tehty kielteinen arvio;</w:t>
      </w:r>
    </w:p>
    <w:p w:rsidR="00F70A20" w:rsidRPr="002A3C77" w:rsidRDefault="00F70A20" w:rsidP="00986DDB">
      <w:pPr>
        <w:pStyle w:val="NormalHanging12a"/>
        <w:widowControl/>
      </w:pPr>
      <w:r w:rsidRPr="002A3C77">
        <w:t>17.</w:t>
      </w:r>
      <w:r w:rsidRPr="002A3C77">
        <w:tab/>
        <w:t>kehottaa jäsenvaltioita tekemään tehokasta yhteistyötä kasviperäisiä aineita sisältäviä ravintolisiä koskevan koordinoidun lähestymistavan laatimisessa ja kehottaa komissiota antamaan asiaa koskevia ohjeita; kehottaa komissiota ja jäsenvaltioita laatimaan viipymättä EU:n tason negatiivisen luettelon elintarvikkeissa käytettävistä kasviperäisistä aineista niiden myrkyllisyyden tai jäsenvaltioissa jo havaittujen haitallisten terveysvaikutusten perusteella;</w:t>
      </w:r>
    </w:p>
    <w:p w:rsidR="00F70A20" w:rsidRPr="002A3C77" w:rsidRDefault="00F70A20" w:rsidP="00986DDB">
      <w:pPr>
        <w:pStyle w:val="NormalHanging12a"/>
        <w:keepNext/>
        <w:widowControl/>
        <w:rPr>
          <w:b/>
        </w:rPr>
      </w:pPr>
      <w:r w:rsidRPr="002A3C77">
        <w:rPr>
          <w:b/>
          <w:i/>
        </w:rPr>
        <w:t>Täytäntöönpanon valvonta</w:t>
      </w:r>
    </w:p>
    <w:p w:rsidR="00F70A20" w:rsidRPr="002A3C77" w:rsidRDefault="00F70A20" w:rsidP="00986DDB">
      <w:pPr>
        <w:pStyle w:val="NormalHanging12a"/>
        <w:widowControl/>
      </w:pPr>
      <w:r w:rsidRPr="002A3C77">
        <w:t>18.</w:t>
      </w:r>
      <w:r w:rsidRPr="002A3C77">
        <w:tab/>
        <w:t>kehottaa komissiota antamaan ajantasaisia ohjeita siitä, miten voidaan käsitellä markkinointikäytäntöjä, joita käytetään ravitsemus- ja terveysväitteitä koskevan asetuksen kiertämiseen;</w:t>
      </w:r>
    </w:p>
    <w:p w:rsidR="00F70A20" w:rsidRPr="002A3C77" w:rsidRDefault="00F70A20" w:rsidP="00986DDB">
      <w:pPr>
        <w:pStyle w:val="NormalHanging12a"/>
        <w:widowControl/>
        <w:rPr>
          <w:b/>
          <w:i/>
        </w:rPr>
      </w:pPr>
      <w:r w:rsidRPr="002A3C77">
        <w:t>19.</w:t>
      </w:r>
      <w:r w:rsidRPr="002A3C77">
        <w:tab/>
        <w:t>kehottaa komissiota ja jäsenvaltioita perustamaan osaamisverkoston, jonka tavoitteena on tukea ravitsemus- ja terveysväitteitä käsittelevää työryhmää; huomauttaa, että tämän verkoston olisi autettava parhaiden käytäntöjen vaihdon helpottamisessa, jäsenvaltioiden välisten tulkintaerojen kaventamisessa ja täytäntöönpanon valvonnan eroihin puuttumisessa;</w:t>
      </w:r>
    </w:p>
    <w:p w:rsidR="00F70A20" w:rsidRPr="002A3C77" w:rsidRDefault="00F70A20" w:rsidP="00986DDB">
      <w:pPr>
        <w:pStyle w:val="NormalHanging12a"/>
        <w:keepNext/>
        <w:widowControl/>
        <w:rPr>
          <w:b/>
        </w:rPr>
      </w:pPr>
      <w:r w:rsidRPr="002A3C77">
        <w:rPr>
          <w:b/>
          <w:i/>
        </w:rPr>
        <w:t>Terveysväitteet verkkoviestinnässä</w:t>
      </w:r>
    </w:p>
    <w:p w:rsidR="00F70A20" w:rsidRPr="002A3C77" w:rsidRDefault="00F70A20" w:rsidP="00986DDB">
      <w:pPr>
        <w:pStyle w:val="NormalHanging12a"/>
        <w:widowControl/>
      </w:pPr>
      <w:r w:rsidRPr="002A3C77">
        <w:t>20.</w:t>
      </w:r>
      <w:r w:rsidRPr="002A3C77">
        <w:tab/>
        <w:t>korostaa, että ravitsemus- ja terveysväitteitä koskeva asetus hyväksyttiin aikana, jolloin sosiaalinen media ei vielä ollut kovin merkittävässä roolissa elintarvikkeiden ja ravintolisien mainonnassa ja myynnissä; on huolissaan siitä, että on epäselvää, missä määrin ravitsemus- ja terveysväitteitä koskevalla asetuksella säännellään tehokkaasti terveyteen liittyvää verkkoviestintää elintarvikkeista;</w:t>
      </w:r>
    </w:p>
    <w:p w:rsidR="00F70A20" w:rsidRPr="002A3C77" w:rsidRDefault="00F70A20" w:rsidP="00986DDB">
      <w:pPr>
        <w:pStyle w:val="NormalHanging12a"/>
        <w:widowControl/>
        <w:rPr>
          <w:szCs w:val="24"/>
        </w:rPr>
      </w:pPr>
      <w:r w:rsidRPr="002A3C77">
        <w:t>21.</w:t>
      </w:r>
      <w:r w:rsidRPr="002A3C77">
        <w:tab/>
        <w:t xml:space="preserve">on huolissaan siitä, että verkossa esitetään ravitsemus- ja terveysväitteitä, jotka eivät ole hyväksyttyjä ja jotka ovat harhaanjohtavia; painottaa, että on varmistettava, että </w:t>
      </w:r>
      <w:r w:rsidRPr="002A3C77">
        <w:lastRenderedPageBreak/>
        <w:t>ravitsemus- ja terveysväitteitä koskeva asetus pysyy tarkoituksenmukaisena myös verkkoympäristössä, erityisesti siksi, että tietyt haavoittuvassa asemassa olevat ryhmät, kuten lapset ja nuoret, voivat olla erityisen alttiita tietyille sosiaalisessa mediassa jaetuille terveysväitteille ja elintarviketiedoille, mikä on riski heidän fyysiselle terveydelleen ja mielenterveydelleen; pitää tässä yhteydessä tärkeänä määritellä, mitä tarkoitetaan elintarvikkeita ja ravintolisiä koskevalla kaupallisella viestinnällä sosiaalisessa mediassa;</w:t>
      </w:r>
    </w:p>
    <w:p w:rsidR="00F70A20" w:rsidRPr="002A3C77" w:rsidRDefault="00F70A20" w:rsidP="00986DDB">
      <w:pPr>
        <w:pStyle w:val="NormalHanging12a"/>
        <w:widowControl/>
      </w:pPr>
      <w:r w:rsidRPr="002A3C77">
        <w:t>22.</w:t>
      </w:r>
      <w:r w:rsidRPr="002A3C77">
        <w:tab/>
        <w:t>kehottaa kiinnittämään enemmän huomiota sellaisen tehokkaan ja EU:n laajuisen lähestymistavan luomiseen, jolla torjutaan lasten ja nuorten altistumista runsaasti rasvaa, sokeria ja suolaa sisältävien jalostettujen elintarvikkeiden mainonnalle ja markkinoinnille radiossa ja televisiossa sekä digitaalisessa mediassa; kehottaa komissiota harkitsemaan lainsäädäntötoimien toteuttamista tämän haavoittuvassa asemassa olevan kuluttajaryhmän terveyden suojelemiseksi;</w:t>
      </w:r>
    </w:p>
    <w:p w:rsidR="00F70A20" w:rsidRPr="002A3C77" w:rsidRDefault="00F70A20" w:rsidP="00986DDB">
      <w:pPr>
        <w:pStyle w:val="NormalHanging12a"/>
        <w:widowControl/>
      </w:pPr>
      <w:r w:rsidRPr="002A3C77">
        <w:t>23.</w:t>
      </w:r>
      <w:r w:rsidRPr="002A3C77">
        <w:tab/>
        <w:t>kehottaa komissiota laatimaan kattavat suuntaviivat ravitsemus- ja terveysväitteitä koskevan asetuksen täytäntöönpanon valvonnasta verkossa; katsoo, että näissä suuntaviivoissa olisi esitettävä selkeät menettelyt ja standardit verkossa esitettävien terveysväitteiden seuraamiseksi ja sääntelemiseksi, jotta varmistetaan tällaisten väitteiden paikkansapitävyys ja avoimuus ja suojellaan kuluttajien hyvinvointia digipalvelusäädöksen puitteissa; huomauttaa, että digipalvelusäädöksessä vahvistetaan jäsenvaltioiden ja verkkoalustojen tarjoajien vastuualueet eli laittoman sisällön levittämisen torjuminen ja verkkomainonnan läpinäkyvyyden varmistaminen kuluttajien kannalta;</w:t>
      </w:r>
    </w:p>
    <w:p w:rsidR="00F70A20" w:rsidRPr="002A3C77" w:rsidRDefault="00F70A20" w:rsidP="00986DDB">
      <w:pPr>
        <w:pStyle w:val="NormalHanging12a"/>
        <w:widowControl/>
        <w:rPr>
          <w:szCs w:val="24"/>
        </w:rPr>
      </w:pPr>
      <w:r w:rsidRPr="002A3C77">
        <w:t>24.</w:t>
      </w:r>
      <w:r w:rsidRPr="002A3C77">
        <w:tab/>
        <w:t>kehottaa komissiota ja jäsenvaltioita luomaan foorumin, jolla jaetaan parhaita käytäntöjä ravitsemus- ja terveysväitteitä koskevan asetuksen täytäntöönpanon valvonnasta verkossa ja jolla edistetään jäsenvaltioiden toimivaltaisten viranomaisten välistä yhteistyötä;</w:t>
      </w:r>
    </w:p>
    <w:p w:rsidR="00F70A20" w:rsidRPr="002A3C77" w:rsidRDefault="00F70A20" w:rsidP="00986DDB">
      <w:pPr>
        <w:pStyle w:val="NormalHanging12a"/>
        <w:widowControl/>
        <w:jc w:val="center"/>
      </w:pPr>
      <w:r w:rsidRPr="002A3C77">
        <w:t>°</w:t>
      </w:r>
    </w:p>
    <w:p w:rsidR="00F70A20" w:rsidRPr="002A3C77" w:rsidRDefault="00F70A20" w:rsidP="00986DDB">
      <w:pPr>
        <w:pStyle w:val="NormalHanging12a"/>
        <w:widowControl/>
        <w:jc w:val="center"/>
      </w:pPr>
      <w:r w:rsidRPr="002A3C77">
        <w:t>°</w:t>
      </w:r>
      <w:r w:rsidRPr="002A3C77">
        <w:tab/>
        <w:t>°</w:t>
      </w:r>
    </w:p>
    <w:p w:rsidR="00E365E1" w:rsidRPr="002A3C77" w:rsidRDefault="00F70A20" w:rsidP="00986DDB">
      <w:pPr>
        <w:widowControl/>
      </w:pPr>
      <w:r w:rsidRPr="002A3C77">
        <w:t>25.</w:t>
      </w:r>
      <w:r w:rsidRPr="002A3C77">
        <w:tab/>
        <w:t xml:space="preserve">kehottaa puhemiestä välittämään tämän päätöslauselman </w:t>
      </w:r>
      <w:r w:rsidR="002A3C77" w:rsidRPr="002A3C77">
        <w:t>neuvostolle ja komissiolle.</w:t>
      </w:r>
    </w:p>
    <w:sectPr w:rsidR="00E365E1" w:rsidRPr="002A3C77" w:rsidSect="002A3C7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E65" w:rsidRPr="002A3C77" w:rsidRDefault="00BA4E65">
      <w:r w:rsidRPr="002A3C77">
        <w:separator/>
      </w:r>
    </w:p>
  </w:endnote>
  <w:endnote w:type="continuationSeparator" w:id="0">
    <w:p w:rsidR="00BA4E65" w:rsidRPr="002A3C77" w:rsidRDefault="00BA4E65">
      <w:r w:rsidRPr="002A3C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E65" w:rsidRPr="002A3C77" w:rsidRDefault="00BA4E65">
      <w:r w:rsidRPr="002A3C77">
        <w:separator/>
      </w:r>
    </w:p>
  </w:footnote>
  <w:footnote w:type="continuationSeparator" w:id="0">
    <w:p w:rsidR="00BA4E65" w:rsidRPr="002A3C77" w:rsidRDefault="00BA4E65">
      <w:r w:rsidRPr="002A3C77">
        <w:continuationSeparator/>
      </w:r>
    </w:p>
  </w:footnote>
  <w:footnote w:id="1">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EUVL L 404, 30.12.2006, s. 9.</w:t>
      </w:r>
    </w:p>
  </w:footnote>
  <w:footnote w:id="2">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EUVL L 31, 1.2.2002, s. 1.</w:t>
      </w:r>
    </w:p>
  </w:footnote>
  <w:footnote w:id="3">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EUVL L 304, 22.11.2011, s. 18.</w:t>
      </w:r>
    </w:p>
  </w:footnote>
  <w:footnote w:id="4">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EYVL L 183, 12.7.2002, s. 51.</w:t>
      </w:r>
    </w:p>
  </w:footnote>
  <w:footnote w:id="5">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rStyle w:val="Emphasis"/>
          <w:color w:val="333333"/>
          <w:sz w:val="24"/>
          <w:shd w:val="clear" w:color="auto" w:fill="FFFFFF"/>
          <w:lang w:val="fi-FI"/>
        </w:rPr>
        <w:t xml:space="preserve"> </w:t>
      </w:r>
      <w:r w:rsidR="002A3C77" w:rsidRPr="002A3C77">
        <w:rPr>
          <w:rStyle w:val="Emphasis"/>
          <w:color w:val="333333"/>
          <w:sz w:val="24"/>
          <w:shd w:val="clear" w:color="auto" w:fill="FFFFFF"/>
          <w:lang w:val="fi-FI"/>
        </w:rPr>
        <w:tab/>
      </w:r>
      <w:r w:rsidRPr="00986DDB">
        <w:rPr>
          <w:rStyle w:val="Emphasis"/>
          <w:i w:val="0"/>
          <w:color w:val="333333"/>
          <w:sz w:val="24"/>
          <w:shd w:val="clear" w:color="auto" w:fill="FFFFFF"/>
          <w:lang w:val="fi-FI"/>
        </w:rPr>
        <w:t>EUVL L 404, 30.12.2006, s. 26.</w:t>
      </w:r>
    </w:p>
  </w:footnote>
  <w:footnote w:id="6">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EUVL L 181, 29.6.2013, s. 35.</w:t>
      </w:r>
    </w:p>
  </w:footnote>
  <w:footnote w:id="7">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EUVL L 277, 27.10.2022, s. 1.</w:t>
      </w:r>
    </w:p>
  </w:footnote>
  <w:footnote w:id="8">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EUVL L 107, 26.3.2021, s. 1.</w:t>
      </w:r>
    </w:p>
  </w:footnote>
  <w:footnote w:id="9">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EUVL C 184, 5.5.2022, s. 2.</w:t>
      </w:r>
    </w:p>
  </w:footnote>
  <w:footnote w:id="10">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 xml:space="preserve">Euroopan elintarviketurvallisuusviranomainen, ”Tolerable upper intake level for dietary sugars”, </w:t>
      </w:r>
      <w:r w:rsidRPr="002A3C77">
        <w:rPr>
          <w:i/>
          <w:sz w:val="24"/>
          <w:lang w:val="fi-FI"/>
        </w:rPr>
        <w:t>EFSA Journal</w:t>
      </w:r>
      <w:r w:rsidRPr="002A3C77">
        <w:rPr>
          <w:sz w:val="24"/>
          <w:lang w:val="fi-FI"/>
        </w:rPr>
        <w:t>, osa 20, numero 2, Euroopan elintarviketurvallisuusviranomainen, 15.12.2021.</w:t>
      </w:r>
    </w:p>
  </w:footnote>
  <w:footnote w:id="11">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 xml:space="preserve">Maailman terveysjärjestö, </w:t>
      </w:r>
      <w:r w:rsidRPr="002A3C77">
        <w:rPr>
          <w:i/>
          <w:sz w:val="24"/>
          <w:lang w:val="fi-FI"/>
        </w:rPr>
        <w:t>Nutrition labelling: policy brief</w:t>
      </w:r>
      <w:r w:rsidRPr="002A3C77">
        <w:rPr>
          <w:sz w:val="24"/>
          <w:lang w:val="fi-FI"/>
        </w:rPr>
        <w:t>, Maailman terveysjärjestö, Geneve, 2022.</w:t>
      </w:r>
    </w:p>
  </w:footnote>
  <w:footnote w:id="12">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 xml:space="preserve">Maailman terveysjärjestö, </w:t>
      </w:r>
      <w:r w:rsidRPr="002A3C77">
        <w:rPr>
          <w:i/>
          <w:sz w:val="24"/>
          <w:lang w:val="fi-FI"/>
        </w:rPr>
        <w:t>Guiding principles and Framework manual for front-of-pack labelling for promoting healthy diets</w:t>
      </w:r>
      <w:r w:rsidRPr="002A3C77">
        <w:rPr>
          <w:sz w:val="24"/>
          <w:lang w:val="fi-FI"/>
        </w:rPr>
        <w:t>, Maailman terveysjärjestö, Geneve, 2019.</w:t>
      </w:r>
    </w:p>
  </w:footnote>
  <w:footnote w:id="13">
    <w:p w:rsidR="00F70A20" w:rsidRPr="00192A74" w:rsidRDefault="00F70A20" w:rsidP="002A3C77">
      <w:pPr>
        <w:pStyle w:val="FootnoteText"/>
        <w:ind w:left="567" w:hanging="567"/>
        <w:rPr>
          <w:sz w:val="24"/>
          <w:lang w:val="en-GB"/>
        </w:rPr>
      </w:pPr>
      <w:r w:rsidRPr="002A3C77">
        <w:rPr>
          <w:rStyle w:val="FootnoteReference"/>
          <w:sz w:val="24"/>
          <w:lang w:val="fi-FI"/>
        </w:rPr>
        <w:footnoteRef/>
      </w:r>
      <w:r w:rsidR="002A3C77" w:rsidRPr="00192A74">
        <w:rPr>
          <w:sz w:val="24"/>
          <w:lang w:val="en-GB"/>
        </w:rPr>
        <w:t xml:space="preserve"> </w:t>
      </w:r>
      <w:r w:rsidR="002A3C77" w:rsidRPr="00192A74">
        <w:rPr>
          <w:sz w:val="24"/>
          <w:lang w:val="en-GB"/>
        </w:rPr>
        <w:tab/>
      </w:r>
      <w:proofErr w:type="spellStart"/>
      <w:r w:rsidRPr="00192A74">
        <w:rPr>
          <w:sz w:val="24"/>
          <w:lang w:val="en-GB"/>
        </w:rPr>
        <w:t>Unicef</w:t>
      </w:r>
      <w:proofErr w:type="spellEnd"/>
      <w:r w:rsidRPr="00192A74">
        <w:rPr>
          <w:sz w:val="24"/>
          <w:lang w:val="en-GB"/>
        </w:rPr>
        <w:t xml:space="preserve">, </w:t>
      </w:r>
      <w:r w:rsidRPr="00192A74">
        <w:rPr>
          <w:i/>
          <w:sz w:val="24"/>
          <w:lang w:val="en-GB"/>
        </w:rPr>
        <w:t>Children’s rights in impact assessments – A guide for integrating children’s rights into impact assessments and taking action for children</w:t>
      </w:r>
      <w:r w:rsidRPr="00192A74">
        <w:rPr>
          <w:sz w:val="24"/>
          <w:lang w:val="en-GB"/>
        </w:rPr>
        <w:t xml:space="preserve">, </w:t>
      </w:r>
      <w:proofErr w:type="spellStart"/>
      <w:r w:rsidRPr="00192A74">
        <w:rPr>
          <w:sz w:val="24"/>
          <w:lang w:val="en-GB"/>
        </w:rPr>
        <w:t>Unicef</w:t>
      </w:r>
      <w:proofErr w:type="spellEnd"/>
      <w:r w:rsidRPr="00192A74">
        <w:rPr>
          <w:sz w:val="24"/>
          <w:lang w:val="en-GB"/>
        </w:rPr>
        <w:t xml:space="preserve">, </w:t>
      </w:r>
      <w:proofErr w:type="spellStart"/>
      <w:r w:rsidRPr="00192A74">
        <w:rPr>
          <w:sz w:val="24"/>
          <w:lang w:val="en-GB"/>
        </w:rPr>
        <w:t>Geneve</w:t>
      </w:r>
      <w:proofErr w:type="spellEnd"/>
      <w:r w:rsidRPr="00192A74">
        <w:rPr>
          <w:sz w:val="24"/>
          <w:lang w:val="en-GB"/>
        </w:rPr>
        <w:t xml:space="preserve">, </w:t>
      </w:r>
      <w:proofErr w:type="spellStart"/>
      <w:r w:rsidRPr="00192A74">
        <w:rPr>
          <w:sz w:val="24"/>
          <w:lang w:val="en-GB"/>
        </w:rPr>
        <w:t>joulukuu</w:t>
      </w:r>
      <w:proofErr w:type="spellEnd"/>
      <w:r w:rsidRPr="00192A74">
        <w:rPr>
          <w:sz w:val="24"/>
          <w:lang w:val="en-GB"/>
        </w:rPr>
        <w:t xml:space="preserve"> 2013.</w:t>
      </w:r>
    </w:p>
  </w:footnote>
  <w:footnote w:id="14">
    <w:p w:rsidR="00F70A20" w:rsidRPr="00192A74" w:rsidRDefault="00F70A20" w:rsidP="002A3C77">
      <w:pPr>
        <w:pStyle w:val="FootnoteText"/>
        <w:ind w:left="567" w:hanging="567"/>
        <w:rPr>
          <w:sz w:val="24"/>
          <w:lang w:val="en-GB"/>
        </w:rPr>
      </w:pPr>
      <w:r w:rsidRPr="002A3C77">
        <w:rPr>
          <w:rStyle w:val="FootnoteReference"/>
          <w:sz w:val="24"/>
          <w:lang w:val="fi-FI"/>
        </w:rPr>
        <w:footnoteRef/>
      </w:r>
      <w:r w:rsidR="002A3C77" w:rsidRPr="00192A74">
        <w:rPr>
          <w:sz w:val="24"/>
          <w:lang w:val="en-GB"/>
        </w:rPr>
        <w:t xml:space="preserve"> </w:t>
      </w:r>
      <w:r w:rsidR="002A3C77" w:rsidRPr="00192A74">
        <w:rPr>
          <w:sz w:val="24"/>
          <w:lang w:val="en-GB"/>
        </w:rPr>
        <w:tab/>
      </w:r>
      <w:proofErr w:type="spellStart"/>
      <w:r w:rsidRPr="00192A74">
        <w:rPr>
          <w:sz w:val="24"/>
          <w:lang w:val="en-GB"/>
        </w:rPr>
        <w:t>Unionin</w:t>
      </w:r>
      <w:proofErr w:type="spellEnd"/>
      <w:r w:rsidRPr="00192A74">
        <w:rPr>
          <w:sz w:val="24"/>
          <w:lang w:val="en-GB"/>
        </w:rPr>
        <w:t xml:space="preserve"> </w:t>
      </w:r>
      <w:proofErr w:type="spellStart"/>
      <w:r w:rsidRPr="00192A74">
        <w:rPr>
          <w:sz w:val="24"/>
          <w:lang w:val="en-GB"/>
        </w:rPr>
        <w:t>tuomioistuimen</w:t>
      </w:r>
      <w:proofErr w:type="spellEnd"/>
      <w:r w:rsidRPr="00192A74">
        <w:rPr>
          <w:sz w:val="24"/>
          <w:lang w:val="en-GB"/>
        </w:rPr>
        <w:t xml:space="preserve"> </w:t>
      </w:r>
      <w:proofErr w:type="spellStart"/>
      <w:r w:rsidRPr="00192A74">
        <w:rPr>
          <w:sz w:val="24"/>
          <w:lang w:val="en-GB"/>
        </w:rPr>
        <w:t>tuomio</w:t>
      </w:r>
      <w:proofErr w:type="spellEnd"/>
      <w:r w:rsidRPr="00192A74">
        <w:rPr>
          <w:sz w:val="24"/>
          <w:lang w:val="en-GB"/>
        </w:rPr>
        <w:t xml:space="preserve">, 14.7.2016, </w:t>
      </w:r>
      <w:proofErr w:type="spellStart"/>
      <w:r w:rsidRPr="00192A74">
        <w:rPr>
          <w:sz w:val="24"/>
          <w:lang w:val="en-GB"/>
        </w:rPr>
        <w:t>Verband</w:t>
      </w:r>
      <w:proofErr w:type="spellEnd"/>
      <w:r w:rsidRPr="00192A74">
        <w:rPr>
          <w:sz w:val="24"/>
          <w:lang w:val="en-GB"/>
        </w:rPr>
        <w:t xml:space="preserve"> </w:t>
      </w:r>
      <w:proofErr w:type="spellStart"/>
      <w:r w:rsidRPr="00192A74">
        <w:rPr>
          <w:sz w:val="24"/>
          <w:lang w:val="en-GB"/>
        </w:rPr>
        <w:t>Sozialer</w:t>
      </w:r>
      <w:proofErr w:type="spellEnd"/>
      <w:r w:rsidRPr="00192A74">
        <w:rPr>
          <w:sz w:val="24"/>
          <w:lang w:val="en-GB"/>
        </w:rPr>
        <w:t xml:space="preserve"> </w:t>
      </w:r>
      <w:proofErr w:type="spellStart"/>
      <w:r w:rsidRPr="00192A74">
        <w:rPr>
          <w:sz w:val="24"/>
          <w:lang w:val="en-GB"/>
        </w:rPr>
        <w:t>Wettbewerb</w:t>
      </w:r>
      <w:proofErr w:type="spellEnd"/>
      <w:r w:rsidRPr="00192A74">
        <w:rPr>
          <w:sz w:val="24"/>
          <w:lang w:val="en-GB"/>
        </w:rPr>
        <w:t xml:space="preserve"> eV v. </w:t>
      </w:r>
      <w:proofErr w:type="spellStart"/>
      <w:r w:rsidRPr="00192A74">
        <w:rPr>
          <w:sz w:val="24"/>
          <w:lang w:val="en-GB"/>
        </w:rPr>
        <w:t>Innova</w:t>
      </w:r>
      <w:proofErr w:type="spellEnd"/>
      <w:r w:rsidRPr="00192A74">
        <w:rPr>
          <w:sz w:val="24"/>
          <w:lang w:val="en-GB"/>
        </w:rPr>
        <w:t xml:space="preserve"> Vital GmbH, C</w:t>
      </w:r>
      <w:r w:rsidRPr="00192A74">
        <w:rPr>
          <w:sz w:val="24"/>
          <w:lang w:val="en-GB"/>
        </w:rPr>
        <w:noBreakHyphen/>
        <w:t>19/15, ECLI</w:t>
      </w:r>
      <w:proofErr w:type="gramStart"/>
      <w:r w:rsidRPr="00192A74">
        <w:rPr>
          <w:sz w:val="24"/>
          <w:lang w:val="en-GB"/>
        </w:rPr>
        <w:t>:EU:C:2016:563</w:t>
      </w:r>
      <w:proofErr w:type="gramEnd"/>
      <w:r w:rsidRPr="00192A74">
        <w:rPr>
          <w:sz w:val="24"/>
          <w:lang w:val="en-GB"/>
        </w:rPr>
        <w:t>.</w:t>
      </w:r>
    </w:p>
  </w:footnote>
  <w:footnote w:id="15">
    <w:p w:rsidR="00F70A20" w:rsidRPr="00192A74" w:rsidRDefault="00F70A20" w:rsidP="002A3C77">
      <w:pPr>
        <w:pStyle w:val="FootnoteText"/>
        <w:ind w:left="567" w:hanging="567"/>
        <w:rPr>
          <w:sz w:val="24"/>
          <w:lang w:val="en-GB"/>
        </w:rPr>
      </w:pPr>
      <w:r w:rsidRPr="002A3C77">
        <w:rPr>
          <w:rStyle w:val="FootnoteReference"/>
          <w:sz w:val="24"/>
          <w:lang w:val="fi-FI"/>
        </w:rPr>
        <w:footnoteRef/>
      </w:r>
      <w:r w:rsidR="002A3C77" w:rsidRPr="00192A74">
        <w:rPr>
          <w:sz w:val="24"/>
          <w:lang w:val="en-GB"/>
        </w:rPr>
        <w:t xml:space="preserve"> </w:t>
      </w:r>
      <w:r w:rsidR="002A3C77" w:rsidRPr="00192A74">
        <w:rPr>
          <w:sz w:val="24"/>
          <w:lang w:val="en-GB"/>
        </w:rPr>
        <w:tab/>
      </w:r>
      <w:proofErr w:type="spellStart"/>
      <w:r w:rsidRPr="00192A74">
        <w:rPr>
          <w:sz w:val="24"/>
          <w:lang w:val="en-GB"/>
        </w:rPr>
        <w:t>Komissio</w:t>
      </w:r>
      <w:proofErr w:type="spellEnd"/>
      <w:r w:rsidRPr="00192A74">
        <w:rPr>
          <w:sz w:val="24"/>
          <w:lang w:val="en-GB"/>
        </w:rPr>
        <w:t xml:space="preserve">, </w:t>
      </w:r>
      <w:r w:rsidRPr="00192A74">
        <w:rPr>
          <w:i/>
          <w:sz w:val="24"/>
          <w:lang w:val="en-GB"/>
        </w:rPr>
        <w:t>Final Report Summary – CLYMBOL (Role of health-related claims and symbols in consumer behaviour)</w:t>
      </w:r>
      <w:r w:rsidRPr="00192A74">
        <w:rPr>
          <w:sz w:val="24"/>
          <w:lang w:val="en-GB"/>
        </w:rPr>
        <w:t>, 8.3.2017.</w:t>
      </w:r>
    </w:p>
  </w:footnote>
  <w:footnote w:id="16">
    <w:p w:rsidR="00F70A20" w:rsidRPr="00192A74" w:rsidRDefault="00F70A20" w:rsidP="002A3C77">
      <w:pPr>
        <w:pStyle w:val="FootnoteText"/>
        <w:ind w:left="567" w:hanging="567"/>
        <w:rPr>
          <w:sz w:val="24"/>
          <w:lang w:val="en-GB"/>
        </w:rPr>
      </w:pPr>
      <w:r w:rsidRPr="002A3C77">
        <w:rPr>
          <w:rStyle w:val="FootnoteReference"/>
          <w:sz w:val="24"/>
          <w:lang w:val="fi-FI"/>
        </w:rPr>
        <w:footnoteRef/>
      </w:r>
      <w:r w:rsidR="002A3C77" w:rsidRPr="00192A74">
        <w:rPr>
          <w:sz w:val="24"/>
          <w:lang w:val="en-GB"/>
        </w:rPr>
        <w:t xml:space="preserve"> </w:t>
      </w:r>
      <w:r w:rsidR="002A3C77" w:rsidRPr="00192A74">
        <w:rPr>
          <w:sz w:val="24"/>
          <w:lang w:val="en-GB"/>
        </w:rPr>
        <w:tab/>
      </w:r>
      <w:proofErr w:type="spellStart"/>
      <w:r w:rsidRPr="00192A74">
        <w:rPr>
          <w:sz w:val="24"/>
          <w:lang w:val="en-GB"/>
        </w:rPr>
        <w:t>Pichierri</w:t>
      </w:r>
      <w:proofErr w:type="spellEnd"/>
      <w:r w:rsidRPr="00192A74">
        <w:rPr>
          <w:sz w:val="24"/>
          <w:lang w:val="en-GB"/>
        </w:rPr>
        <w:t xml:space="preserve">, M. </w:t>
      </w:r>
      <w:proofErr w:type="spellStart"/>
      <w:r w:rsidRPr="00192A74">
        <w:rPr>
          <w:sz w:val="24"/>
          <w:lang w:val="en-GB"/>
        </w:rPr>
        <w:t>ym</w:t>
      </w:r>
      <w:proofErr w:type="spellEnd"/>
      <w:r w:rsidRPr="00192A74">
        <w:rPr>
          <w:sz w:val="24"/>
          <w:lang w:val="en-GB"/>
        </w:rPr>
        <w:t>.</w:t>
      </w:r>
      <w:proofErr w:type="gramStart"/>
      <w:r w:rsidRPr="00192A74">
        <w:rPr>
          <w:sz w:val="24"/>
          <w:lang w:val="en-GB"/>
        </w:rPr>
        <w:t>, ”</w:t>
      </w:r>
      <w:proofErr w:type="gramEnd"/>
      <w:r w:rsidRPr="00192A74">
        <w:rPr>
          <w:sz w:val="24"/>
          <w:lang w:val="en-GB"/>
        </w:rPr>
        <w:t xml:space="preserve">The interplay between health claim type and individual regulatory focus in determining consumers’ intentions toward extra-virgin olive oil”, </w:t>
      </w:r>
      <w:r w:rsidRPr="00192A74">
        <w:rPr>
          <w:i/>
          <w:sz w:val="24"/>
          <w:lang w:val="en-GB"/>
        </w:rPr>
        <w:t>Food Research International</w:t>
      </w:r>
      <w:r w:rsidRPr="00192A74">
        <w:rPr>
          <w:sz w:val="24"/>
          <w:lang w:val="en-GB"/>
        </w:rPr>
        <w:t xml:space="preserve">, </w:t>
      </w:r>
      <w:proofErr w:type="spellStart"/>
      <w:r w:rsidRPr="00192A74">
        <w:rPr>
          <w:sz w:val="24"/>
          <w:lang w:val="en-GB"/>
        </w:rPr>
        <w:t>osa</w:t>
      </w:r>
      <w:proofErr w:type="spellEnd"/>
      <w:r w:rsidRPr="00192A74">
        <w:rPr>
          <w:sz w:val="24"/>
          <w:lang w:val="en-GB"/>
        </w:rPr>
        <w:t xml:space="preserve"> 136, </w:t>
      </w:r>
      <w:proofErr w:type="spellStart"/>
      <w:r w:rsidRPr="00192A74">
        <w:rPr>
          <w:sz w:val="24"/>
          <w:lang w:val="en-GB"/>
        </w:rPr>
        <w:t>artikkeli</w:t>
      </w:r>
      <w:proofErr w:type="spellEnd"/>
      <w:r w:rsidRPr="00192A74">
        <w:rPr>
          <w:sz w:val="24"/>
          <w:lang w:val="en-GB"/>
        </w:rPr>
        <w:t xml:space="preserve"> 109467, Elsevier, </w:t>
      </w:r>
      <w:proofErr w:type="spellStart"/>
      <w:r w:rsidRPr="00192A74">
        <w:rPr>
          <w:sz w:val="24"/>
          <w:lang w:val="en-GB"/>
        </w:rPr>
        <w:t>lokakuu</w:t>
      </w:r>
      <w:proofErr w:type="spellEnd"/>
      <w:r w:rsidRPr="00192A74">
        <w:rPr>
          <w:sz w:val="24"/>
          <w:lang w:val="en-GB"/>
        </w:rPr>
        <w:t> 2020.</w:t>
      </w:r>
    </w:p>
  </w:footnote>
  <w:footnote w:id="17">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 xml:space="preserve">Maailman terveysjärjestö, </w:t>
      </w:r>
      <w:r w:rsidR="007C5F4C" w:rsidRPr="00192A74">
        <w:rPr>
          <w:lang w:val="fi-FI"/>
        </w:rPr>
        <w:t xml:space="preserve">WHO European </w:t>
      </w:r>
      <w:proofErr w:type="spellStart"/>
      <w:r w:rsidR="007C5F4C" w:rsidRPr="00192A74">
        <w:rPr>
          <w:lang w:val="fi-FI"/>
        </w:rPr>
        <w:t>Regional</w:t>
      </w:r>
      <w:proofErr w:type="spellEnd"/>
      <w:r w:rsidR="007C5F4C" w:rsidRPr="00192A74">
        <w:rPr>
          <w:lang w:val="fi-FI"/>
        </w:rPr>
        <w:t xml:space="preserve"> </w:t>
      </w:r>
      <w:proofErr w:type="spellStart"/>
      <w:r w:rsidR="007C5F4C" w:rsidRPr="00192A74">
        <w:rPr>
          <w:lang w:val="fi-FI"/>
        </w:rPr>
        <w:t>Obesity</w:t>
      </w:r>
      <w:proofErr w:type="spellEnd"/>
      <w:r w:rsidR="007C5F4C" w:rsidRPr="00192A74">
        <w:rPr>
          <w:lang w:val="fi-FI"/>
        </w:rPr>
        <w:t xml:space="preserve"> Report 2022</w:t>
      </w:r>
      <w:r w:rsidRPr="002A3C77">
        <w:rPr>
          <w:sz w:val="24"/>
          <w:lang w:val="fi-FI"/>
        </w:rPr>
        <w:t>, Maailman terveysjärjestö, Geneve, 2022.</w:t>
      </w:r>
    </w:p>
  </w:footnote>
  <w:footnote w:id="18">
    <w:p w:rsidR="00F70A20" w:rsidRPr="002A3C77" w:rsidRDefault="00F70A20" w:rsidP="002A3C77">
      <w:pPr>
        <w:pStyle w:val="FootnoteText"/>
        <w:ind w:left="567" w:hanging="567"/>
        <w:rPr>
          <w:rFonts w:eastAsia="Arial"/>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EUVL C 342, 6.9.2022, s. 109.</w:t>
      </w:r>
    </w:p>
  </w:footnote>
  <w:footnote w:id="19">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 xml:space="preserve">Euroopan elintarviketurvallisuusviranomainen, </w:t>
      </w:r>
      <w:r w:rsidRPr="002A3C77">
        <w:rPr>
          <w:i/>
          <w:sz w:val="24"/>
          <w:lang w:val="fi-FI"/>
        </w:rPr>
        <w:t xml:space="preserve">EFSA </w:t>
      </w:r>
      <w:proofErr w:type="spellStart"/>
      <w:r w:rsidRPr="002A3C77">
        <w:rPr>
          <w:i/>
          <w:sz w:val="24"/>
          <w:lang w:val="fi-FI"/>
        </w:rPr>
        <w:t>explains</w:t>
      </w:r>
      <w:proofErr w:type="spellEnd"/>
      <w:r w:rsidRPr="002A3C77">
        <w:rPr>
          <w:i/>
          <w:sz w:val="24"/>
          <w:lang w:val="fi-FI"/>
        </w:rPr>
        <w:t xml:space="preserve"> </w:t>
      </w:r>
      <w:proofErr w:type="spellStart"/>
      <w:r w:rsidRPr="002A3C77">
        <w:rPr>
          <w:i/>
          <w:sz w:val="24"/>
          <w:lang w:val="fi-FI"/>
        </w:rPr>
        <w:t>draft</w:t>
      </w:r>
      <w:proofErr w:type="spellEnd"/>
      <w:r w:rsidRPr="002A3C77">
        <w:rPr>
          <w:i/>
          <w:sz w:val="24"/>
          <w:lang w:val="fi-FI"/>
        </w:rPr>
        <w:t xml:space="preserve"> </w:t>
      </w:r>
      <w:proofErr w:type="spellStart"/>
      <w:r w:rsidRPr="002A3C77">
        <w:rPr>
          <w:i/>
          <w:sz w:val="24"/>
          <w:lang w:val="fi-FI"/>
        </w:rPr>
        <w:t>scientific</w:t>
      </w:r>
      <w:proofErr w:type="spellEnd"/>
      <w:r w:rsidRPr="002A3C77">
        <w:rPr>
          <w:i/>
          <w:sz w:val="24"/>
          <w:lang w:val="fi-FI"/>
        </w:rPr>
        <w:t xml:space="preserve"> </w:t>
      </w:r>
      <w:proofErr w:type="spellStart"/>
      <w:r w:rsidRPr="002A3C77">
        <w:rPr>
          <w:i/>
          <w:sz w:val="24"/>
          <w:lang w:val="fi-FI"/>
        </w:rPr>
        <w:t>opinion</w:t>
      </w:r>
      <w:proofErr w:type="spellEnd"/>
      <w:r w:rsidRPr="002A3C77">
        <w:rPr>
          <w:i/>
          <w:sz w:val="24"/>
          <w:lang w:val="fi-FI"/>
        </w:rPr>
        <w:t xml:space="preserve"> on a </w:t>
      </w:r>
      <w:proofErr w:type="spellStart"/>
      <w:r w:rsidRPr="002A3C77">
        <w:rPr>
          <w:i/>
          <w:sz w:val="24"/>
          <w:lang w:val="fi-FI"/>
        </w:rPr>
        <w:t>tolerable</w:t>
      </w:r>
      <w:proofErr w:type="spellEnd"/>
      <w:r w:rsidRPr="002A3C77">
        <w:rPr>
          <w:i/>
          <w:sz w:val="24"/>
          <w:lang w:val="fi-FI"/>
        </w:rPr>
        <w:t xml:space="preserve"> </w:t>
      </w:r>
      <w:proofErr w:type="spellStart"/>
      <w:r w:rsidRPr="002A3C77">
        <w:rPr>
          <w:i/>
          <w:sz w:val="24"/>
          <w:lang w:val="fi-FI"/>
        </w:rPr>
        <w:t>upper</w:t>
      </w:r>
      <w:proofErr w:type="spellEnd"/>
      <w:r w:rsidRPr="002A3C77">
        <w:rPr>
          <w:i/>
          <w:sz w:val="24"/>
          <w:lang w:val="fi-FI"/>
        </w:rPr>
        <w:t xml:space="preserve"> </w:t>
      </w:r>
      <w:proofErr w:type="spellStart"/>
      <w:r w:rsidRPr="002A3C77">
        <w:rPr>
          <w:i/>
          <w:sz w:val="24"/>
          <w:lang w:val="fi-FI"/>
        </w:rPr>
        <w:t>intake</w:t>
      </w:r>
      <w:proofErr w:type="spellEnd"/>
      <w:r w:rsidRPr="002A3C77">
        <w:rPr>
          <w:i/>
          <w:sz w:val="24"/>
          <w:lang w:val="fi-FI"/>
        </w:rPr>
        <w:t xml:space="preserve"> </w:t>
      </w:r>
      <w:proofErr w:type="spellStart"/>
      <w:r w:rsidRPr="002A3C77">
        <w:rPr>
          <w:i/>
          <w:sz w:val="24"/>
          <w:lang w:val="fi-FI"/>
        </w:rPr>
        <w:t>level</w:t>
      </w:r>
      <w:proofErr w:type="spellEnd"/>
      <w:r w:rsidRPr="002A3C77">
        <w:rPr>
          <w:i/>
          <w:sz w:val="24"/>
          <w:lang w:val="fi-FI"/>
        </w:rPr>
        <w:t xml:space="preserve"> for dietary sugars</w:t>
      </w:r>
      <w:r w:rsidRPr="002A3C77">
        <w:rPr>
          <w:sz w:val="24"/>
          <w:lang w:val="fi-FI"/>
        </w:rPr>
        <w:t>, Euroopan elintarviketurvallisuusviranomainen, 2021.</w:t>
      </w:r>
    </w:p>
  </w:footnote>
  <w:footnote w:id="20">
    <w:p w:rsidR="00F70A20" w:rsidRPr="00192A74" w:rsidRDefault="00F70A20" w:rsidP="002A3C77">
      <w:pPr>
        <w:pStyle w:val="FootnoteText"/>
        <w:ind w:left="567" w:hanging="567"/>
        <w:rPr>
          <w:sz w:val="24"/>
          <w:lang w:val="en-GB"/>
        </w:rPr>
      </w:pPr>
      <w:r w:rsidRPr="002A3C77">
        <w:rPr>
          <w:rStyle w:val="FootnoteReference"/>
          <w:sz w:val="24"/>
          <w:lang w:val="fi-FI"/>
        </w:rPr>
        <w:footnoteRef/>
      </w:r>
      <w:r w:rsidR="002A3C77" w:rsidRPr="00192A74">
        <w:rPr>
          <w:sz w:val="24"/>
          <w:lang w:val="en-GB"/>
        </w:rPr>
        <w:t xml:space="preserve"> </w:t>
      </w:r>
      <w:r w:rsidR="002A3C77" w:rsidRPr="00192A74">
        <w:rPr>
          <w:sz w:val="24"/>
          <w:lang w:val="en-GB"/>
        </w:rPr>
        <w:tab/>
      </w:r>
      <w:r w:rsidRPr="00192A74">
        <w:rPr>
          <w:sz w:val="24"/>
          <w:lang w:val="en-GB"/>
        </w:rPr>
        <w:t xml:space="preserve">Ashwell, M. </w:t>
      </w:r>
      <w:proofErr w:type="spellStart"/>
      <w:r w:rsidRPr="00192A74">
        <w:rPr>
          <w:sz w:val="24"/>
          <w:lang w:val="en-GB"/>
        </w:rPr>
        <w:t>ym</w:t>
      </w:r>
      <w:proofErr w:type="spellEnd"/>
      <w:r w:rsidRPr="00192A74">
        <w:rPr>
          <w:sz w:val="24"/>
          <w:lang w:val="en-GB"/>
        </w:rPr>
        <w:t>.</w:t>
      </w:r>
      <w:proofErr w:type="gramStart"/>
      <w:r w:rsidRPr="00192A74">
        <w:rPr>
          <w:sz w:val="24"/>
          <w:lang w:val="en-GB"/>
        </w:rPr>
        <w:t>, ”</w:t>
      </w:r>
      <w:proofErr w:type="gramEnd"/>
      <w:r w:rsidRPr="00192A74">
        <w:rPr>
          <w:sz w:val="24"/>
          <w:lang w:val="en-GB"/>
        </w:rPr>
        <w:t xml:space="preserve">Nature of the evidence base and strengths, challenges and recommendations in the area of nutrition and health claims: a position paper from the Academy of Nutrition Sciences”, </w:t>
      </w:r>
      <w:r w:rsidRPr="00192A74">
        <w:rPr>
          <w:i/>
          <w:sz w:val="24"/>
          <w:lang w:val="en-GB"/>
        </w:rPr>
        <w:t>British Journal of Nutrition</w:t>
      </w:r>
      <w:r w:rsidRPr="00192A74">
        <w:rPr>
          <w:sz w:val="24"/>
          <w:lang w:val="en-GB"/>
        </w:rPr>
        <w:t xml:space="preserve">, </w:t>
      </w:r>
      <w:proofErr w:type="spellStart"/>
      <w:r w:rsidRPr="00192A74">
        <w:rPr>
          <w:sz w:val="24"/>
          <w:lang w:val="en-GB"/>
        </w:rPr>
        <w:t>osa</w:t>
      </w:r>
      <w:proofErr w:type="spellEnd"/>
      <w:r w:rsidRPr="00192A74">
        <w:rPr>
          <w:sz w:val="24"/>
          <w:lang w:val="en-GB"/>
        </w:rPr>
        <w:t xml:space="preserve"> 130, </w:t>
      </w:r>
      <w:proofErr w:type="spellStart"/>
      <w:r w:rsidRPr="00192A74">
        <w:rPr>
          <w:sz w:val="24"/>
          <w:lang w:val="en-GB"/>
        </w:rPr>
        <w:t>numero</w:t>
      </w:r>
      <w:proofErr w:type="spellEnd"/>
      <w:r w:rsidRPr="00192A74">
        <w:rPr>
          <w:sz w:val="24"/>
          <w:lang w:val="en-GB"/>
        </w:rPr>
        <w:t xml:space="preserve"> 2, 28.7.2023, s. 221–238.</w:t>
      </w:r>
    </w:p>
  </w:footnote>
  <w:footnote w:id="21">
    <w:p w:rsidR="00F70A20" w:rsidRPr="00192A74" w:rsidRDefault="00F70A20" w:rsidP="002A3C77">
      <w:pPr>
        <w:pStyle w:val="FootnoteText"/>
        <w:ind w:left="567" w:hanging="567"/>
        <w:rPr>
          <w:sz w:val="24"/>
          <w:lang w:val="en-GB"/>
        </w:rPr>
      </w:pPr>
      <w:r w:rsidRPr="002A3C77">
        <w:rPr>
          <w:rStyle w:val="FootnoteReference"/>
          <w:sz w:val="24"/>
          <w:lang w:val="fi-FI"/>
        </w:rPr>
        <w:footnoteRef/>
      </w:r>
      <w:r w:rsidR="002A3C77" w:rsidRPr="00192A74">
        <w:rPr>
          <w:sz w:val="24"/>
          <w:lang w:val="en-GB"/>
        </w:rPr>
        <w:t xml:space="preserve"> </w:t>
      </w:r>
      <w:r w:rsidR="002A3C77" w:rsidRPr="00192A74">
        <w:rPr>
          <w:sz w:val="24"/>
          <w:lang w:val="en-GB"/>
        </w:rPr>
        <w:tab/>
      </w:r>
      <w:proofErr w:type="spellStart"/>
      <w:r w:rsidRPr="00192A74">
        <w:rPr>
          <w:sz w:val="24"/>
          <w:lang w:val="en-GB"/>
        </w:rPr>
        <w:t>Euroopan</w:t>
      </w:r>
      <w:proofErr w:type="spellEnd"/>
      <w:r w:rsidRPr="00192A74">
        <w:rPr>
          <w:sz w:val="24"/>
          <w:lang w:val="en-GB"/>
        </w:rPr>
        <w:t xml:space="preserve"> </w:t>
      </w:r>
      <w:proofErr w:type="spellStart"/>
      <w:r w:rsidRPr="00192A74">
        <w:rPr>
          <w:sz w:val="24"/>
          <w:lang w:val="en-GB"/>
        </w:rPr>
        <w:t>unioni</w:t>
      </w:r>
      <w:proofErr w:type="spellEnd"/>
      <w:proofErr w:type="gramStart"/>
      <w:r w:rsidRPr="00192A74">
        <w:rPr>
          <w:sz w:val="24"/>
          <w:lang w:val="en-GB"/>
        </w:rPr>
        <w:t>, ”</w:t>
      </w:r>
      <w:proofErr w:type="gramEnd"/>
      <w:r w:rsidRPr="00192A74">
        <w:rPr>
          <w:sz w:val="24"/>
          <w:lang w:val="en-GB"/>
        </w:rPr>
        <w:t xml:space="preserve">Eurobarometer – Making our food fit for the future – new trends and challenges”, </w:t>
      </w:r>
      <w:proofErr w:type="spellStart"/>
      <w:r w:rsidRPr="00192A74">
        <w:rPr>
          <w:sz w:val="24"/>
          <w:lang w:val="en-GB"/>
        </w:rPr>
        <w:t>lokakuu</w:t>
      </w:r>
      <w:proofErr w:type="spellEnd"/>
      <w:r w:rsidRPr="00192A74">
        <w:rPr>
          <w:sz w:val="24"/>
          <w:lang w:val="en-GB"/>
        </w:rPr>
        <w:t> 2020.</w:t>
      </w:r>
    </w:p>
  </w:footnote>
  <w:footnote w:id="22">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r w:rsidRPr="002A3C77">
        <w:rPr>
          <w:sz w:val="24"/>
          <w:lang w:val="fi-FI"/>
        </w:rPr>
        <w:t xml:space="preserve">Unionin tuomioistuimen tuomio, 8.6.2017, </w:t>
      </w:r>
      <w:proofErr w:type="spellStart"/>
      <w:r w:rsidRPr="002A3C77">
        <w:rPr>
          <w:sz w:val="24"/>
          <w:lang w:val="fi-FI"/>
        </w:rPr>
        <w:t>Dextro</w:t>
      </w:r>
      <w:proofErr w:type="spellEnd"/>
      <w:r w:rsidRPr="002A3C77">
        <w:rPr>
          <w:sz w:val="24"/>
          <w:lang w:val="fi-FI"/>
        </w:rPr>
        <w:t xml:space="preserve"> Energy </w:t>
      </w:r>
      <w:proofErr w:type="spellStart"/>
      <w:r w:rsidRPr="002A3C77">
        <w:rPr>
          <w:sz w:val="24"/>
          <w:lang w:val="fi-FI"/>
        </w:rPr>
        <w:t>GmbH</w:t>
      </w:r>
      <w:proofErr w:type="spellEnd"/>
      <w:r w:rsidRPr="002A3C77">
        <w:rPr>
          <w:sz w:val="24"/>
          <w:lang w:val="fi-FI"/>
        </w:rPr>
        <w:t xml:space="preserve"> &amp; Co. KG v. Euroopan komissio, C-296/16, ECLI:EU:C:2017:437.</w:t>
      </w:r>
    </w:p>
  </w:footnote>
  <w:footnote w:id="23">
    <w:p w:rsidR="00F70A20" w:rsidRPr="002A3C77" w:rsidRDefault="00F70A20" w:rsidP="002A3C77">
      <w:pPr>
        <w:pStyle w:val="FootnoteText"/>
        <w:ind w:left="567" w:hanging="567"/>
        <w:rPr>
          <w:sz w:val="24"/>
          <w:lang w:val="fi-FI"/>
        </w:rPr>
      </w:pPr>
      <w:r w:rsidRPr="002A3C77">
        <w:rPr>
          <w:rStyle w:val="FootnoteReference"/>
          <w:sz w:val="24"/>
          <w:lang w:val="fi-FI"/>
        </w:rPr>
        <w:footnoteRef/>
      </w:r>
      <w:r w:rsidR="002A3C77" w:rsidRPr="002A3C77">
        <w:rPr>
          <w:sz w:val="24"/>
          <w:lang w:val="fi-FI"/>
        </w:rPr>
        <w:t xml:space="preserve"> </w:t>
      </w:r>
      <w:r w:rsidR="002A3C77" w:rsidRPr="002A3C77">
        <w:rPr>
          <w:sz w:val="24"/>
          <w:lang w:val="fi-FI"/>
        </w:rPr>
        <w:tab/>
      </w:r>
      <w:proofErr w:type="spellStart"/>
      <w:r w:rsidRPr="002A3C77">
        <w:rPr>
          <w:sz w:val="24"/>
          <w:lang w:val="fi-FI"/>
        </w:rPr>
        <w:t>Munblit</w:t>
      </w:r>
      <w:proofErr w:type="spellEnd"/>
      <w:r w:rsidRPr="002A3C77">
        <w:rPr>
          <w:sz w:val="24"/>
          <w:lang w:val="fi-FI"/>
        </w:rPr>
        <w:t xml:space="preserve">, D. ym., ”Health and </w:t>
      </w:r>
      <w:proofErr w:type="spellStart"/>
      <w:r w:rsidRPr="002A3C77">
        <w:rPr>
          <w:sz w:val="24"/>
          <w:lang w:val="fi-FI"/>
        </w:rPr>
        <w:t>nutrition</w:t>
      </w:r>
      <w:proofErr w:type="spellEnd"/>
      <w:r w:rsidRPr="002A3C77">
        <w:rPr>
          <w:sz w:val="24"/>
          <w:lang w:val="fi-FI"/>
        </w:rPr>
        <w:t xml:space="preserve"> </w:t>
      </w:r>
      <w:proofErr w:type="spellStart"/>
      <w:r w:rsidRPr="002A3C77">
        <w:rPr>
          <w:sz w:val="24"/>
          <w:lang w:val="fi-FI"/>
        </w:rPr>
        <w:t>claims</w:t>
      </w:r>
      <w:proofErr w:type="spellEnd"/>
      <w:r w:rsidRPr="002A3C77">
        <w:rPr>
          <w:sz w:val="24"/>
          <w:lang w:val="fi-FI"/>
        </w:rPr>
        <w:t xml:space="preserve"> for </w:t>
      </w:r>
      <w:proofErr w:type="spellStart"/>
      <w:r w:rsidRPr="002A3C77">
        <w:rPr>
          <w:sz w:val="24"/>
          <w:lang w:val="fi-FI"/>
        </w:rPr>
        <w:t>infant</w:t>
      </w:r>
      <w:proofErr w:type="spellEnd"/>
      <w:r w:rsidRPr="002A3C77">
        <w:rPr>
          <w:sz w:val="24"/>
          <w:lang w:val="fi-FI"/>
        </w:rPr>
        <w:t xml:space="preserve"> formula </w:t>
      </w:r>
      <w:proofErr w:type="spellStart"/>
      <w:r w:rsidRPr="002A3C77">
        <w:rPr>
          <w:sz w:val="24"/>
          <w:lang w:val="fi-FI"/>
        </w:rPr>
        <w:t>are</w:t>
      </w:r>
      <w:proofErr w:type="spellEnd"/>
      <w:r w:rsidRPr="002A3C77">
        <w:rPr>
          <w:sz w:val="24"/>
          <w:lang w:val="fi-FI"/>
        </w:rPr>
        <w:t xml:space="preserve"> </w:t>
      </w:r>
      <w:proofErr w:type="spellStart"/>
      <w:r w:rsidRPr="002A3C77">
        <w:rPr>
          <w:sz w:val="24"/>
          <w:lang w:val="fi-FI"/>
        </w:rPr>
        <w:t>poorly</w:t>
      </w:r>
      <w:proofErr w:type="spellEnd"/>
      <w:r w:rsidRPr="002A3C77">
        <w:rPr>
          <w:sz w:val="24"/>
          <w:lang w:val="fi-FI"/>
        </w:rPr>
        <w:t xml:space="preserve"> </w:t>
      </w:r>
      <w:proofErr w:type="spellStart"/>
      <w:r w:rsidRPr="002A3C77">
        <w:rPr>
          <w:sz w:val="24"/>
          <w:lang w:val="fi-FI"/>
        </w:rPr>
        <w:t>substantiated</w:t>
      </w:r>
      <w:proofErr w:type="spellEnd"/>
      <w:r w:rsidRPr="002A3C77">
        <w:rPr>
          <w:sz w:val="24"/>
          <w:lang w:val="fi-FI"/>
        </w:rPr>
        <w:t xml:space="preserve"> and </w:t>
      </w:r>
      <w:proofErr w:type="spellStart"/>
      <w:r w:rsidRPr="002A3C77">
        <w:rPr>
          <w:sz w:val="24"/>
          <w:lang w:val="fi-FI"/>
        </w:rPr>
        <w:t>potentially</w:t>
      </w:r>
      <w:proofErr w:type="spellEnd"/>
      <w:r w:rsidRPr="002A3C77">
        <w:rPr>
          <w:sz w:val="24"/>
          <w:lang w:val="fi-FI"/>
        </w:rPr>
        <w:t xml:space="preserve"> </w:t>
      </w:r>
      <w:proofErr w:type="spellStart"/>
      <w:r w:rsidRPr="002A3C77">
        <w:rPr>
          <w:sz w:val="24"/>
          <w:lang w:val="fi-FI"/>
        </w:rPr>
        <w:t>harmful</w:t>
      </w:r>
      <w:proofErr w:type="spellEnd"/>
      <w:r w:rsidRPr="002A3C77">
        <w:rPr>
          <w:sz w:val="24"/>
          <w:lang w:val="fi-FI"/>
        </w:rPr>
        <w:t xml:space="preserve">”, </w:t>
      </w:r>
      <w:r w:rsidRPr="002A3C77">
        <w:rPr>
          <w:i/>
          <w:sz w:val="24"/>
          <w:lang w:val="fi-FI"/>
        </w:rPr>
        <w:t xml:space="preserve">British </w:t>
      </w:r>
      <w:proofErr w:type="spellStart"/>
      <w:r w:rsidRPr="002A3C77">
        <w:rPr>
          <w:i/>
          <w:sz w:val="24"/>
          <w:lang w:val="fi-FI"/>
        </w:rPr>
        <w:t>Medical</w:t>
      </w:r>
      <w:proofErr w:type="spellEnd"/>
      <w:r w:rsidRPr="002A3C77">
        <w:rPr>
          <w:i/>
          <w:sz w:val="24"/>
          <w:lang w:val="fi-FI"/>
        </w:rPr>
        <w:t xml:space="preserve"> Journal</w:t>
      </w:r>
      <w:r w:rsidRPr="002A3C77">
        <w:rPr>
          <w:sz w:val="24"/>
          <w:lang w:val="fi-FI"/>
        </w:rPr>
        <w:t xml:space="preserve">, osa 369, artikkeli m875, 2020, ja </w:t>
      </w:r>
      <w:proofErr w:type="spellStart"/>
      <w:r w:rsidRPr="002A3C77">
        <w:rPr>
          <w:sz w:val="24"/>
          <w:lang w:val="fi-FI"/>
        </w:rPr>
        <w:t>Cheung</w:t>
      </w:r>
      <w:proofErr w:type="spellEnd"/>
      <w:r w:rsidRPr="002A3C77">
        <w:rPr>
          <w:sz w:val="24"/>
          <w:lang w:val="fi-FI"/>
        </w:rPr>
        <w:t xml:space="preserve">, K.Y. ym., ”Health and </w:t>
      </w:r>
      <w:proofErr w:type="spellStart"/>
      <w:r w:rsidRPr="002A3C77">
        <w:rPr>
          <w:sz w:val="24"/>
          <w:lang w:val="fi-FI"/>
        </w:rPr>
        <w:t>nutrition</w:t>
      </w:r>
      <w:proofErr w:type="spellEnd"/>
      <w:r w:rsidRPr="002A3C77">
        <w:rPr>
          <w:sz w:val="24"/>
          <w:lang w:val="fi-FI"/>
        </w:rPr>
        <w:t xml:space="preserve"> </w:t>
      </w:r>
      <w:proofErr w:type="spellStart"/>
      <w:r w:rsidRPr="002A3C77">
        <w:rPr>
          <w:sz w:val="24"/>
          <w:lang w:val="fi-FI"/>
        </w:rPr>
        <w:t>claims</w:t>
      </w:r>
      <w:proofErr w:type="spellEnd"/>
      <w:r w:rsidRPr="002A3C77">
        <w:rPr>
          <w:sz w:val="24"/>
          <w:lang w:val="fi-FI"/>
        </w:rPr>
        <w:t xml:space="preserve"> for </w:t>
      </w:r>
      <w:proofErr w:type="spellStart"/>
      <w:r w:rsidRPr="002A3C77">
        <w:rPr>
          <w:sz w:val="24"/>
          <w:lang w:val="fi-FI"/>
        </w:rPr>
        <w:t>infant</w:t>
      </w:r>
      <w:proofErr w:type="spellEnd"/>
      <w:r w:rsidRPr="002A3C77">
        <w:rPr>
          <w:sz w:val="24"/>
          <w:lang w:val="fi-FI"/>
        </w:rPr>
        <w:t xml:space="preserve"> formula: </w:t>
      </w:r>
      <w:proofErr w:type="spellStart"/>
      <w:r w:rsidRPr="002A3C77">
        <w:rPr>
          <w:sz w:val="24"/>
          <w:lang w:val="fi-FI"/>
        </w:rPr>
        <w:t>international</w:t>
      </w:r>
      <w:proofErr w:type="spellEnd"/>
      <w:r w:rsidRPr="002A3C77">
        <w:rPr>
          <w:sz w:val="24"/>
          <w:lang w:val="fi-FI"/>
        </w:rPr>
        <w:t xml:space="preserve"> cross </w:t>
      </w:r>
      <w:proofErr w:type="spellStart"/>
      <w:r w:rsidRPr="002A3C77">
        <w:rPr>
          <w:sz w:val="24"/>
          <w:lang w:val="fi-FI"/>
        </w:rPr>
        <w:t>sectional</w:t>
      </w:r>
      <w:proofErr w:type="spellEnd"/>
      <w:r w:rsidRPr="002A3C77">
        <w:rPr>
          <w:sz w:val="24"/>
          <w:lang w:val="fi-FI"/>
        </w:rPr>
        <w:t xml:space="preserve"> </w:t>
      </w:r>
      <w:proofErr w:type="spellStart"/>
      <w:r w:rsidRPr="002A3C77">
        <w:rPr>
          <w:sz w:val="24"/>
          <w:lang w:val="fi-FI"/>
        </w:rPr>
        <w:t>survey</w:t>
      </w:r>
      <w:proofErr w:type="spellEnd"/>
      <w:r w:rsidRPr="002A3C77">
        <w:rPr>
          <w:sz w:val="24"/>
          <w:lang w:val="fi-FI"/>
        </w:rPr>
        <w:t xml:space="preserve">”, </w:t>
      </w:r>
      <w:r w:rsidRPr="002A3C77">
        <w:rPr>
          <w:i/>
          <w:sz w:val="24"/>
          <w:lang w:val="fi-FI"/>
        </w:rPr>
        <w:t xml:space="preserve">British </w:t>
      </w:r>
      <w:proofErr w:type="spellStart"/>
      <w:r w:rsidRPr="002A3C77">
        <w:rPr>
          <w:i/>
          <w:sz w:val="24"/>
          <w:lang w:val="fi-FI"/>
        </w:rPr>
        <w:t>Medical</w:t>
      </w:r>
      <w:proofErr w:type="spellEnd"/>
      <w:r w:rsidRPr="002A3C77">
        <w:rPr>
          <w:i/>
          <w:sz w:val="24"/>
          <w:lang w:val="fi-FI"/>
        </w:rPr>
        <w:t xml:space="preserve"> Journal</w:t>
      </w:r>
      <w:r w:rsidRPr="002A3C77">
        <w:rPr>
          <w:sz w:val="24"/>
          <w:lang w:val="fi-FI"/>
        </w:rPr>
        <w:t>, osa 380, numero 8371,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FI"/>
    <w:docVar w:name="dvnumam" w:val="0"/>
    <w:docVar w:name="dvpe" w:val="753.549"/>
    <w:docVar w:name="dvrapporteur" w:val="Esittelijä: "/>
    <w:docVar w:name="dvtitre" w:val="Euroopan parlamentin päätöslauselma xx. tammikuuta 2024 elintarvikkeita koskevista ravitsemus- ja terveysväitteistä annetun asetuksen (EY) N:o 1924/2006 täytäntöönpanosta(2023/2081(INI))"/>
  </w:docVars>
  <w:rsids>
    <w:rsidRoot w:val="00BA4E65"/>
    <w:rsid w:val="00002272"/>
    <w:rsid w:val="00064002"/>
    <w:rsid w:val="000677B9"/>
    <w:rsid w:val="000831BA"/>
    <w:rsid w:val="000A42CC"/>
    <w:rsid w:val="000E7DD9"/>
    <w:rsid w:val="0010095E"/>
    <w:rsid w:val="00125B37"/>
    <w:rsid w:val="00187494"/>
    <w:rsid w:val="00192A74"/>
    <w:rsid w:val="001F32AE"/>
    <w:rsid w:val="002767FF"/>
    <w:rsid w:val="002A3C7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5F4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DDB"/>
    <w:rsid w:val="00A1687D"/>
    <w:rsid w:val="00A43E52"/>
    <w:rsid w:val="00A4678D"/>
    <w:rsid w:val="00A778C7"/>
    <w:rsid w:val="00AB441E"/>
    <w:rsid w:val="00AB6293"/>
    <w:rsid w:val="00AE0928"/>
    <w:rsid w:val="00AF3B82"/>
    <w:rsid w:val="00B12E95"/>
    <w:rsid w:val="00B22876"/>
    <w:rsid w:val="00B558F0"/>
    <w:rsid w:val="00BA4E6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A2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359B2"/>
  <w15:chartTrackingRefBased/>
  <w15:docId w15:val="{CE62912A-6D47-45BC-843B-27EB70A0C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70A20"/>
    <w:pPr>
      <w:spacing w:after="240"/>
      <w:ind w:left="567" w:hanging="567"/>
    </w:pPr>
  </w:style>
  <w:style w:type="paragraph" w:customStyle="1" w:styleId="EPComma">
    <w:name w:val="EPComma"/>
    <w:basedOn w:val="Normal"/>
    <w:rsid w:val="00F70A20"/>
    <w:pPr>
      <w:spacing w:before="480" w:after="240"/>
    </w:pPr>
  </w:style>
  <w:style w:type="character" w:styleId="Hyperlink">
    <w:name w:val="Hyperlink"/>
    <w:basedOn w:val="DefaultParagraphFont"/>
    <w:uiPriority w:val="99"/>
    <w:unhideWhenUsed/>
    <w:rsid w:val="00F70A20"/>
    <w:rPr>
      <w:color w:val="0563C1" w:themeColor="hyperlink"/>
      <w:u w:val="single"/>
    </w:rPr>
  </w:style>
  <w:style w:type="character" w:styleId="Emphasis">
    <w:name w:val="Emphasis"/>
    <w:basedOn w:val="DefaultParagraphFont"/>
    <w:uiPriority w:val="20"/>
    <w:qFormat/>
    <w:rsid w:val="00F70A20"/>
    <w:rPr>
      <w:i/>
      <w:iCs/>
    </w:rPr>
  </w:style>
  <w:style w:type="character" w:customStyle="1" w:styleId="NormalHanging12aChar">
    <w:name w:val="NormalHanging12a Char"/>
    <w:basedOn w:val="DefaultParagraphFont"/>
    <w:link w:val="NormalHanging12a"/>
    <w:locked/>
    <w:rsid w:val="00F70A20"/>
    <w:rPr>
      <w:sz w:val="24"/>
      <w:lang w:val="fi-FI"/>
    </w:rPr>
  </w:style>
  <w:style w:type="paragraph" w:styleId="Footer">
    <w:name w:val="footer"/>
    <w:basedOn w:val="Normal"/>
    <w:link w:val="FooterChar"/>
    <w:rsid w:val="00986DDB"/>
    <w:pPr>
      <w:tabs>
        <w:tab w:val="center" w:pos="4513"/>
        <w:tab w:val="right" w:pos="9026"/>
      </w:tabs>
    </w:pPr>
  </w:style>
  <w:style w:type="character" w:customStyle="1" w:styleId="FooterChar">
    <w:name w:val="Footer Char"/>
    <w:basedOn w:val="DefaultParagraphFont"/>
    <w:link w:val="Footer"/>
    <w:rsid w:val="00986DDB"/>
    <w:rPr>
      <w:sz w:val="24"/>
      <w:lang w:val="fi-FI"/>
    </w:rPr>
  </w:style>
  <w:style w:type="paragraph" w:styleId="BalloonText">
    <w:name w:val="Balloon Text"/>
    <w:basedOn w:val="Normal"/>
    <w:link w:val="BalloonTextChar"/>
    <w:rsid w:val="007C5F4C"/>
    <w:rPr>
      <w:rFonts w:ascii="Segoe UI" w:hAnsi="Segoe UI" w:cs="Segoe UI"/>
      <w:sz w:val="18"/>
      <w:szCs w:val="18"/>
    </w:rPr>
  </w:style>
  <w:style w:type="character" w:customStyle="1" w:styleId="BalloonTextChar">
    <w:name w:val="Balloon Text Char"/>
    <w:basedOn w:val="DefaultParagraphFont"/>
    <w:link w:val="BalloonText"/>
    <w:rsid w:val="007C5F4C"/>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8DCBD-1001-41E8-B2DB-7261377C7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3370</Words>
  <Characters>28965</Characters>
  <Application>Microsoft Office Word</Application>
  <DocSecurity>0</DocSecurity>
  <Lines>241</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2024-01-18T11:13:00Z</dcterms:created>
  <dcterms:modified xsi:type="dcterms:W3CDTF">2024-01-18T11:13:00Z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A9-0416/2023</vt:lpwstr>
  </property>
  <property fmtid="{D5CDD505-2E9C-101B-9397-08002B2CF9AE}" pid="4" name="&lt;Type&gt;">
    <vt:lpwstr>RR</vt:lpwstr>
  </property>
</Properties>
</file>