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24AC" w:rsidTr="0010095E">
        <w:trPr>
          <w:trHeight w:hRule="exact" w:val="1418"/>
        </w:trPr>
        <w:tc>
          <w:tcPr>
            <w:tcW w:w="6804" w:type="dxa"/>
            <w:shd w:val="clear" w:color="auto" w:fill="auto"/>
            <w:vAlign w:val="center"/>
          </w:tcPr>
          <w:p w:rsidR="00751A4A" w:rsidRPr="00A024AC" w:rsidRDefault="00A47775" w:rsidP="0010095E">
            <w:pPr>
              <w:pStyle w:val="EPName"/>
            </w:pPr>
            <w:r w:rsidRPr="00A024AC">
              <w:t>Európai Parlament</w:t>
            </w:r>
          </w:p>
          <w:p w:rsidR="00751A4A" w:rsidRPr="00A024AC" w:rsidRDefault="00817416" w:rsidP="00756632">
            <w:pPr>
              <w:pStyle w:val="EPTerm"/>
              <w:rPr>
                <w:rStyle w:val="HideTWBExt"/>
                <w:noProof w:val="0"/>
                <w:vanish w:val="0"/>
                <w:color w:val="auto"/>
              </w:rPr>
            </w:pPr>
            <w:r w:rsidRPr="00A024AC">
              <w:t>2019-2024</w:t>
            </w:r>
          </w:p>
        </w:tc>
        <w:tc>
          <w:tcPr>
            <w:tcW w:w="2268" w:type="dxa"/>
            <w:shd w:val="clear" w:color="auto" w:fill="auto"/>
          </w:tcPr>
          <w:p w:rsidR="00751A4A" w:rsidRPr="00A024AC" w:rsidRDefault="00187494" w:rsidP="0010095E">
            <w:pPr>
              <w:pStyle w:val="EPLogo"/>
            </w:pPr>
            <w:r w:rsidRPr="00A024AC">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24AC" w:rsidRDefault="00D058B8" w:rsidP="004C5D52">
      <w:pPr>
        <w:pStyle w:val="LineTop"/>
      </w:pPr>
    </w:p>
    <w:p w:rsidR="00680577" w:rsidRPr="00A024AC" w:rsidRDefault="00A47775" w:rsidP="00680577">
      <w:pPr>
        <w:pStyle w:val="EPBodyTA1"/>
      </w:pPr>
      <w:r w:rsidRPr="00A024AC">
        <w:t>ELFOGADOTT SZÖVEGEK</w:t>
      </w:r>
    </w:p>
    <w:p w:rsidR="00D058B8" w:rsidRPr="00A024AC" w:rsidRDefault="00D058B8" w:rsidP="00D058B8">
      <w:pPr>
        <w:pStyle w:val="LineBottom"/>
      </w:pPr>
    </w:p>
    <w:p w:rsidR="00A47775" w:rsidRPr="00A024AC" w:rsidRDefault="00A47775" w:rsidP="00A47775">
      <w:pPr>
        <w:pStyle w:val="ATHeading1"/>
      </w:pPr>
      <w:bookmarkStart w:id="0" w:name="TANumber"/>
      <w:r w:rsidRPr="00A024AC">
        <w:t>P9_</w:t>
      </w:r>
      <w:proofErr w:type="gramStart"/>
      <w:r w:rsidRPr="00A024AC">
        <w:t>TA(</w:t>
      </w:r>
      <w:proofErr w:type="gramEnd"/>
      <w:r w:rsidRPr="00A024AC">
        <w:t>2024)00</w:t>
      </w:r>
      <w:r w:rsidR="004621A2" w:rsidRPr="00A024AC">
        <w:t>4</w:t>
      </w:r>
      <w:r w:rsidRPr="00A024AC">
        <w:t>0</w:t>
      </w:r>
      <w:bookmarkEnd w:id="0"/>
    </w:p>
    <w:p w:rsidR="00A47775" w:rsidRPr="00A024AC" w:rsidRDefault="004621A2" w:rsidP="00A47775">
      <w:pPr>
        <w:pStyle w:val="ATHeading2"/>
      </w:pPr>
      <w:bookmarkStart w:id="1" w:name="title"/>
      <w:r w:rsidRPr="00A024AC">
        <w:rPr>
          <w:bCs/>
        </w:rPr>
        <w:t>Végrehajtási jelentés az élelmiszerekkel kapcsolatos, tápanyag-összetételre és egészségre vonatkozó állításokról szóló 1924/2006/EK rendeletről</w:t>
      </w:r>
      <w:bookmarkEnd w:id="1"/>
    </w:p>
    <w:p w:rsidR="00A47775" w:rsidRPr="00A024AC" w:rsidRDefault="00A47775" w:rsidP="00A47775">
      <w:pPr>
        <w:rPr>
          <w:i/>
          <w:vanish/>
        </w:rPr>
      </w:pPr>
      <w:r w:rsidRPr="00A024AC">
        <w:rPr>
          <w:i/>
        </w:rPr>
        <w:fldChar w:fldCharType="begin"/>
      </w:r>
      <w:r w:rsidRPr="00A024AC">
        <w:rPr>
          <w:i/>
        </w:rPr>
        <w:instrText xml:space="preserve"> TC"(</w:instrText>
      </w:r>
      <w:bookmarkStart w:id="2" w:name="DocNumber"/>
      <w:r w:rsidRPr="00A024AC">
        <w:rPr>
          <w:i/>
        </w:rPr>
        <w:instrText>A9-0416/2023</w:instrText>
      </w:r>
      <w:bookmarkEnd w:id="2"/>
      <w:r w:rsidRPr="00A024AC">
        <w:rPr>
          <w:i/>
        </w:rPr>
        <w:instrText xml:space="preserve"> - Előadó: </w:instrText>
      </w:r>
      <w:proofErr w:type="spellStart"/>
      <w:r w:rsidRPr="00A024AC">
        <w:rPr>
          <w:i/>
        </w:rPr>
        <w:instrText>Tilly</w:instrText>
      </w:r>
      <w:proofErr w:type="spellEnd"/>
      <w:r w:rsidRPr="00A024AC">
        <w:rPr>
          <w:i/>
        </w:rPr>
        <w:instrText xml:space="preserve"> </w:instrText>
      </w:r>
      <w:proofErr w:type="spellStart"/>
      <w:r w:rsidRPr="00A024AC">
        <w:rPr>
          <w:i/>
        </w:rPr>
        <w:instrText>Metz</w:instrText>
      </w:r>
      <w:proofErr w:type="spellEnd"/>
      <w:r w:rsidRPr="00A024AC">
        <w:rPr>
          <w:i/>
        </w:rPr>
        <w:instrText xml:space="preserve">)"\l3 \n&gt; \* MERGEFORMAT </w:instrText>
      </w:r>
      <w:r w:rsidRPr="00A024AC">
        <w:rPr>
          <w:i/>
        </w:rPr>
        <w:fldChar w:fldCharType="end"/>
      </w:r>
    </w:p>
    <w:p w:rsidR="00A47775" w:rsidRPr="00A024AC" w:rsidRDefault="00A47775" w:rsidP="00A47775">
      <w:pPr>
        <w:rPr>
          <w:vanish/>
        </w:rPr>
      </w:pPr>
      <w:bookmarkStart w:id="3" w:name="Commission"/>
      <w:r w:rsidRPr="00A024AC">
        <w:rPr>
          <w:vanish/>
        </w:rPr>
        <w:t>Plenárisülés-dokumentum</w:t>
      </w:r>
      <w:bookmarkEnd w:id="3"/>
    </w:p>
    <w:p w:rsidR="00A47775" w:rsidRPr="00A024AC" w:rsidRDefault="00A47775" w:rsidP="00A47775">
      <w:pPr>
        <w:rPr>
          <w:vanish/>
        </w:rPr>
      </w:pPr>
      <w:bookmarkStart w:id="4" w:name="PE"/>
      <w:r w:rsidRPr="00A024AC">
        <w:rPr>
          <w:vanish/>
        </w:rPr>
        <w:t>PE753.549</w:t>
      </w:r>
      <w:bookmarkEnd w:id="4"/>
    </w:p>
    <w:p w:rsidR="00A47775" w:rsidRPr="00A024AC" w:rsidRDefault="00A47775" w:rsidP="00A47775">
      <w:pPr>
        <w:pStyle w:val="ATHeading3"/>
      </w:pPr>
      <w:bookmarkStart w:id="5" w:name="Sujet"/>
      <w:r w:rsidRPr="00A024AC">
        <w:t xml:space="preserve">Az Európai Parlament 2024. </w:t>
      </w:r>
      <w:r w:rsidR="00316D2F" w:rsidRPr="00A024AC">
        <w:t>január</w:t>
      </w:r>
      <w:r w:rsidRPr="00A024AC">
        <w:t xml:space="preserve"> </w:t>
      </w:r>
      <w:r w:rsidR="004621A2" w:rsidRPr="00A024AC">
        <w:t>18-</w:t>
      </w:r>
      <w:r w:rsidRPr="00A024AC">
        <w:t>i állásfoglalása az élelmiszerekkel kapcsolatos, tápanyag-összetételre és egészségre vonatkozó állításokról szóló 1924/2006/EK rendelet végrehajtásáról</w:t>
      </w:r>
      <w:bookmarkEnd w:id="5"/>
      <w:r w:rsidRPr="00A024AC">
        <w:t xml:space="preserve"> </w:t>
      </w:r>
      <w:bookmarkStart w:id="6" w:name="References"/>
      <w:r w:rsidRPr="00A024AC">
        <w:t>(2023/</w:t>
      </w:r>
      <w:proofErr w:type="gramStart"/>
      <w:r w:rsidRPr="00A024AC">
        <w:t>2081(</w:t>
      </w:r>
      <w:proofErr w:type="gramEnd"/>
      <w:r w:rsidRPr="00A024AC">
        <w:t>INI))</w:t>
      </w:r>
      <w:bookmarkEnd w:id="6"/>
    </w:p>
    <w:p w:rsidR="00CD35B3" w:rsidRPr="00A024AC" w:rsidRDefault="00CD35B3" w:rsidP="00CD35B3">
      <w:pPr>
        <w:pStyle w:val="EPComma"/>
      </w:pPr>
      <w:bookmarkStart w:id="7" w:name="TextBodyBegin"/>
      <w:bookmarkEnd w:id="7"/>
      <w:r w:rsidRPr="00A024AC">
        <w:rPr>
          <w:i/>
          <w:iCs/>
        </w:rPr>
        <w:t>Az Európai Parlament</w:t>
      </w:r>
      <w:r w:rsidRPr="00A024AC">
        <w:t>,</w:t>
      </w:r>
    </w:p>
    <w:p w:rsidR="00CD35B3" w:rsidRPr="00A024AC" w:rsidRDefault="00CD35B3" w:rsidP="00CD35B3">
      <w:pPr>
        <w:pStyle w:val="NormalHanging12a"/>
      </w:pPr>
      <w:r w:rsidRPr="00A024AC">
        <w:t>–</w:t>
      </w:r>
      <w:r w:rsidRPr="00A024AC">
        <w:tab/>
        <w:t>tekintettel az Európai Unió működéséről szóló szerződés 168. és 169. cikkére,</w:t>
      </w:r>
    </w:p>
    <w:p w:rsidR="00CD35B3" w:rsidRPr="00A024AC" w:rsidRDefault="00CD35B3" w:rsidP="00CD35B3">
      <w:pPr>
        <w:pStyle w:val="NormalHanging12a"/>
        <w:rPr>
          <w:szCs w:val="24"/>
        </w:rPr>
      </w:pPr>
      <w:r w:rsidRPr="00A024AC">
        <w:t>–</w:t>
      </w:r>
      <w:r w:rsidRPr="00A024AC">
        <w:rPr>
          <w:color w:val="000000"/>
        </w:rPr>
        <w:tab/>
      </w:r>
      <w:proofErr w:type="gramStart"/>
      <w:r w:rsidRPr="00A024AC">
        <w:rPr>
          <w:color w:val="000000"/>
        </w:rPr>
        <w:t>tekintettel</w:t>
      </w:r>
      <w:proofErr w:type="gramEnd"/>
      <w:r w:rsidRPr="00A024AC">
        <w:rPr>
          <w:color w:val="000000"/>
        </w:rPr>
        <w:t xml:space="preserve"> az élelmiszerekkel kapcsolatos, tápanyag-összetételre és egészségre </w:t>
      </w:r>
      <w:proofErr w:type="gramStart"/>
      <w:r w:rsidRPr="00A024AC">
        <w:rPr>
          <w:color w:val="000000"/>
        </w:rPr>
        <w:t>vonatkozó</w:t>
      </w:r>
      <w:proofErr w:type="gramEnd"/>
      <w:r w:rsidRPr="00A024AC">
        <w:rPr>
          <w:color w:val="000000"/>
        </w:rPr>
        <w:t xml:space="preserve"> állításokról szóló, 2006. december 20-i 1924/2006/EK európai parlamenti és tanácsi rendeletre</w:t>
      </w:r>
      <w:r w:rsidRPr="00A024AC">
        <w:rPr>
          <w:rStyle w:val="FootnoteReference"/>
          <w:bCs/>
          <w:color w:val="000000"/>
          <w:szCs w:val="24"/>
        </w:rPr>
        <w:footnoteReference w:id="1"/>
      </w:r>
      <w:r w:rsidRPr="00A024AC">
        <w:rPr>
          <w:color w:val="000000"/>
        </w:rPr>
        <w:t>,</w:t>
      </w:r>
    </w:p>
    <w:p w:rsidR="00CD35B3" w:rsidRPr="00A024AC" w:rsidRDefault="00CD35B3" w:rsidP="00CD35B3">
      <w:pPr>
        <w:pStyle w:val="NormalHanging12a"/>
      </w:pPr>
      <w:r w:rsidRPr="00A024AC">
        <w:t>–</w:t>
      </w:r>
      <w:r w:rsidRPr="00A024AC">
        <w:tab/>
        <w:t>tekintettel az élelmiszerjog általános elveiről és követelményeiről, az Európai Élelmiszerbiztonsági Hatóság létrehozásáról és az élelmiszerbiztonságra vonatkozó eljárások megállapításáról szóló, 2002. január 28-i 178/2002/EK európai parlamenti és tanácsi rendeletre</w:t>
      </w:r>
      <w:r w:rsidRPr="00A024AC">
        <w:rPr>
          <w:rStyle w:val="FootnoteReference"/>
          <w:bCs/>
          <w:color w:val="000000"/>
          <w:szCs w:val="24"/>
        </w:rPr>
        <w:footnoteReference w:id="2"/>
      </w:r>
      <w:r w:rsidRPr="00A024AC">
        <w:t>,</w:t>
      </w:r>
    </w:p>
    <w:p w:rsidR="00CD35B3" w:rsidRPr="00A024AC" w:rsidRDefault="00CD35B3" w:rsidP="00CD35B3">
      <w:pPr>
        <w:pStyle w:val="NormalHanging12a"/>
        <w:rPr>
          <w:szCs w:val="24"/>
        </w:rPr>
      </w:pPr>
      <w:proofErr w:type="gramStart"/>
      <w:r w:rsidRPr="00A024AC">
        <w:t>–</w:t>
      </w:r>
      <w:r w:rsidRPr="00A024AC">
        <w:rPr>
          <w:color w:val="000000"/>
        </w:rPr>
        <w:tab/>
        <w:t>tekintettel a fogyasztók élelmiszerekkel kapcsolatos tájékoztatásáról, az 1924/2006/EK és az 1925/2006/EK európai parlamenti és tanácsi rendelet módosításáról és a 87/250/EGK bizottsági irányelv, a 90/496/EGK tanácsi irányelv, az 1999/10/EK bizottsági irányelv, a 2000/13/EK európai parlamenti és tanácsi irányelv, a 2002/67/EK és a 2008/5/EK bizottsági irányelv és a 608/2004/EK bizottsági rendelet hatályon kívül helyezéséről szóló, 2011. október 25-i 1169/2011/EU európai parlamenti és tanácsi rendeletre</w:t>
      </w:r>
      <w:r w:rsidRPr="00A024AC">
        <w:rPr>
          <w:rStyle w:val="FootnoteReference"/>
          <w:bCs/>
          <w:color w:val="000000"/>
          <w:szCs w:val="24"/>
        </w:rPr>
        <w:footnoteReference w:id="3"/>
      </w:r>
      <w:r w:rsidRPr="00A024AC">
        <w:rPr>
          <w:color w:val="000000"/>
        </w:rPr>
        <w:t>,</w:t>
      </w:r>
      <w:proofErr w:type="gramEnd"/>
    </w:p>
    <w:p w:rsidR="00CD35B3" w:rsidRPr="00A024AC" w:rsidRDefault="00CD35B3" w:rsidP="00CD35B3">
      <w:pPr>
        <w:pStyle w:val="NormalHanging12a"/>
        <w:rPr>
          <w:szCs w:val="24"/>
        </w:rPr>
      </w:pPr>
      <w:r w:rsidRPr="00A024AC">
        <w:t>–</w:t>
      </w:r>
      <w:r w:rsidRPr="00A024AC">
        <w:rPr>
          <w:color w:val="000000"/>
        </w:rPr>
        <w:tab/>
        <w:t>tekintettel az étrend-kiegészítőkre vonatkozó tagállami jogszabályok közelítéséről szóló, 2002. június 10-i 2002/46/EK európai parlamenti és tanácsi irányelvre</w:t>
      </w:r>
      <w:r w:rsidRPr="00A024AC">
        <w:rPr>
          <w:rStyle w:val="FootnoteReference"/>
          <w:bCs/>
          <w:color w:val="000000"/>
          <w:szCs w:val="24"/>
        </w:rPr>
        <w:footnoteReference w:id="4"/>
      </w:r>
      <w:r w:rsidRPr="00A024AC">
        <w:rPr>
          <w:color w:val="000000"/>
        </w:rPr>
        <w:t>,</w:t>
      </w:r>
    </w:p>
    <w:p w:rsidR="00CD35B3" w:rsidRPr="00A024AC" w:rsidRDefault="00CD35B3" w:rsidP="00CD35B3">
      <w:pPr>
        <w:pStyle w:val="NormalHanging12a"/>
        <w:rPr>
          <w:szCs w:val="24"/>
        </w:rPr>
      </w:pPr>
      <w:r w:rsidRPr="00A024AC">
        <w:lastRenderedPageBreak/>
        <w:t>–</w:t>
      </w:r>
      <w:r w:rsidRPr="00A024AC">
        <w:rPr>
          <w:color w:val="000000"/>
        </w:rPr>
        <w:tab/>
        <w:t>tekintettel a vitaminok, ásványi anyagok és bizonyos egyéb anyagok élelmiszerekhez történő hozzáadásáról szóló, 2006. december 20-i 1925/2006/EK európai parlamenti és tanácsi rendeletre</w:t>
      </w:r>
      <w:r w:rsidRPr="00A024AC">
        <w:rPr>
          <w:rStyle w:val="FootnoteReference"/>
          <w:bCs/>
          <w:color w:val="000000"/>
          <w:szCs w:val="24"/>
        </w:rPr>
        <w:footnoteReference w:id="5"/>
      </w:r>
      <w:r w:rsidRPr="00A024AC">
        <w:rPr>
          <w:color w:val="000000"/>
        </w:rPr>
        <w:t>,</w:t>
      </w:r>
    </w:p>
    <w:p w:rsidR="00CD35B3" w:rsidRPr="00A024AC" w:rsidRDefault="00CD35B3" w:rsidP="00CD35B3">
      <w:pPr>
        <w:pStyle w:val="NormalHanging12a"/>
        <w:rPr>
          <w:bCs/>
          <w:color w:val="000000"/>
          <w:szCs w:val="24"/>
        </w:rPr>
      </w:pPr>
      <w:proofErr w:type="gramStart"/>
      <w:r w:rsidRPr="00A024AC">
        <w:t>–</w:t>
      </w:r>
      <w:r w:rsidRPr="00A024AC">
        <w:rPr>
          <w:color w:val="000000"/>
        </w:rPr>
        <w:tab/>
        <w:t>tekintettel a csecsemők és kisgyermekek számára készült, a speciális gyógyászati célra szánt, valamint a testtömeg-szabályozás céljára szolgáló, teljes napi étrendet helyettesítő élelmiszerekről, továbbá a 92/52/EGK tanácsi irányelv, a 96/8/EK, az 1999/21/EK, a 2006/125/EK és a 2006/141/EK bizottsági irányelv, a 2009/39/EK európai parlamenti és tanácsi irányelv és a 41/2009/EK és a 953/2009/EK bizottsági rendelet hatályon kívül helyezéséről szóló, 2013. június 12-i 609/2013/EU európai parlamenti és tanácsi rendeletre</w:t>
      </w:r>
      <w:r w:rsidRPr="00A024AC">
        <w:rPr>
          <w:rStyle w:val="FootnoteReference"/>
          <w:bCs/>
          <w:color w:val="000000"/>
          <w:szCs w:val="24"/>
        </w:rPr>
        <w:footnoteReference w:id="6"/>
      </w:r>
      <w:r w:rsidRPr="00A024AC">
        <w:rPr>
          <w:color w:val="000000"/>
        </w:rPr>
        <w:t>,</w:t>
      </w:r>
      <w:proofErr w:type="gramEnd"/>
    </w:p>
    <w:p w:rsidR="00CD35B3" w:rsidRPr="00A024AC" w:rsidRDefault="00CD35B3" w:rsidP="00CD35B3">
      <w:pPr>
        <w:pStyle w:val="NormalHanging12a"/>
        <w:rPr>
          <w:szCs w:val="24"/>
        </w:rPr>
      </w:pPr>
      <w:r w:rsidRPr="00A024AC">
        <w:t>–</w:t>
      </w:r>
      <w:r w:rsidRPr="00A024AC">
        <w:rPr>
          <w:b/>
          <w:i/>
        </w:rPr>
        <w:tab/>
      </w:r>
      <w:r w:rsidRPr="00A024AC">
        <w:t>tekintettel a digitális szolgáltatások egységes piacáról és a 2000/31/EK irányelv módosításáról szóló, 2022. október 19-i (EU) 2022/2065 európai parlamenti és tanácsi rendeletre (digitális szolgáltatásokról szóló rendelet)</w:t>
      </w:r>
      <w:r w:rsidRPr="00A024AC">
        <w:rPr>
          <w:rStyle w:val="FootnoteReference"/>
          <w:szCs w:val="24"/>
        </w:rPr>
        <w:footnoteReference w:id="7"/>
      </w:r>
      <w:r w:rsidRPr="00A024AC">
        <w:t xml:space="preserve">, </w:t>
      </w:r>
    </w:p>
    <w:p w:rsidR="00CD35B3" w:rsidRPr="00A024AC" w:rsidRDefault="00CD35B3" w:rsidP="00CD35B3">
      <w:pPr>
        <w:pStyle w:val="NormalHanging12a"/>
        <w:rPr>
          <w:szCs w:val="24"/>
        </w:rPr>
      </w:pPr>
      <w:r w:rsidRPr="00A024AC">
        <w:t>–</w:t>
      </w:r>
      <w:r w:rsidRPr="00A024AC">
        <w:tab/>
        <w:t>tekintettel a 2021–2027-es időszakra szóló uniós egészségügyi cselekvési program („az EU az egészségért” program) létrehozásáról és a 282/2014/EU rendelet hatályon kívül helyezéséről szóló, 2021. március 24-i (EU) 2021/522 európai parlamenti és a tanácsi rendeletre</w:t>
      </w:r>
      <w:r w:rsidRPr="00A024AC">
        <w:rPr>
          <w:rStyle w:val="FootnoteReference"/>
          <w:szCs w:val="24"/>
        </w:rPr>
        <w:footnoteReference w:id="8"/>
      </w:r>
      <w:r w:rsidRPr="00A024AC">
        <w:t>,</w:t>
      </w:r>
    </w:p>
    <w:p w:rsidR="00CD35B3" w:rsidRPr="00A024AC" w:rsidRDefault="00CD35B3" w:rsidP="00CD35B3">
      <w:pPr>
        <w:pStyle w:val="NormalHanging12a"/>
        <w:rPr>
          <w:bCs/>
          <w:color w:val="000000"/>
          <w:szCs w:val="24"/>
        </w:rPr>
      </w:pPr>
      <w:r w:rsidRPr="00A024AC">
        <w:t>–</w:t>
      </w:r>
      <w:r w:rsidRPr="00A024AC">
        <w:rPr>
          <w:color w:val="000000"/>
        </w:rPr>
        <w:tab/>
        <w:t>tekintettel a tisztességes, egészséges és környezetbarát élelmiszerrendszerre irányuló, „a termelőtől a fogyasztóig” stratégiáról szóló, 2021. október 20-i állásfoglalására</w:t>
      </w:r>
      <w:r w:rsidRPr="00A024AC">
        <w:rPr>
          <w:rStyle w:val="FootnoteReference"/>
          <w:bCs/>
          <w:color w:val="000000"/>
          <w:szCs w:val="24"/>
        </w:rPr>
        <w:footnoteReference w:id="9"/>
      </w:r>
      <w:r w:rsidRPr="00A024AC">
        <w:rPr>
          <w:color w:val="000000"/>
        </w:rPr>
        <w:t>,</w:t>
      </w:r>
    </w:p>
    <w:p w:rsidR="00CD35B3" w:rsidRPr="00A024AC" w:rsidRDefault="00CD35B3" w:rsidP="00CD35B3">
      <w:pPr>
        <w:pStyle w:val="NormalHanging12a"/>
        <w:rPr>
          <w:szCs w:val="24"/>
        </w:rPr>
      </w:pPr>
      <w:r w:rsidRPr="00A024AC">
        <w:t>–</w:t>
      </w:r>
      <w:r w:rsidRPr="00A024AC">
        <w:rPr>
          <w:color w:val="000000"/>
        </w:rPr>
        <w:tab/>
        <w:t>tekintettel „</w:t>
      </w:r>
      <w:proofErr w:type="gramStart"/>
      <w:r w:rsidRPr="00A024AC">
        <w:rPr>
          <w:color w:val="000000"/>
        </w:rPr>
        <w:t>A</w:t>
      </w:r>
      <w:proofErr w:type="gramEnd"/>
      <w:r w:rsidRPr="00A024AC">
        <w:rPr>
          <w:color w:val="000000"/>
        </w:rPr>
        <w:t xml:space="preserve"> termelőtől a fogyasztóig stratégia a méltányos, egészséges és környezetbarát élelmiszerrendszerért” című, 2020. május 20-i bizottsági közleményre (COM(2020)0381),</w:t>
      </w:r>
    </w:p>
    <w:p w:rsidR="00CD35B3" w:rsidRPr="00A024AC" w:rsidRDefault="00CD35B3" w:rsidP="00CD35B3">
      <w:pPr>
        <w:pStyle w:val="NormalHanging12a"/>
        <w:rPr>
          <w:bCs/>
          <w:color w:val="000000"/>
          <w:szCs w:val="24"/>
        </w:rPr>
      </w:pPr>
      <w:r w:rsidRPr="00A024AC">
        <w:t>–</w:t>
      </w:r>
      <w:r w:rsidRPr="00A024AC">
        <w:rPr>
          <w:color w:val="000000"/>
        </w:rPr>
        <w:tab/>
        <w:t xml:space="preserve">tekintettel a „Vezetői összefoglaló az élelmiszerekkel kapcsolatos, tápanyag-összetételre és egészségre vonatkozó állításokról szóló 1924/2006/EK rendeletnek a növényekkel és növényi alapú készítményekkel kapcsolatos, tápanyag-összetételre és egészségre vonatkozó állítások tekintetében történő értékelése, valamint azok élelmiszerekben való felhasználására vonatkozó általános keretszabályozás értékeléséről” című, 2020. május 20-i </w:t>
      </w:r>
      <w:proofErr w:type="gramStart"/>
      <w:r w:rsidRPr="00A024AC">
        <w:rPr>
          <w:color w:val="000000"/>
        </w:rPr>
        <w:t>SWD(</w:t>
      </w:r>
      <w:proofErr w:type="gramEnd"/>
      <w:r w:rsidRPr="00A024AC">
        <w:rPr>
          <w:color w:val="000000"/>
        </w:rPr>
        <w:t>2020)0096 bizottsági szolgálati munkadokumentumra,</w:t>
      </w:r>
    </w:p>
    <w:p w:rsidR="00CD35B3" w:rsidRPr="00A024AC" w:rsidRDefault="00CD35B3" w:rsidP="00CD35B3">
      <w:pPr>
        <w:pStyle w:val="NormalHanging12a"/>
        <w:rPr>
          <w:szCs w:val="24"/>
        </w:rPr>
      </w:pPr>
      <w:r w:rsidRPr="00A024AC">
        <w:t>–</w:t>
      </w:r>
      <w:r w:rsidRPr="00A024AC">
        <w:rPr>
          <w:b/>
          <w:i/>
        </w:rPr>
        <w:tab/>
      </w:r>
      <w:r w:rsidRPr="00A024AC">
        <w:t>tekintettel az Európai Élelmiszerbiztonsági Hatóság (EFSA) 2021. december 15-i, az étrendben elfogyasztott cukrok megengedhető felső beviteli szintjéről szóló tudományos szakvéleményére</w:t>
      </w:r>
      <w:r w:rsidRPr="00A024AC">
        <w:rPr>
          <w:rStyle w:val="FootnoteReference"/>
          <w:szCs w:val="24"/>
        </w:rPr>
        <w:footnoteReference w:id="10"/>
      </w:r>
      <w:r w:rsidRPr="00A024AC">
        <w:t>,</w:t>
      </w:r>
    </w:p>
    <w:p w:rsidR="00CD35B3" w:rsidRPr="00A024AC" w:rsidRDefault="00CD35B3" w:rsidP="00CD35B3">
      <w:pPr>
        <w:pStyle w:val="NormalHanging12a"/>
        <w:rPr>
          <w:szCs w:val="24"/>
        </w:rPr>
      </w:pPr>
      <w:r w:rsidRPr="00A024AC">
        <w:t>–</w:t>
      </w:r>
      <w:r w:rsidRPr="00A024AC">
        <w:tab/>
        <w:t>tekintettel a WHO tápértékjelölésre vonatkozó, 2022. évi szakpolitikai tájékoztatójára</w:t>
      </w:r>
      <w:r w:rsidRPr="00A024AC">
        <w:rPr>
          <w:rStyle w:val="FootnoteReference"/>
          <w:szCs w:val="24"/>
        </w:rPr>
        <w:footnoteReference w:id="11"/>
      </w:r>
      <w:r w:rsidRPr="00A024AC">
        <w:t>,</w:t>
      </w:r>
    </w:p>
    <w:p w:rsidR="00CD35B3" w:rsidRPr="00A024AC" w:rsidRDefault="00CD35B3" w:rsidP="00CD35B3">
      <w:pPr>
        <w:pStyle w:val="NormalHanging12a"/>
        <w:rPr>
          <w:szCs w:val="24"/>
        </w:rPr>
      </w:pPr>
      <w:r w:rsidRPr="00A024AC">
        <w:lastRenderedPageBreak/>
        <w:t>–</w:t>
      </w:r>
      <w:r w:rsidRPr="00A024AC">
        <w:tab/>
        <w:t>tekintettel a WHO 2019. évi irányadó elveire és keretrendszer-útmutatójára az egészséges táplálkozást ösztönző, a csomagolás elülső oldalán történő jelöléshez</w:t>
      </w:r>
      <w:r w:rsidRPr="00A024AC">
        <w:rPr>
          <w:rStyle w:val="FootnoteReference"/>
          <w:szCs w:val="24"/>
        </w:rPr>
        <w:footnoteReference w:id="12"/>
      </w:r>
      <w:r w:rsidRPr="00A024AC">
        <w:t>,</w:t>
      </w:r>
    </w:p>
    <w:p w:rsidR="00CD35B3" w:rsidRPr="00A024AC" w:rsidRDefault="00CD35B3" w:rsidP="00CD35B3">
      <w:pPr>
        <w:pStyle w:val="NormalHanging12a"/>
        <w:rPr>
          <w:szCs w:val="24"/>
        </w:rPr>
      </w:pPr>
      <w:r w:rsidRPr="00A024AC">
        <w:t>–</w:t>
      </w:r>
      <w:r w:rsidRPr="00A024AC">
        <w:tab/>
        <w:t xml:space="preserve">tekintettel az ENSZ 3. fenntartható fejlődési céljára, ami „Az egészséges élet és jólét biztosítása mindenki számára, minden életkorban”, </w:t>
      </w:r>
    </w:p>
    <w:p w:rsidR="00CD35B3" w:rsidRPr="00A024AC" w:rsidRDefault="00CD35B3" w:rsidP="00CD35B3">
      <w:pPr>
        <w:pStyle w:val="NormalHanging12a"/>
        <w:rPr>
          <w:szCs w:val="24"/>
        </w:rPr>
      </w:pPr>
      <w:r w:rsidRPr="00A024AC">
        <w:t>–</w:t>
      </w:r>
      <w:r w:rsidRPr="00A024AC">
        <w:tab/>
        <w:t>tekintettel az UNICEF 2013. decemberi, „</w:t>
      </w:r>
      <w:proofErr w:type="gramStart"/>
      <w:r w:rsidRPr="00A024AC">
        <w:t>A</w:t>
      </w:r>
      <w:proofErr w:type="gramEnd"/>
      <w:r w:rsidRPr="00A024AC">
        <w:t xml:space="preserve"> gyermekek jogai a hatásvizsgálatokban: Útmutató a gyermekek jogainak a hatásvizsgálatokba való beépítéséhez és a gyermekek érdekében történő fellépéshez” című kiadványára</w:t>
      </w:r>
      <w:r w:rsidRPr="00A024AC">
        <w:rPr>
          <w:rStyle w:val="FootnoteReference"/>
          <w:szCs w:val="24"/>
        </w:rPr>
        <w:footnoteReference w:id="13"/>
      </w:r>
      <w:r w:rsidRPr="00A024AC">
        <w:t>,</w:t>
      </w:r>
    </w:p>
    <w:p w:rsidR="00CD35B3" w:rsidRPr="00A024AC" w:rsidRDefault="00CD35B3" w:rsidP="00CD35B3">
      <w:pPr>
        <w:pStyle w:val="NormalHanging12a"/>
        <w:rPr>
          <w:szCs w:val="24"/>
        </w:rPr>
      </w:pPr>
      <w:r w:rsidRPr="00A024AC">
        <w:t>–</w:t>
      </w:r>
      <w:r w:rsidRPr="00A024AC">
        <w:rPr>
          <w:color w:val="000000"/>
        </w:rPr>
        <w:tab/>
        <w:t>tekintettel eljárási szabályzatának 54. cikkére, valamint az Elnökök Értekezlete 2002. december 12-i ülésén hozott, a saját kezdeményezésű jelentések engedélyezésére vonatkozó eljárásról szóló határozatának 1. cikke (1) bekezdésének e) pontjára és 3. mellékletére,</w:t>
      </w:r>
    </w:p>
    <w:p w:rsidR="00CD35B3" w:rsidRPr="00A024AC" w:rsidRDefault="00CD35B3" w:rsidP="00CD35B3">
      <w:pPr>
        <w:pStyle w:val="NormalHanging12a"/>
        <w:rPr>
          <w:szCs w:val="24"/>
        </w:rPr>
      </w:pPr>
      <w:r w:rsidRPr="00A024AC">
        <w:t>–</w:t>
      </w:r>
      <w:r w:rsidRPr="00A024AC">
        <w:rPr>
          <w:color w:val="000000"/>
        </w:rPr>
        <w:tab/>
      </w:r>
      <w:r w:rsidRPr="00A024AC">
        <w:t xml:space="preserve">tekintettel a Környezetvédelmi, Közegészségügyi és Élelmiszer-biztonsági Bizottság jelentésére (A9-0416/2023), </w:t>
      </w:r>
    </w:p>
    <w:p w:rsidR="00CD35B3" w:rsidRPr="00A024AC" w:rsidRDefault="00CD35B3" w:rsidP="00CD35B3">
      <w:pPr>
        <w:pStyle w:val="NormalHanging12a"/>
      </w:pPr>
      <w:r w:rsidRPr="00A024AC">
        <w:rPr>
          <w:color w:val="000000"/>
        </w:rPr>
        <w:t>A.</w:t>
      </w:r>
      <w:r w:rsidRPr="00A024AC">
        <w:rPr>
          <w:b/>
          <w:i/>
          <w:color w:val="000000"/>
        </w:rPr>
        <w:tab/>
      </w:r>
      <w:proofErr w:type="gramStart"/>
      <w:r w:rsidRPr="00A024AC">
        <w:rPr>
          <w:color w:val="000000"/>
        </w:rPr>
        <w:t>mivel az 1924/2006/EK rendeletet (a tápanyag-összetételre és egészségre vonatkozó állításokról szóló rendelet) azzal a céllal vezették be, hogy biztosítsák a lehető legmagasabb szintű fogyasztóvédelmet, és megkönnyítsék a fogyasztók választását; mivel a rendelet hatálya kiterjed az élelmiszerekkel kapcsolatos, tápanyag-összetételre és egészségre vonatkozó önkéntes állításokra minden kereskedelmi közleményben, beleértve a címkézést és a reklámot, valamint az egészségügyi szakembereknek szóló közleményeket</w:t>
      </w:r>
      <w:r w:rsidRPr="00A024AC">
        <w:rPr>
          <w:rStyle w:val="FootnoteReference"/>
          <w:color w:val="000000"/>
          <w:szCs w:val="24"/>
        </w:rPr>
        <w:footnoteReference w:id="14"/>
      </w:r>
      <w:r w:rsidRPr="00A024AC">
        <w:rPr>
          <w:color w:val="000000"/>
        </w:rPr>
        <w:t>; mivel a Bizottság az EFSA állításainak tudományos értékelését követően olyan egészségre</w:t>
      </w:r>
      <w:proofErr w:type="gramEnd"/>
      <w:r w:rsidRPr="00A024AC">
        <w:rPr>
          <w:color w:val="000000"/>
        </w:rPr>
        <w:t xml:space="preserve"> </w:t>
      </w:r>
      <w:proofErr w:type="gramStart"/>
      <w:r w:rsidRPr="00A024AC">
        <w:rPr>
          <w:color w:val="000000"/>
        </w:rPr>
        <w:t>vonatkozó</w:t>
      </w:r>
      <w:proofErr w:type="gramEnd"/>
      <w:r w:rsidRPr="00A024AC">
        <w:rPr>
          <w:color w:val="000000"/>
        </w:rPr>
        <w:t xml:space="preserve"> állításokat hagy jóvá, amely tudományos bizonyítékokon alapul, és a fogyasztók számára érthető;</w:t>
      </w:r>
    </w:p>
    <w:p w:rsidR="00CD35B3" w:rsidRPr="00A024AC" w:rsidRDefault="00CD35B3" w:rsidP="00CD35B3">
      <w:pPr>
        <w:pStyle w:val="NormalHanging12a"/>
      </w:pPr>
      <w:r w:rsidRPr="00A024AC">
        <w:t>B.</w:t>
      </w:r>
      <w:r w:rsidRPr="00A024AC">
        <w:tab/>
        <w:t xml:space="preserve">mivel az állítások a következő </w:t>
      </w:r>
      <w:proofErr w:type="gramStart"/>
      <w:r w:rsidRPr="00A024AC">
        <w:t>kategóriákba</w:t>
      </w:r>
      <w:proofErr w:type="gramEnd"/>
      <w:r w:rsidRPr="00A024AC">
        <w:t xml:space="preserve"> sorolhatók: „funkcionális egészséggel kapcsolatos állítások”, „kockázatcsökkentéssel kapcsolatos állítások” vagy „a gyermekek fejlődésével kapcsolatos állítások”; mivel 2023 júliusában 269 egészségre vonatkozó állítást engedélyeztek az EU-ban; mivel az élelmiszerek címkézésében a gyermekek fejlődésére és egészségére vonatkozó állítások a rendelet által megállapított eljárásokkal és követelményekkel összhangban engedélyezhetők;</w:t>
      </w:r>
    </w:p>
    <w:p w:rsidR="00CD35B3" w:rsidRPr="00A024AC" w:rsidRDefault="00CD35B3" w:rsidP="00CD35B3">
      <w:pPr>
        <w:pStyle w:val="NormalHanging12a"/>
        <w:rPr>
          <w:color w:val="000000"/>
          <w:szCs w:val="24"/>
        </w:rPr>
      </w:pPr>
      <w:proofErr w:type="gramStart"/>
      <w:r w:rsidRPr="00A024AC">
        <w:rPr>
          <w:color w:val="000000"/>
        </w:rPr>
        <w:t>C.</w:t>
      </w:r>
      <w:r w:rsidRPr="00A024AC">
        <w:rPr>
          <w:color w:val="000000"/>
        </w:rPr>
        <w:tab/>
        <w:t>mivel az uniós élelmiszer- és italpiacra belépő új termékek legalább 18%-</w:t>
      </w:r>
      <w:proofErr w:type="spellStart"/>
      <w:r w:rsidRPr="00A024AC">
        <w:rPr>
          <w:color w:val="000000"/>
        </w:rPr>
        <w:t>ához</w:t>
      </w:r>
      <w:proofErr w:type="spellEnd"/>
      <w:r w:rsidRPr="00A024AC">
        <w:rPr>
          <w:color w:val="000000"/>
        </w:rPr>
        <w:t xml:space="preserve"> tartozik tápanyag-összetételre vagy egészségre vonatkozó állítás, és a becslések szerint az uniós </w:t>
      </w:r>
      <w:r w:rsidRPr="00A024AC">
        <w:rPr>
          <w:color w:val="000000"/>
        </w:rPr>
        <w:lastRenderedPageBreak/>
        <w:t>piacon elérhető összes élelmiszer negyedéhez tartozik ilyen állítás</w:t>
      </w:r>
      <w:r w:rsidRPr="00A024AC">
        <w:rPr>
          <w:rStyle w:val="FootnoteReference"/>
          <w:color w:val="000000"/>
          <w:szCs w:val="24"/>
        </w:rPr>
        <w:footnoteReference w:id="15"/>
      </w:r>
      <w:r w:rsidRPr="00A024AC">
        <w:rPr>
          <w:color w:val="000000"/>
        </w:rPr>
        <w:t>; mivel a rendelet (10) preambulumbekezdése kifejti, hogy az állításokkal reklámozott élelmiszerekre a fogyasztók úgy tekinthetnek, hogy azoknak táplálkozási, élettani vagy más egészségügyi előnyük van az olyan hasonló vagy más termékekkel szemben, amelyek ilyen hozzáadott tápanyagot és más anyagot nem tartalmaznak, és hogy ez arra ösztönözheti a fogyasztókat,</w:t>
      </w:r>
      <w:proofErr w:type="gramEnd"/>
      <w:r w:rsidRPr="00A024AC">
        <w:rPr>
          <w:color w:val="000000"/>
        </w:rPr>
        <w:t xml:space="preserve"> </w:t>
      </w:r>
      <w:proofErr w:type="gramStart"/>
      <w:r w:rsidRPr="00A024AC">
        <w:rPr>
          <w:color w:val="000000"/>
        </w:rPr>
        <w:t>hogy</w:t>
      </w:r>
      <w:proofErr w:type="gramEnd"/>
      <w:r w:rsidRPr="00A024AC">
        <w:rPr>
          <w:color w:val="000000"/>
        </w:rPr>
        <w:t xml:space="preserve"> olyan döntéseket hozzanak, amelyek a tudományos ajánlásokkal ellentétes módon közvetlenül befolyásolják az egyes tápanyagok vagy más anyagok összes bevitelét;</w:t>
      </w:r>
    </w:p>
    <w:p w:rsidR="00CD35B3" w:rsidRPr="00A024AC" w:rsidRDefault="00CD35B3" w:rsidP="00CD35B3">
      <w:pPr>
        <w:pStyle w:val="NormalHanging12a"/>
      </w:pPr>
      <w:r w:rsidRPr="00A024AC">
        <w:rPr>
          <w:color w:val="000000"/>
        </w:rPr>
        <w:t>D.</w:t>
      </w:r>
      <w:r w:rsidRPr="00A024AC">
        <w:rPr>
          <w:color w:val="000000"/>
        </w:rPr>
        <w:tab/>
        <w:t>mivel a rendelet 13. cikkének (3) bekezdése értelmében a Bizottságnak legkésőbb 2010. január 31-ig el kellett volna fogadnia az engedélyezett állítások közösségi listáját;</w:t>
      </w:r>
    </w:p>
    <w:p w:rsidR="00CD35B3" w:rsidRPr="00A024AC" w:rsidRDefault="00CD35B3" w:rsidP="00CD35B3">
      <w:pPr>
        <w:pStyle w:val="NormalHanging12a"/>
        <w:rPr>
          <w:szCs w:val="22"/>
        </w:rPr>
      </w:pPr>
      <w:r w:rsidRPr="00A024AC">
        <w:rPr>
          <w:color w:val="000000"/>
        </w:rPr>
        <w:t>E.</w:t>
      </w:r>
      <w:r w:rsidRPr="00A024AC">
        <w:rPr>
          <w:color w:val="000000"/>
        </w:rPr>
        <w:tab/>
      </w:r>
      <w:proofErr w:type="gramStart"/>
      <w:r w:rsidRPr="00A024AC">
        <w:rPr>
          <w:color w:val="000000"/>
        </w:rPr>
        <w:t>mivel a tápanyag-összetételre vagy az egészségre vonatkozó állítások jelenléte befolyásolja a fogyasztók élelmiszer-választását, valamint más olyan jellemzőket, mint az ár, a márka, a szín és a csomagolás alakja; mivel az egészségre vonatkozó állítások, különösen a kockázatcsökkentéssel kapcsolatos állítások nagyobb hatást gyakorolnak a fogyasztók hozzáállására, mint a tápanyag-összetételre vonatkozó állítások</w:t>
      </w:r>
      <w:r w:rsidRPr="00A024AC">
        <w:rPr>
          <w:rStyle w:val="FootnoteReference"/>
          <w:color w:val="000000"/>
          <w:szCs w:val="24"/>
        </w:rPr>
        <w:footnoteReference w:id="16"/>
      </w:r>
      <w:r w:rsidRPr="00A024AC">
        <w:rPr>
          <w:color w:val="000000"/>
        </w:rPr>
        <w:t>; mivel azt, hogy a fogyasztók milyen mértékben képesek értelmezni a tápanyag-összetételre és egészségre vonatkozó állításokat, különböző tényezők befolyásolják, köztük a táplálkozási ismeretek</w:t>
      </w:r>
      <w:proofErr w:type="gramEnd"/>
      <w:r w:rsidRPr="00A024AC">
        <w:rPr>
          <w:color w:val="000000"/>
        </w:rPr>
        <w:t xml:space="preserve"> </w:t>
      </w:r>
      <w:proofErr w:type="gramStart"/>
      <w:r w:rsidRPr="00A024AC">
        <w:rPr>
          <w:color w:val="000000"/>
        </w:rPr>
        <w:t>és</w:t>
      </w:r>
      <w:proofErr w:type="gramEnd"/>
      <w:r w:rsidRPr="00A024AC">
        <w:rPr>
          <w:color w:val="000000"/>
        </w:rPr>
        <w:t xml:space="preserve"> az iskolázottság, és ezt figyelembe kell venni, az egészségesebb étrendekre való átállás elősegítése és az élelmiszerek összetétele megváltoztatásának ösztönzése érdekében; mivel azonban a tájékoztatási, oktatási és figyelemfelkeltő kampányok önmagukban nem elegendőek a fenntarthatóbb és egészségesebb fogyasztói döntések irányába mutató szükséges változás eléréséhez, mivel ezeket az élelmiszeripari környezet egyéb kulcsfontosságú elemei, például a megfizethetőség, a marketing és a rendelkezésre állás is befolyásolhatják;</w:t>
      </w:r>
    </w:p>
    <w:p w:rsidR="00CD35B3" w:rsidRPr="00A024AC" w:rsidRDefault="00CD35B3" w:rsidP="00CD35B3">
      <w:pPr>
        <w:pStyle w:val="NormalHanging12a"/>
      </w:pPr>
      <w:r w:rsidRPr="00A024AC">
        <w:t>F.</w:t>
      </w:r>
      <w:r w:rsidRPr="00A024AC">
        <w:tab/>
      </w:r>
      <w:proofErr w:type="gramStart"/>
      <w:r w:rsidRPr="00A024AC">
        <w:t xml:space="preserve">mivel a rendelet előírta a Bizottság számára, hogy 2009. január 19-ig határozza meg az élelmiszerek vagy bizonyos élelmiszer-kategóriák tápanyag-összetételét; mivel a tápanyag-összetétel gyakorlati megállapítására még nem került sor; mivel 2020-ban a rendeletről szóló bizottsági értékelő jelentés megerősítette a tápanyag-összetétel megállapításának szükségességét olyan eszközként, amely megvédi a fogyasztókat attól, hogy rossz tápanyag-összetételű élelmiszerekkel kapcsolatos, egészségre vonatkozó állításokkal </w:t>
      </w:r>
      <w:proofErr w:type="spellStart"/>
      <w:r w:rsidRPr="00A024AC">
        <w:t>szembesüljenek</w:t>
      </w:r>
      <w:proofErr w:type="spellEnd"/>
      <w:r w:rsidRPr="00A024AC">
        <w:t>; mivel a „termelőtől a fogyasztóig” stratégia megerősítette, hogy tápanyag-összetételt</w:t>
      </w:r>
      <w:proofErr w:type="gramEnd"/>
      <w:r w:rsidRPr="00A024AC">
        <w:t xml:space="preserve"> </w:t>
      </w:r>
      <w:proofErr w:type="gramStart"/>
      <w:r w:rsidRPr="00A024AC">
        <w:t>kell</w:t>
      </w:r>
      <w:proofErr w:type="gramEnd"/>
      <w:r w:rsidRPr="00A024AC">
        <w:t xml:space="preserve"> meghatározni az egészségtelen élelmiszerek tápanyag-összetételre és egészségre vonatkozó állítások révén történő forgalmazásának és promóciójának korlátozása érdekében;</w:t>
      </w:r>
    </w:p>
    <w:p w:rsidR="00CD35B3" w:rsidRPr="00A024AC" w:rsidRDefault="00CD35B3" w:rsidP="00CD35B3">
      <w:pPr>
        <w:pStyle w:val="NormalHanging12a"/>
      </w:pPr>
      <w:r w:rsidRPr="00A024AC">
        <w:t>G.</w:t>
      </w:r>
      <w:r w:rsidRPr="00A024AC">
        <w:tab/>
        <w:t xml:space="preserve">mivel a „termelőtől a fogyasztóig” stratégiáról szóló 2021. évi állásfoglalásában a Parlament kifejezetten üdvözölte a magas zsír-, cukor- és/vagy </w:t>
      </w:r>
      <w:proofErr w:type="spellStart"/>
      <w:proofErr w:type="gramStart"/>
      <w:r w:rsidRPr="00A024AC">
        <w:t>sótartalmú</w:t>
      </w:r>
      <w:proofErr w:type="spellEnd"/>
      <w:proofErr w:type="gramEnd"/>
      <w:r w:rsidRPr="00A024AC">
        <w:t xml:space="preserve"> vagy általában egészségtelen élelmiszerekkel kapcsolatos, tápanyag-összetételre és </w:t>
      </w:r>
      <w:r w:rsidRPr="00A024AC">
        <w:lastRenderedPageBreak/>
        <w:t>egészségre vonatkozó állítások alkalmazásának megtiltása érdekében a tápanyag-összetétel megállapítására irányuló jogalkotási javaslat bejelentését , és felhívott arra, hogy fordítsanak különös figyelmet a gyermekek számára készült élelmiszerekre és más különleges rendeltetésű élelmiszerekre;</w:t>
      </w:r>
    </w:p>
    <w:p w:rsidR="00CD35B3" w:rsidRPr="00A024AC" w:rsidRDefault="00CD35B3" w:rsidP="00CD35B3">
      <w:pPr>
        <w:pStyle w:val="NormalHanging12a"/>
      </w:pPr>
      <w:r w:rsidRPr="00A024AC">
        <w:t>H.</w:t>
      </w:r>
      <w:r w:rsidRPr="00A024AC">
        <w:tab/>
      </w:r>
      <w:proofErr w:type="gramStart"/>
      <w:r w:rsidRPr="00A024AC">
        <w:t>mivel</w:t>
      </w:r>
      <w:proofErr w:type="gramEnd"/>
      <w:r w:rsidRPr="00A024AC">
        <w:t xml:space="preserve"> a fogyasztók továbbra is ki vannak téve a magas zsír-, só- vagy </w:t>
      </w:r>
      <w:proofErr w:type="spellStart"/>
      <w:r w:rsidRPr="00A024AC">
        <w:t>cukortartalmú</w:t>
      </w:r>
      <w:proofErr w:type="spellEnd"/>
      <w:r w:rsidRPr="00A024AC">
        <w:t xml:space="preserve"> élelmiszerekkel kapcsolatos, tápanyag-összetételre vagy egészségre vonatkozó pozitív állításoknak, ami összeegyeztethetetlen a magas szintű fogyasztóvédelem célkitűzésével;</w:t>
      </w:r>
    </w:p>
    <w:p w:rsidR="00CD35B3" w:rsidRPr="00A024AC" w:rsidRDefault="00CD35B3" w:rsidP="00CD35B3">
      <w:pPr>
        <w:pStyle w:val="NormalHanging12a"/>
        <w:rPr>
          <w:szCs w:val="24"/>
        </w:rPr>
      </w:pPr>
      <w:proofErr w:type="gramStart"/>
      <w:r w:rsidRPr="00A024AC">
        <w:t>I.</w:t>
      </w:r>
      <w:r w:rsidRPr="00A024AC">
        <w:tab/>
        <w:t>mivel a legtöbb tagállamban gyorsan nőnek a súlyproblémák és az elhízás, az európai felnőttek több mint fele és minden harmadik gyermek túlsúlyos vagy elhízott</w:t>
      </w:r>
      <w:r w:rsidRPr="00A024AC">
        <w:rPr>
          <w:rStyle w:val="FootnoteReference"/>
          <w:szCs w:val="24"/>
        </w:rPr>
        <w:footnoteReference w:id="17"/>
      </w:r>
      <w:r w:rsidRPr="00A024AC">
        <w:t xml:space="preserve">; mivel a gyermekkori túlsúly és elhízás növeli a globális közegészségügyi kihívásokat; mivel elegendő bizonyíték van arra, hogy a gyermekkori elhízást befolyásolja a magas zsír-, só- és </w:t>
      </w:r>
      <w:proofErr w:type="spellStart"/>
      <w:r w:rsidRPr="00A024AC">
        <w:t>cukortartalmú</w:t>
      </w:r>
      <w:proofErr w:type="spellEnd"/>
      <w:r w:rsidRPr="00A024AC">
        <w:t xml:space="preserve"> élelmiszerek marketingje, ugyanakkor a gyermekek továbbra is nagy mértékben ki vannak téve az ilyen marketingnek, amely erőteljes és meggyőző technikákat alkalmaz, többek között egyre inkább digitális eszközökkel;</w:t>
      </w:r>
      <w:proofErr w:type="gramEnd"/>
    </w:p>
    <w:p w:rsidR="00CD35B3" w:rsidRPr="00A024AC" w:rsidRDefault="00CD35B3" w:rsidP="00CD35B3">
      <w:pPr>
        <w:pStyle w:val="NormalHanging12a"/>
        <w:rPr>
          <w:rFonts w:eastAsia="Calibri"/>
        </w:rPr>
      </w:pPr>
      <w:r w:rsidRPr="00A024AC">
        <w:t>J.</w:t>
      </w:r>
      <w:r w:rsidRPr="00A024AC">
        <w:tab/>
      </w:r>
      <w:proofErr w:type="gramStart"/>
      <w:r w:rsidRPr="00A024AC">
        <w:t>mivel</w:t>
      </w:r>
      <w:proofErr w:type="gramEnd"/>
      <w:r w:rsidRPr="00A024AC">
        <w:t xml:space="preserve"> a magas só-, cukor- és </w:t>
      </w:r>
      <w:proofErr w:type="spellStart"/>
      <w:r w:rsidRPr="00A024AC">
        <w:t>zsírtartalmú</w:t>
      </w:r>
      <w:proofErr w:type="spellEnd"/>
      <w:r w:rsidRPr="00A024AC">
        <w:t xml:space="preserve"> egészségtelen étrendek – beleértve a telített és transzzsírokat is – a betegségek és a halálozás fő kockázati tényezői Európában, és a WHO szerint évente 8 millió korai halálesetet okoznak; mivel 2017-ben minden ötödik haláleset az egészségtelen étrendnek volt tulajdonítható, főként szív- és érrendszeri betegségek és rákos megbetegedések miatt; mivel nagyobb hangsúlyt kell fektetni a betegségek megelőzésére;</w:t>
      </w:r>
    </w:p>
    <w:p w:rsidR="00CD35B3" w:rsidRPr="00A024AC" w:rsidRDefault="00CD35B3" w:rsidP="00CD35B3">
      <w:pPr>
        <w:pStyle w:val="NormalHanging12a"/>
      </w:pPr>
      <w:r w:rsidRPr="00A024AC">
        <w:t>K.</w:t>
      </w:r>
      <w:r w:rsidRPr="00A024AC">
        <w:tab/>
        <w:t xml:space="preserve">mivel az Európai Parlament az „Európa megerősítéséről a rák elleni küzdelemben – egy átfogó és </w:t>
      </w:r>
      <w:proofErr w:type="gramStart"/>
      <w:r w:rsidRPr="00A024AC">
        <w:t>koordinált</w:t>
      </w:r>
      <w:proofErr w:type="gramEnd"/>
      <w:r w:rsidRPr="00A024AC">
        <w:t xml:space="preserve"> stratégia kialakítása felé” című, 2022. február 16-i állásfoglalásában</w:t>
      </w:r>
      <w:r w:rsidRPr="00A024AC">
        <w:rPr>
          <w:rStyle w:val="FootnoteReference"/>
        </w:rPr>
        <w:footnoteReference w:id="18"/>
      </w:r>
      <w:r w:rsidRPr="00A024AC">
        <w:t xml:space="preserve"> hangsúlyozta az egészséges étrend szerepét a rákos megbetegedések megelőzésében és visszaszorításában;</w:t>
      </w:r>
    </w:p>
    <w:p w:rsidR="00CD35B3" w:rsidRPr="00A024AC" w:rsidRDefault="00CD35B3" w:rsidP="00CD35B3">
      <w:pPr>
        <w:pStyle w:val="NormalHanging12a"/>
        <w:rPr>
          <w:szCs w:val="24"/>
        </w:rPr>
      </w:pPr>
      <w:proofErr w:type="gramStart"/>
      <w:r w:rsidRPr="00A024AC">
        <w:t>L.</w:t>
      </w:r>
      <w:r w:rsidRPr="00A024AC">
        <w:tab/>
        <w:t>mivel az EFSA nem tudta meghatározni a szabad és hozzáadott cukrok biztonságos beviteli szintjét, mivel „az egészségre gyakorolt káros hatások (válaszok) kockázata állandó (lineáris) módon nőtt a megfigyelt beviteli szintek (dózisok) teljes tartományában, azaz minél magasabb a bevitel, annál nagyobb a káros hatások kockázata”</w:t>
      </w:r>
      <w:r w:rsidRPr="00A024AC">
        <w:rPr>
          <w:rStyle w:val="FootnoteReference"/>
          <w:szCs w:val="24"/>
        </w:rPr>
        <w:footnoteReference w:id="19"/>
      </w:r>
      <w:r w:rsidRPr="00A024AC">
        <w:t xml:space="preserve">; mivel a WHO Nemzetközi Rákkutatási Ügynöksége az </w:t>
      </w:r>
      <w:proofErr w:type="spellStart"/>
      <w:r w:rsidRPr="00A024AC">
        <w:t>aszpartámot</w:t>
      </w:r>
      <w:proofErr w:type="spellEnd"/>
      <w:r w:rsidRPr="00A024AC">
        <w:t xml:space="preserve"> az emberre nézve potenciálisan rákkeltőnek minősítette; mivel a WHO szisztematikus felülvizsgálata szerint a nem cukros édesítőszerek összefüggésbe hozhatók a 2-es típusú cukorbetegség, a szív- és érrendszeri</w:t>
      </w:r>
      <w:proofErr w:type="gramEnd"/>
      <w:r w:rsidRPr="00A024AC">
        <w:t xml:space="preserve"> betegségek, a bármilyen eredetű halálozás és a testsúlynövekedés megnövekedett kockázatával; mivel az egészségesebb étrendek, amelyek magukban foglalják a növényi alapú élelmiszerek, például a friss gyümölcsök és zöldségek, a teljes kiőrlésű gabonák és a hüvelyesek fokozott fogyasztását, és megakadályozzák a hús és az </w:t>
      </w:r>
      <w:proofErr w:type="gramStart"/>
      <w:r w:rsidRPr="00A024AC">
        <w:t>extrém</w:t>
      </w:r>
      <w:proofErr w:type="gramEnd"/>
      <w:r w:rsidRPr="00A024AC">
        <w:t xml:space="preserve"> mértékben feldolgozott termékek túlzott fogyasztását, hozzájárulnak az egészség javításához, csökkentik az étrenddel </w:t>
      </w:r>
      <w:r w:rsidRPr="00A024AC">
        <w:lastRenderedPageBreak/>
        <w:t>összefüggő nem fertőző betegségek okozta halálozást, és környezeti előnyökkel járnak;</w:t>
      </w:r>
    </w:p>
    <w:p w:rsidR="00CD35B3" w:rsidRPr="00A024AC" w:rsidRDefault="00CD35B3" w:rsidP="00CD35B3">
      <w:pPr>
        <w:pStyle w:val="NormalHanging12a"/>
        <w:rPr>
          <w:szCs w:val="24"/>
        </w:rPr>
      </w:pPr>
      <w:proofErr w:type="gramStart"/>
      <w:r w:rsidRPr="00A024AC">
        <w:rPr>
          <w:color w:val="000000"/>
        </w:rPr>
        <w:t>M.</w:t>
      </w:r>
      <w:r w:rsidRPr="00A024AC">
        <w:rPr>
          <w:color w:val="000000"/>
        </w:rPr>
        <w:tab/>
        <w:t xml:space="preserve">mivel a hatékony információs eszközök, mint például a csomagolás elülső oldalán feltüntetett tápértékjelölés támogatja a polgárokat az élelmiszerek egészségesebb megválasztásban és a magas só-, zsír- és </w:t>
      </w:r>
      <w:proofErr w:type="spellStart"/>
      <w:r w:rsidRPr="00A024AC">
        <w:rPr>
          <w:color w:val="000000"/>
        </w:rPr>
        <w:t>cukortartalmú</w:t>
      </w:r>
      <w:proofErr w:type="spellEnd"/>
      <w:r w:rsidRPr="00A024AC">
        <w:rPr>
          <w:color w:val="000000"/>
        </w:rPr>
        <w:t xml:space="preserve"> élelmiszerek egészségtelen fogyasztásának elkerülésében; mivel a Parlament „a termelőtől a fogyasztóig” stratégiáról szóló, 2021. október 20-i saját kezdeményezésű állásfoglalásában támogatta egy ilyen jelölés elfogadását, amelyben felkérte a Bizottságot, hogy tudományos bizonyítékokon és a fogyasztók bizonyított megértésén alapuló kötelező és harmonizált uniós tápértékjelölés</w:t>
      </w:r>
      <w:proofErr w:type="gramEnd"/>
      <w:r w:rsidRPr="00A024AC">
        <w:rPr>
          <w:color w:val="000000"/>
        </w:rPr>
        <w:t xml:space="preserve"> </w:t>
      </w:r>
      <w:proofErr w:type="gramStart"/>
      <w:r w:rsidRPr="00A024AC">
        <w:rPr>
          <w:color w:val="000000"/>
        </w:rPr>
        <w:t>kidolgozását</w:t>
      </w:r>
      <w:proofErr w:type="gramEnd"/>
      <w:r w:rsidRPr="00A024AC">
        <w:rPr>
          <w:color w:val="000000"/>
        </w:rPr>
        <w:t xml:space="preserve"> biztosítsa az élelmiszerekkel és az egészségesebb alternatívákkal kapcsolatos pontos tájékoztatás nyújtásának támogatása érdekében;</w:t>
      </w:r>
      <w:r w:rsidRPr="00A024AC">
        <w:t xml:space="preserve"> </w:t>
      </w:r>
    </w:p>
    <w:p w:rsidR="00CD35B3" w:rsidRPr="00A024AC" w:rsidRDefault="00CD35B3" w:rsidP="00CD35B3">
      <w:pPr>
        <w:pStyle w:val="NormalHanging12a"/>
        <w:rPr>
          <w:szCs w:val="24"/>
        </w:rPr>
      </w:pPr>
      <w:r w:rsidRPr="00A024AC">
        <w:t>N.</w:t>
      </w:r>
      <w:r w:rsidRPr="00A024AC">
        <w:tab/>
      </w:r>
      <w:proofErr w:type="gramStart"/>
      <w:r w:rsidRPr="00A024AC">
        <w:t>mivel 2012-ben a Bizottság 2078, növényi anyagokkal kapcsolatos, egészségre vonatkozó, „visszatartott” állítást tartalmazó listát készített, főként az emberi beavatkozással kapcsolatos vizsgálatok hiánya miatt, amely 2010-ben az EFSA értékelési és engedélyezési eljárásának felfüggesztéséhez vezetett; mivel az egészségre vonatkozó „visszatartott” állítások – mind a negatívan értékelt, mind a még nem felülvizsgált állítások – továbbra is alkalmazhatók az EU piacán a rendeletben meghatározott átmeneti intézkedéseknek megfelelően, amíg döntés nem születik a jegyzékbe vett „visszatartott” állításokról;</w:t>
      </w:r>
      <w:proofErr w:type="gramEnd"/>
    </w:p>
    <w:p w:rsidR="00CD35B3" w:rsidRPr="00A024AC" w:rsidRDefault="00CD35B3" w:rsidP="00CD35B3">
      <w:pPr>
        <w:pStyle w:val="NormalHanging12a"/>
      </w:pPr>
      <w:r w:rsidRPr="00A024AC">
        <w:rPr>
          <w:color w:val="000000"/>
        </w:rPr>
        <w:t>O.</w:t>
      </w:r>
      <w:r w:rsidRPr="00A024AC">
        <w:rPr>
          <w:color w:val="000000"/>
        </w:rPr>
        <w:tab/>
        <w:t>mivel 2020-ban a Bizottság a rendeletről szóló értékelő jelentésében arra a következtetésre jutott, hogy a fogyasztók továbbra is ki vannak téve a növényi anyagokkal kapcsolatos, egészségre vonatkozó, eltérő szintű tudományos értékeléssel rendelkező állításoknak, beleértve olyan egészségre vonatkozó megalapozatlan állításokat is, amelyek esetében úgy vélhetik, hogy az említett kedvező hatásokat tudományosan értékelték, bár nem ez a helyzet;</w:t>
      </w:r>
    </w:p>
    <w:p w:rsidR="00CD35B3" w:rsidRPr="00A024AC" w:rsidRDefault="00CD35B3" w:rsidP="00CD35B3">
      <w:pPr>
        <w:pStyle w:val="NormalHanging12a"/>
      </w:pPr>
      <w:r w:rsidRPr="00A024AC">
        <w:t>P.</w:t>
      </w:r>
      <w:r w:rsidRPr="00A024AC">
        <w:tab/>
        <w:t>mivel a növényi anyagokra vonatkozó biztonsági keret fokozottabb összehangolása hozzájárulhat a fogyasztóvédelem javításához;</w:t>
      </w:r>
    </w:p>
    <w:p w:rsidR="00CD35B3" w:rsidRPr="00A024AC" w:rsidRDefault="00CD35B3" w:rsidP="00CD35B3">
      <w:pPr>
        <w:pStyle w:val="NormalHanging12a"/>
      </w:pPr>
      <w:r w:rsidRPr="00A024AC">
        <w:rPr>
          <w:color w:val="000000"/>
        </w:rPr>
        <w:t>Q.</w:t>
      </w:r>
      <w:r w:rsidRPr="00A024AC">
        <w:rPr>
          <w:color w:val="000000"/>
        </w:rPr>
        <w:tab/>
      </w:r>
      <w:proofErr w:type="gramStart"/>
      <w:r w:rsidRPr="00A024AC">
        <w:rPr>
          <w:color w:val="000000"/>
        </w:rPr>
        <w:t>mivel az élelmiszerekben és étrend-kiegészítőkben található növényi anyagokra vonatkozó jogszabályokat uniós szinten nem harmonizálták; mivel a tagállamok az élelmiszerekben engedélyezett növényi anyagokkal kapcsolatban engedélyező vagy tiltó listával rendelkeznek, vagy nem rendelkeznek ilyen listával; mivel a növényi anyagok élelmiszerként vagy gyógyszerként való besorolása az egyes tagállamok hatáskörébe tartozik; mivel a gyógyszer célja az emberek betegségeinek kezelése vagy megelőzése, és az étrend-kiegészítőket olyan fogyasztóknak szánják, akiknek nincsenek azonnali egészségügyi szükségleteik;</w:t>
      </w:r>
      <w:proofErr w:type="gramEnd"/>
      <w:r w:rsidRPr="00A024AC">
        <w:rPr>
          <w:color w:val="000000"/>
        </w:rPr>
        <w:t xml:space="preserve"> </w:t>
      </w:r>
      <w:proofErr w:type="gramStart"/>
      <w:r w:rsidRPr="00A024AC">
        <w:t>mivel</w:t>
      </w:r>
      <w:proofErr w:type="gramEnd"/>
      <w:r w:rsidRPr="00A024AC">
        <w:t xml:space="preserve"> ezért fontos fenntartani az élelmiszer és a gyógyszer közötti egyértelmű különbségtételt;</w:t>
      </w:r>
    </w:p>
    <w:p w:rsidR="00CD35B3" w:rsidRPr="00A024AC" w:rsidRDefault="00CD35B3" w:rsidP="00CD35B3">
      <w:pPr>
        <w:pStyle w:val="NormalHanging12a"/>
        <w:rPr>
          <w:color w:val="000000"/>
          <w:szCs w:val="24"/>
        </w:rPr>
      </w:pPr>
      <w:r w:rsidRPr="00A024AC">
        <w:rPr>
          <w:color w:val="000000"/>
        </w:rPr>
        <w:t>R.</w:t>
      </w:r>
      <w:r w:rsidRPr="00A024AC">
        <w:rPr>
          <w:color w:val="000000"/>
        </w:rPr>
        <w:tab/>
      </w:r>
      <w:proofErr w:type="gramStart"/>
      <w:r w:rsidRPr="00A024AC">
        <w:rPr>
          <w:color w:val="000000"/>
        </w:rPr>
        <w:t xml:space="preserve">mivel a növényi gyógyszereket az EU piacára való bevezetésük előtt engedélyezési eljárásnak kell alávetni, ami szükségessé teszi a termékbiztonság és a hatásosság igazolását, valamint további jogi követelményeknek kell megfelelniük olyan területeken, mint például a minőségértékelés, a </w:t>
      </w:r>
      <w:proofErr w:type="spellStart"/>
      <w:r w:rsidRPr="00A024AC">
        <w:rPr>
          <w:color w:val="000000"/>
        </w:rPr>
        <w:t>farmakovigilancia</w:t>
      </w:r>
      <w:proofErr w:type="spellEnd"/>
      <w:r w:rsidRPr="00A024AC">
        <w:rPr>
          <w:color w:val="000000"/>
        </w:rPr>
        <w:t xml:space="preserve"> és a helyes gyártási gyakorlat betartása; mivel azoknál a növényi gyógyszereknél, amelyeket 30 éve, ezen belül az EU-ban 15 éve biztonságosan használnak, alkalmazható a hagyományos növényi gyógyszerekre vonatkozó egyszerűsített törzskönyvezési eljárás, ahol a „hagyományos felhasználásra” vonatkozó</w:t>
      </w:r>
      <w:proofErr w:type="gramEnd"/>
      <w:r w:rsidRPr="00A024AC">
        <w:rPr>
          <w:color w:val="000000"/>
        </w:rPr>
        <w:t xml:space="preserve"> </w:t>
      </w:r>
      <w:proofErr w:type="gramStart"/>
      <w:r w:rsidRPr="00A024AC">
        <w:rPr>
          <w:color w:val="000000"/>
        </w:rPr>
        <w:t>adatok</w:t>
      </w:r>
      <w:proofErr w:type="gramEnd"/>
      <w:r w:rsidRPr="00A024AC">
        <w:rPr>
          <w:color w:val="000000"/>
        </w:rPr>
        <w:t xml:space="preserve"> elfogadottak a termék biztonságosságának és hatásosságának alátámasztására;</w:t>
      </w:r>
    </w:p>
    <w:p w:rsidR="00CD35B3" w:rsidRPr="00A024AC" w:rsidRDefault="00CD35B3" w:rsidP="00CD35B3">
      <w:pPr>
        <w:pStyle w:val="NormalHanging12a"/>
      </w:pPr>
      <w:r w:rsidRPr="00A024AC">
        <w:rPr>
          <w:color w:val="000000"/>
        </w:rPr>
        <w:lastRenderedPageBreak/>
        <w:t>S.</w:t>
      </w:r>
      <w:r w:rsidRPr="00A024AC">
        <w:rPr>
          <w:color w:val="000000"/>
        </w:rPr>
        <w:tab/>
      </w:r>
      <w:proofErr w:type="gramStart"/>
      <w:r w:rsidRPr="00A024AC">
        <w:rPr>
          <w:color w:val="000000"/>
        </w:rPr>
        <w:t>mivel</w:t>
      </w:r>
      <w:proofErr w:type="gramEnd"/>
      <w:r w:rsidRPr="00A024AC">
        <w:rPr>
          <w:color w:val="000000"/>
        </w:rPr>
        <w:t xml:space="preserve"> a rendelet növényi anyagokkal kapcsolatos állítások tekintetében történő végrehajtása jelentős késedelmet szenvedett; mivel a rendelet magas szintű fogyasztóvédelem biztosítására irányuló célkitűzése a Bizottság gyors fellépését teszi szükségessé a rendelet teljes körű érvényesítése vagy felülvizsgálata érdekében, mivel az bizonyos tekintetben nem felel meg a célnak;</w:t>
      </w:r>
    </w:p>
    <w:p w:rsidR="00CD35B3" w:rsidRPr="00A024AC" w:rsidRDefault="00CD35B3" w:rsidP="00CD35B3">
      <w:pPr>
        <w:pStyle w:val="NormalHanging12a"/>
      </w:pPr>
      <w:r w:rsidRPr="00A024AC">
        <w:t>T.</w:t>
      </w:r>
      <w:r w:rsidRPr="00A024AC">
        <w:tab/>
      </w:r>
      <w:proofErr w:type="gramStart"/>
      <w:r w:rsidRPr="00A024AC">
        <w:t>mivel</w:t>
      </w:r>
      <w:proofErr w:type="gramEnd"/>
      <w:r w:rsidRPr="00A024AC">
        <w:t xml:space="preserve"> a rendelet saját joghatóságukon belüli végrehajtásáért a tagállamok felelősek; mivel a tagállamok kötelesek alkalmazni a kölcsönös elismerés elvét; mivel a tagállamok közötti értelmezési különbségek és végrehajtási eltérések miatt az állítások helytelen alkalmazását követő végrehajtási intézkedések eltérőek, a kiigazításra vonatkozó javaslattól a bírságig terjednek;</w:t>
      </w:r>
    </w:p>
    <w:p w:rsidR="00CD35B3" w:rsidRPr="00A024AC" w:rsidRDefault="00CD35B3" w:rsidP="00CD35B3">
      <w:pPr>
        <w:pStyle w:val="NormalHanging12a"/>
      </w:pPr>
      <w:proofErr w:type="gramStart"/>
      <w:r w:rsidRPr="00A024AC">
        <w:t>U.</w:t>
      </w:r>
      <w:r w:rsidRPr="00A024AC">
        <w:tab/>
        <w:t>mivel a közösségi média jelentősen hozzájárul az élelmiszerek és étrend-kiegészítők reklámozásához és értékesítéséhez, miközben nem világos, hogy a rendelet milyen mértékben szabályozza az élelmiszerekkel kapcsolatos, egészségre vonatkozó online kommunikációt; mivel a véleményvezérek vagy hírességek közösségi médiában megjelenő közléseiről nem mindig dönthető el egyértelműen, hogy kereskedelmi vagy nem kereskedelmi jellegűek</w:t>
      </w:r>
      <w:r w:rsidRPr="00A024AC">
        <w:rPr>
          <w:rStyle w:val="FootnoteReference"/>
          <w:rFonts w:eastAsia="Calibri"/>
          <w:szCs w:val="24"/>
        </w:rPr>
        <w:footnoteReference w:id="20"/>
      </w:r>
      <w:r w:rsidRPr="00A024AC">
        <w:t>, és az ilyen közlések az élelmiszerekkel kapcsolatban ellenőrizetlen, hamis és félrevezető állításokat eredményezhetnek, például a fehérje vagy az izomnövekedést elősegítő</w:t>
      </w:r>
      <w:proofErr w:type="gramEnd"/>
      <w:r w:rsidRPr="00A024AC">
        <w:t xml:space="preserve"> egyéb kiegészítők </w:t>
      </w:r>
      <w:proofErr w:type="gramStart"/>
      <w:r w:rsidRPr="00A024AC">
        <w:t>reklámozása</w:t>
      </w:r>
      <w:proofErr w:type="gramEnd"/>
      <w:r w:rsidRPr="00A024AC">
        <w:t xml:space="preserve"> kapcsán;</w:t>
      </w:r>
    </w:p>
    <w:p w:rsidR="00CD35B3" w:rsidRPr="00A024AC" w:rsidRDefault="00CD35B3" w:rsidP="00CD35B3">
      <w:pPr>
        <w:pStyle w:val="NormalHanging12a"/>
      </w:pPr>
      <w:r w:rsidRPr="00A024AC">
        <w:t>1.</w:t>
      </w:r>
      <w:r w:rsidRPr="00A024AC">
        <w:tab/>
      </w:r>
      <w:proofErr w:type="spellStart"/>
      <w:r w:rsidRPr="00A024AC">
        <w:t>megjegyzi</w:t>
      </w:r>
      <w:proofErr w:type="spellEnd"/>
      <w:r w:rsidRPr="00A024AC">
        <w:t>, hogy a rendelet fő célja annak biztosítása, hogy az élelmiszerekkel kapcsolatos állítások általánosan elfogadott tudományos bizonyítékokon alapuljanak, és az átlagos fogyasztó várhatóan megértse azokat; hangsúlyozza, hogy a gyakorlatban továbbra is vannak bejelentések az élelmiszerek online és offline értékesítése során előforduló megtévesztő állításokról;</w:t>
      </w:r>
    </w:p>
    <w:p w:rsidR="00CD35B3" w:rsidRPr="00A024AC" w:rsidRDefault="00CD35B3" w:rsidP="00CD35B3">
      <w:pPr>
        <w:pStyle w:val="NormalHanging12a"/>
      </w:pPr>
      <w:r w:rsidRPr="00A024AC">
        <w:t>2.</w:t>
      </w:r>
      <w:r w:rsidRPr="00A024AC">
        <w:tab/>
        <w:t>rámutat az élelmiszerekkel kapcsolatos tájékoztatás iránti növekvő fogyasztói érdeklődésre</w:t>
      </w:r>
      <w:r w:rsidRPr="00A024AC">
        <w:rPr>
          <w:rStyle w:val="FootnoteReference"/>
          <w:szCs w:val="24"/>
        </w:rPr>
        <w:footnoteReference w:id="21"/>
      </w:r>
      <w:r w:rsidRPr="00A024AC">
        <w:t xml:space="preserve">; hangsúlyozza, hogy az élelmiszerek tápértékére vagy egészségügyi értékeire vonatkozó, a címkéken feltüntetett, kiszerelési, marketing- és reklámcélú közléseknek pontos, tudományosan megalapozott és érdemi </w:t>
      </w:r>
      <w:proofErr w:type="gramStart"/>
      <w:r w:rsidRPr="00A024AC">
        <w:t>információkat</w:t>
      </w:r>
      <w:proofErr w:type="gramEnd"/>
      <w:r w:rsidRPr="00A024AC">
        <w:t xml:space="preserve"> kell tartalmazniuk; felszólít az élelmiszerekkel kapcsolatos, tápanyag-összetételre és egészségre vonatkozó engedélyezett állítások listájának rendszeres frissítésére, összhangban az élelmiszerek és a táplálkozás területén bekövetkezett tudományos fejleményekkel;</w:t>
      </w:r>
    </w:p>
    <w:p w:rsidR="00CD35B3" w:rsidRPr="00A024AC" w:rsidRDefault="00CD35B3" w:rsidP="00CD35B3">
      <w:pPr>
        <w:pStyle w:val="NormalHanging12a"/>
      </w:pPr>
      <w:r w:rsidRPr="00A024AC">
        <w:t>3.</w:t>
      </w:r>
      <w:r w:rsidRPr="00A024AC">
        <w:tab/>
        <w:t>hangsúlyozza, hogy biztosítani kell, hogy az egészségre vonatkozó állítások összhangban maradjanak az EU egészségügyi politikáival és prioritásaival; megerősíti a Bizottság azon mérlegelési jogkörének fontosságát, hogy nem engedélyezi az állításokat, ha azok egymásnak ellentmondó és zavaró üzeneteket közvetíthetnek a fogyasztóknak</w:t>
      </w:r>
      <w:r w:rsidRPr="00A024AC">
        <w:rPr>
          <w:vertAlign w:val="superscript"/>
        </w:rPr>
        <w:footnoteReference w:id="22"/>
      </w:r>
      <w:r w:rsidRPr="00A024AC">
        <w:t>;</w:t>
      </w:r>
    </w:p>
    <w:p w:rsidR="00CD35B3" w:rsidRPr="00A024AC" w:rsidRDefault="00CD35B3" w:rsidP="00CD35B3">
      <w:pPr>
        <w:pStyle w:val="NormalHanging12a"/>
        <w:rPr>
          <w:b/>
          <w:i/>
        </w:rPr>
      </w:pPr>
      <w:r w:rsidRPr="00A024AC">
        <w:rPr>
          <w:b/>
          <w:i/>
        </w:rPr>
        <w:lastRenderedPageBreak/>
        <w:t>A tápanyag-összetétel figyelembevétele az egészségre vonatkozó állítások értékelésében</w:t>
      </w:r>
    </w:p>
    <w:p w:rsidR="00CD35B3" w:rsidRPr="00A024AC" w:rsidRDefault="00CD35B3" w:rsidP="00CD35B3">
      <w:pPr>
        <w:pStyle w:val="NormalHanging12a"/>
      </w:pPr>
      <w:proofErr w:type="gramStart"/>
      <w:r w:rsidRPr="00A024AC">
        <w:t>4.</w:t>
      </w:r>
      <w:r w:rsidRPr="00A024AC">
        <w:tab/>
        <w:t xml:space="preserve">emlékeztet arra, hogy a rendelet 4. cikke szerint a Bizottságnak 2009. január 19-ig meg kellett volna állapítania a tápanyag-összetételre és egészségre vonatkozó állítások alkalmazását a magas zsír-, cukor- és/vagy </w:t>
      </w:r>
      <w:proofErr w:type="spellStart"/>
      <w:r w:rsidRPr="00A024AC">
        <w:t>sótartalmú</w:t>
      </w:r>
      <w:proofErr w:type="spellEnd"/>
      <w:r w:rsidRPr="00A024AC">
        <w:t xml:space="preserve"> élelmiszerek esetében; sajnálatosnak tartja, hogy a tápanyag-összetételre vonatkozó bizottsági javaslatot mindeddig annak ellenére nem nyújtották be, hogy azt 2022-re tervezték a fogyasztók élelmiszerekkel kapcsolatos tájékoztatásáról szóló uniós jogszabályok felülvizsgálatának részeként; kitart amellett, hogy az egészségre és a tápanyag-összetételre vonatkozó állítások</w:t>
      </w:r>
      <w:proofErr w:type="gramEnd"/>
      <w:r w:rsidRPr="00A024AC">
        <w:t xml:space="preserve"> </w:t>
      </w:r>
      <w:proofErr w:type="gramStart"/>
      <w:r w:rsidRPr="00A024AC">
        <w:t>alkalmazására</w:t>
      </w:r>
      <w:proofErr w:type="gramEnd"/>
      <w:r w:rsidRPr="00A024AC">
        <w:t xml:space="preserve"> vonatkozó egyedi tápanyag-küszöbértékeket tartalmazó tápanyagprofiloknak a rendelet 4. cikkével összhangban történő meghatározása továbbra is releváns és szükséges a rendelet célkitűzéseinek eléréséhez;</w:t>
      </w:r>
    </w:p>
    <w:p w:rsidR="00CD35B3" w:rsidRPr="00A024AC" w:rsidRDefault="00CD35B3" w:rsidP="00CD35B3">
      <w:pPr>
        <w:pStyle w:val="NormalHanging12a"/>
        <w:rPr>
          <w:szCs w:val="24"/>
        </w:rPr>
      </w:pPr>
      <w:proofErr w:type="gramStart"/>
      <w:r w:rsidRPr="00A024AC">
        <w:t>5.</w:t>
      </w:r>
      <w:r w:rsidRPr="00A024AC">
        <w:tab/>
        <w:t>emlékeztet arra, hogy az állítások nem téveszthetik meg a fogyasztókat a termék valódi tápértékével kapcsolatban; kiemeli, hogy tápanyag-összetétel hiányában az állítások hangsúlyozhatják az összességében egészségtelen termék vagy meghatározott tápanyagokra, például zsírra, cukorra és sóra vonatkozó küszöbértékeket meghaladó termék kedvező szempontjait; hangsúlyozza, hogy számos – többek között néhány gyermekek számára értékesített – élelmiszeripari terméken továbbra is egészségre és tápanyag-összetételre vonatkozó állításokat alkalmaznak, annak ellenére, hogy jelentős mennyiségben tartalmaznak</w:t>
      </w:r>
      <w:proofErr w:type="gramEnd"/>
      <w:r w:rsidRPr="00A024AC">
        <w:t xml:space="preserve"> </w:t>
      </w:r>
      <w:proofErr w:type="gramStart"/>
      <w:r w:rsidRPr="00A024AC">
        <w:t>kockázatos</w:t>
      </w:r>
      <w:proofErr w:type="gramEnd"/>
      <w:r w:rsidRPr="00A024AC">
        <w:t xml:space="preserve"> tápanyagokat; hangsúlyozza, hogy a tápanyag-összetételre és egészségre vonatkozó állításoknak a magas zsír-, cukor- és/vagy </w:t>
      </w:r>
      <w:proofErr w:type="spellStart"/>
      <w:r w:rsidRPr="00A024AC">
        <w:t>sótartalmú</w:t>
      </w:r>
      <w:proofErr w:type="spellEnd"/>
      <w:r w:rsidRPr="00A024AC">
        <w:t xml:space="preserve"> élelmiszereken való alkalmazásának korlátozása érdekében egyedi tápanyagprofilokat kell kidolgozni, a rendelet 4. Cikkének megfelelően és összhangban a rendelet célkitűzéseivel; hangsúlyozza, hogy a megbízható és független tudományos bizonyítékokon alapuló jövőbeli tápanyagprofilok segíthetik a fogyasztókat abban, hogy tájékozott, egészséges és fenntartható döntéseket hozzanak az élelmiszeripari termékekről;</w:t>
      </w:r>
    </w:p>
    <w:p w:rsidR="00CD35B3" w:rsidRPr="00A024AC" w:rsidRDefault="00CD35B3" w:rsidP="00CD35B3">
      <w:pPr>
        <w:pStyle w:val="NormalHanging12a"/>
      </w:pPr>
      <w:proofErr w:type="gramStart"/>
      <w:r w:rsidRPr="00A024AC">
        <w:t>6.</w:t>
      </w:r>
      <w:r w:rsidRPr="00A024AC">
        <w:tab/>
        <w:t>sajnálatát fejezi ki amiatt, hogy nem létezik szisztematikus és tényeken alapuló megközelítés az olyan élelmiszer-</w:t>
      </w:r>
      <w:proofErr w:type="spellStart"/>
      <w:r w:rsidRPr="00A024AC">
        <w:t>környezetek</w:t>
      </w:r>
      <w:proofErr w:type="spellEnd"/>
      <w:r w:rsidRPr="00A024AC">
        <w:t xml:space="preserve"> létrehozására, amelyek segítik a fogyasztókat abban, hogy megalapozott döntéseket hozzanak, és amelyek ösztönzik az egészségesebb étrend felé való elmozdulást, beleértve a növényi alapú élelmiszerek, például a friss gyümölcsök és zöldségek, a teljes kiőrlésű gabonák és a hüvelyesek fokozott fogyasztását; úgy véli, hogy a rendelet helyes végrehajtásán túl a Bizottságnak és a tagállamoknak több beruházást kellene végrehajtaniuk az élelmiszerekkel és táplálkozással kapcsolatos</w:t>
      </w:r>
      <w:proofErr w:type="gramEnd"/>
      <w:r w:rsidRPr="00A024AC">
        <w:t xml:space="preserve"> </w:t>
      </w:r>
      <w:proofErr w:type="gramStart"/>
      <w:r w:rsidRPr="00A024AC">
        <w:t>oktatásba, például tájékoztató kampányokba, különböző programok – többek között „az EU az egészségügyért” program – révén, különösen az iskolai fellépések támogatása révén, amelyek célja a gyermekek és a serdülők egészséges és kiegyensúlyozott étrenddel kapcsolatos oktatása; kiemeli a meghatározó társadalmi tényezők hatását a fogyasztók élelmiszerekre vonatkozó állításokkal kapcsolatos jártasságában; rámutat, hogy a tájékoztatás, az oktatás és a figyelemfelhívó kampányok önmagukban nem elegendőek a megalapozott fogyasztói döntések biztosításához, és azokat olyan szakpolitikáknak kell kísérniük,</w:t>
      </w:r>
      <w:proofErr w:type="gramEnd"/>
      <w:r w:rsidRPr="00A024AC">
        <w:t xml:space="preserve"> </w:t>
      </w:r>
      <w:proofErr w:type="gramStart"/>
      <w:r w:rsidRPr="00A024AC">
        <w:t>amelyek</w:t>
      </w:r>
      <w:proofErr w:type="gramEnd"/>
      <w:r w:rsidRPr="00A024AC">
        <w:t xml:space="preserve"> javítják az élelmiszer-környezetet;</w:t>
      </w:r>
    </w:p>
    <w:p w:rsidR="00CD35B3" w:rsidRPr="00A024AC" w:rsidRDefault="00CD35B3" w:rsidP="00CD35B3">
      <w:pPr>
        <w:pStyle w:val="NormalHanging12a"/>
        <w:rPr>
          <w:b/>
          <w:i/>
        </w:rPr>
      </w:pPr>
      <w:r w:rsidRPr="00A024AC">
        <w:rPr>
          <w:b/>
          <w:i/>
        </w:rPr>
        <w:t>A fogyasztók tájékoztatása</w:t>
      </w:r>
    </w:p>
    <w:p w:rsidR="00CD35B3" w:rsidRPr="00A024AC" w:rsidRDefault="00CD35B3" w:rsidP="00CD35B3">
      <w:pPr>
        <w:pStyle w:val="NormalHanging12a"/>
        <w:rPr>
          <w:szCs w:val="24"/>
        </w:rPr>
      </w:pPr>
      <w:proofErr w:type="gramStart"/>
      <w:r w:rsidRPr="00A024AC">
        <w:t>7.</w:t>
      </w:r>
      <w:r w:rsidRPr="00A024AC">
        <w:tab/>
        <w:t>hangsúlyozza, hogy a fogyasztók hajlamosak túlfogyasztani a jobb egészséget elősegítő állításokkal ellátott élelmiszertermékeket, amely jelenség „</w:t>
      </w:r>
      <w:proofErr w:type="spellStart"/>
      <w:r w:rsidRPr="00A024AC">
        <w:t>halo</w:t>
      </w:r>
      <w:proofErr w:type="spellEnd"/>
      <w:r w:rsidRPr="00A024AC">
        <w:t xml:space="preserve">-effektus” néven ismert; </w:t>
      </w:r>
      <w:r w:rsidRPr="00A024AC">
        <w:lastRenderedPageBreak/>
        <w:t>javasolja mind a minimális, mind a maximális felhasználási értékek feltüntetését valamennyi élelmiszer és táplálékkiegészítő tápanyagokat feltüntető a termékcímkéjén, valamint azt az ajánlást, hogy a fogyasztók az étrend-kiegészítők fogyasztása előtt konzultáljanak egészségügyi szakemberrel, különösen az egyes kezelésekkel való esetleges káros kölcsönhatások, valamint a potenciális étkezési zavarok megerősítésének elkerülése</w:t>
      </w:r>
      <w:proofErr w:type="gramEnd"/>
      <w:r w:rsidRPr="00A024AC">
        <w:t xml:space="preserve"> érdekében; kiemeli, hogy az információs aszimmetria várhatóan fennmarad a gyorsan változó élelmiszer-környezetben, és felszólít az </w:t>
      </w:r>
      <w:proofErr w:type="gramStart"/>
      <w:r w:rsidRPr="00A024AC">
        <w:t>állítások</w:t>
      </w:r>
      <w:proofErr w:type="gramEnd"/>
      <w:r w:rsidRPr="00A024AC">
        <w:t xml:space="preserve"> fogyasztók általi megértésével kapcsolatos kutatások finanszírozására;</w:t>
      </w:r>
    </w:p>
    <w:p w:rsidR="00CD35B3" w:rsidRPr="00A024AC" w:rsidRDefault="00CD35B3" w:rsidP="00CD35B3">
      <w:pPr>
        <w:pStyle w:val="NormalHanging12a"/>
      </w:pPr>
      <w:proofErr w:type="gramStart"/>
      <w:r w:rsidRPr="00A024AC">
        <w:t>8.</w:t>
      </w:r>
      <w:r w:rsidRPr="00A024AC">
        <w:tab/>
        <w:t>sajnálatát fejezi ki a fogyasztók élelmiszerekkel kapcsolatos tájékoztatásáról szóló 1169/2011/EU rendelet felülvizsgálatára irányuló javaslat késedelme miatt a csomagolás elülső oldalán feltüntetett tápértékjelölési címkék tekintetében, amelyek már bizonyították, hogy hatékonyan segítik a fogyasztókat az egészségesebb ételek és italok kiválasztásában; kéri a Bizottságot és a tagállamokat, hogy ösztönözzék és segítsék a fogyasztókat az élelmiszerekkel kapcsolatos tájékozott, egészséges és fenntartható döntések meghozatalában a csomagolás elülső oldalán feltüntetett kötelező, harmonizált uniós</w:t>
      </w:r>
      <w:proofErr w:type="gramEnd"/>
      <w:r w:rsidRPr="00A024AC">
        <w:t xml:space="preserve"> </w:t>
      </w:r>
      <w:proofErr w:type="gramStart"/>
      <w:r w:rsidRPr="00A024AC">
        <w:t xml:space="preserve">tápértékjelölés mihamarabbi elfogadásával, amely jelölés megbízható és független tudományos bizonyítékokon és a fogyasztók bizonyított megértésén alapul; </w:t>
      </w:r>
      <w:proofErr w:type="spellStart"/>
      <w:r w:rsidRPr="00A024AC">
        <w:t>megjegyzi</w:t>
      </w:r>
      <w:proofErr w:type="spellEnd"/>
      <w:r w:rsidRPr="00A024AC">
        <w:t>, hogy tanulmányok azt mutatják, hogy az élelmiszerek egészségre gyakorolt hatásai nem magyarázhatók kizárólag a tápértékkel, hanem a feldolgozás szintjével is, különösen az extrém mértékben feldolgozott élelmiszerek esetében; hangsúlyozza ezért, hogy az élelmiszerek feldolgozására vonatkozó tájékoztatásnak a csomagolás elülső oldalán található értelmező tápértékcímkéken való feltüntetése a közegészség és a fogyasztók érdekét szolgálhatja,</w:t>
      </w:r>
      <w:proofErr w:type="gramEnd"/>
      <w:r w:rsidRPr="00A024AC">
        <w:t xml:space="preserve"> </w:t>
      </w:r>
      <w:proofErr w:type="gramStart"/>
      <w:r w:rsidRPr="00A024AC">
        <w:t>és</w:t>
      </w:r>
      <w:proofErr w:type="gramEnd"/>
      <w:r w:rsidRPr="00A024AC">
        <w:t xml:space="preserve"> hatékonyan segítheti a fogyasztókat abban, hogy egészségesebb élelmiszereket válasszanak; szabályozási intézkedéseket szorgalmaz a magasan feldolgozott élelmiszerek által a közegészségügyre nehezedő terhek csökkentése érdekében;</w:t>
      </w:r>
    </w:p>
    <w:p w:rsidR="00CD35B3" w:rsidRPr="00A024AC" w:rsidRDefault="00CD35B3" w:rsidP="00CD35B3">
      <w:pPr>
        <w:pStyle w:val="NormalHanging12a"/>
        <w:rPr>
          <w:b/>
          <w:i/>
        </w:rPr>
      </w:pPr>
      <w:r w:rsidRPr="00A024AC">
        <w:rPr>
          <w:b/>
          <w:i/>
        </w:rPr>
        <w:t>Az állítások relevanciája</w:t>
      </w:r>
    </w:p>
    <w:p w:rsidR="00CD35B3" w:rsidRPr="00A024AC" w:rsidRDefault="00CD35B3" w:rsidP="00CD35B3">
      <w:pPr>
        <w:pStyle w:val="NormalHanging12a"/>
        <w:rPr>
          <w:szCs w:val="24"/>
        </w:rPr>
      </w:pPr>
      <w:r w:rsidRPr="00A024AC">
        <w:t>9.</w:t>
      </w:r>
      <w:r w:rsidRPr="00A024AC">
        <w:tab/>
      </w:r>
      <w:proofErr w:type="spellStart"/>
      <w:r w:rsidRPr="00A024AC">
        <w:t>megjegyzi</w:t>
      </w:r>
      <w:proofErr w:type="spellEnd"/>
      <w:r w:rsidRPr="00A024AC">
        <w:t xml:space="preserve">, hogy az uniós piacon alkalmazott állítások közül sok olyan tápanyagokra vonatkozik, amelyek nagyon kevés európai fogyasztó étrendjéből hiányoznak; felhívja a Bizottságot, hogy vizsgálja meg annak jogi lehetőségét, hogy az EFSA hatásköre az ilyen állítások tudományos megalapozottságának vizsgálata mellett az alkalmazásuk relevanciájára is kiterjedjen; határozottan támogatja, hogy az EFSA folyamatosan </w:t>
      </w:r>
      <w:proofErr w:type="spellStart"/>
      <w:r w:rsidRPr="00A024AC">
        <w:t>közzétegye</w:t>
      </w:r>
      <w:proofErr w:type="spellEnd"/>
      <w:r w:rsidRPr="00A024AC">
        <w:t xml:space="preserve"> egy állítás alkalmazására vonatkozó megfelelő </w:t>
      </w:r>
      <w:proofErr w:type="gramStart"/>
      <w:r w:rsidRPr="00A024AC">
        <w:t>konkrét</w:t>
      </w:r>
      <w:proofErr w:type="gramEnd"/>
      <w:r w:rsidRPr="00A024AC">
        <w:t xml:space="preserve"> iránymutatásokat;</w:t>
      </w:r>
    </w:p>
    <w:p w:rsidR="00CD35B3" w:rsidRPr="00A024AC" w:rsidRDefault="00CD35B3" w:rsidP="00CD35B3">
      <w:pPr>
        <w:pStyle w:val="NormalHanging12a"/>
        <w:rPr>
          <w:szCs w:val="24"/>
        </w:rPr>
      </w:pPr>
      <w:r w:rsidRPr="00A024AC">
        <w:t>10.</w:t>
      </w:r>
      <w:r w:rsidRPr="00A024AC">
        <w:tab/>
        <w:t>felhívja a Bizottságot, hogy értékelje annak lehetőségét, hogy a „hozzáadott cukrot nem tartalmazó” tápanyag-összetételre vonatkozó, engedélyezett állítás alkalmazását az édesítőszereket vagy nagy mennyiségű szabad cukrokat tartalmazó termékek esetében korlátozzák;</w:t>
      </w:r>
    </w:p>
    <w:p w:rsidR="00CD35B3" w:rsidRPr="00A024AC" w:rsidRDefault="00CD35B3" w:rsidP="00CD35B3">
      <w:pPr>
        <w:pStyle w:val="NormalHanging12a"/>
        <w:rPr>
          <w:szCs w:val="24"/>
        </w:rPr>
      </w:pPr>
      <w:r w:rsidRPr="00A024AC">
        <w:t>11.</w:t>
      </w:r>
      <w:r w:rsidRPr="00A024AC">
        <w:tab/>
        <w:t xml:space="preserve">kiemeli, hogy még ha az anyatej-helyettesítő tápszerekre vonatkozó állítások tudományosan megalapozottak is, például az egészségre vonatkozó állítás: „a DHA-bevitel 12 hónapos korig hozzájárul csecsemők látásának </w:t>
      </w:r>
      <w:proofErr w:type="gramStart"/>
      <w:r w:rsidRPr="00A024AC">
        <w:t>normális</w:t>
      </w:r>
      <w:proofErr w:type="gramEnd"/>
      <w:r w:rsidRPr="00A024AC">
        <w:t xml:space="preserve"> fejlődéséhez”, használatuknak el kell kerülnie a csecsemőtáplálkozási döntések befolyásolását és az </w:t>
      </w:r>
      <w:r w:rsidRPr="00A024AC">
        <w:lastRenderedPageBreak/>
        <w:t>anyatej-helyettesítő tápszerek fejlesztésének korlátozását</w:t>
      </w:r>
      <w:r w:rsidRPr="00A024AC">
        <w:rPr>
          <w:szCs w:val="24"/>
          <w:vertAlign w:val="superscript"/>
        </w:rPr>
        <w:footnoteReference w:id="23"/>
      </w:r>
      <w:r w:rsidRPr="00A024AC">
        <w:t xml:space="preserve">; </w:t>
      </w:r>
    </w:p>
    <w:p w:rsidR="00CD35B3" w:rsidRPr="00A024AC" w:rsidRDefault="00CD35B3" w:rsidP="00CD35B3">
      <w:pPr>
        <w:pStyle w:val="NormalHanging12a"/>
      </w:pPr>
      <w:r w:rsidRPr="00A024AC">
        <w:t>12.</w:t>
      </w:r>
      <w:r w:rsidRPr="00A024AC">
        <w:tab/>
        <w:t xml:space="preserve">támogatja a gyártók és az EFSA közötti előzetes </w:t>
      </w:r>
      <w:proofErr w:type="gramStart"/>
      <w:r w:rsidRPr="00A024AC">
        <w:t>konzultációk</w:t>
      </w:r>
      <w:proofErr w:type="gramEnd"/>
      <w:r w:rsidRPr="00A024AC">
        <w:t xml:space="preserve"> létrehozását annak érdekében, hogy az EFSA a függetlenségének tiszteletben tartása mellett az állítás iránti kérelem benyújtásával összefüggésben ismertethesse elvárásait;</w:t>
      </w:r>
    </w:p>
    <w:p w:rsidR="00CD35B3" w:rsidRPr="00A024AC" w:rsidRDefault="00CD35B3" w:rsidP="00CD35B3">
      <w:pPr>
        <w:pStyle w:val="NormalHanging12a"/>
        <w:rPr>
          <w:b/>
          <w:i/>
        </w:rPr>
      </w:pPr>
      <w:r w:rsidRPr="00A024AC">
        <w:rPr>
          <w:b/>
          <w:i/>
        </w:rPr>
        <w:t>Növényi eredetű anyagok</w:t>
      </w:r>
    </w:p>
    <w:p w:rsidR="00CD35B3" w:rsidRPr="00A024AC" w:rsidRDefault="00CD35B3" w:rsidP="00CD35B3">
      <w:pPr>
        <w:pStyle w:val="NormalHanging12a"/>
        <w:rPr>
          <w:szCs w:val="22"/>
        </w:rPr>
      </w:pPr>
      <w:proofErr w:type="gramStart"/>
      <w:r w:rsidRPr="00A024AC">
        <w:t>13.</w:t>
      </w:r>
      <w:r w:rsidRPr="00A024AC">
        <w:tab/>
        <w:t>rámutat arra, hogy a növényi anyagok élelmiszerként vagy gyógyszerként való besorolásának uniós szintű harmonizációjának hiánya azt jelenti, hogy egy növényi anyag az egyik tagállamban „élelmiszerként”, egy másikban pedig „gyógyszerként” címkézhető; hangsúlyozza, hogy az ilyen következetlenségek kihívást jelentenek a gyártók és a szabályozók számára, és negatívan befolyásolhatják a fogyasztók biztonságát és jóllétét, mivel a fogyasztók számára nehéz különbséget tenni a hagyományos növényi gyógyszerek és az ugyanazon növényi anyag(ok)</w:t>
      </w:r>
      <w:proofErr w:type="spellStart"/>
      <w:r w:rsidRPr="00A024AC">
        <w:t>on</w:t>
      </w:r>
      <w:proofErr w:type="spellEnd"/>
      <w:r w:rsidRPr="00A024AC">
        <w:t xml:space="preserve"> alapuló növényi étrend-kiegészítők között, ami félreértésekhez</w:t>
      </w:r>
      <w:proofErr w:type="gramEnd"/>
      <w:r w:rsidRPr="00A024AC">
        <w:t xml:space="preserve"> </w:t>
      </w:r>
      <w:proofErr w:type="gramStart"/>
      <w:r w:rsidRPr="00A024AC">
        <w:t>vezethet</w:t>
      </w:r>
      <w:proofErr w:type="gramEnd"/>
      <w:r w:rsidRPr="00A024AC">
        <w:t xml:space="preserve"> a használatukkal kapcsolatban;</w:t>
      </w:r>
    </w:p>
    <w:p w:rsidR="00CD35B3" w:rsidRPr="00A024AC" w:rsidRDefault="00CD35B3" w:rsidP="00CD35B3">
      <w:pPr>
        <w:pStyle w:val="NormalHanging12a"/>
      </w:pPr>
      <w:r w:rsidRPr="00A024AC">
        <w:t>14</w:t>
      </w:r>
      <w:r w:rsidR="001B5801">
        <w:t>.</w:t>
      </w:r>
      <w:r w:rsidRPr="00A024AC">
        <w:tab/>
        <w:t>rámutat az élelmiszerekben és étrend-kiegészítőkben használt növényi anyagok uniós pozitív vagy negatív listájának hiányára, valamint a növényi anyagok jótékony vagy káros egészségügyi hatásainak átfogó listájának hiányára, ami a tagállamok közötti jogszabályi különbségeket, a piac széttagoltságát és a fogyasztókhoz jutó potenciálisan nem biztonságos termékeket eredményez;</w:t>
      </w:r>
    </w:p>
    <w:p w:rsidR="00CD35B3" w:rsidRPr="00A024AC" w:rsidRDefault="00CD35B3" w:rsidP="00CD35B3">
      <w:pPr>
        <w:pStyle w:val="NormalHanging12a"/>
      </w:pPr>
      <w:proofErr w:type="gramStart"/>
      <w:r w:rsidRPr="00A024AC">
        <w:t>15.</w:t>
      </w:r>
      <w:r w:rsidRPr="00A024AC">
        <w:tab/>
        <w:t>helyteleníti a növényi anyagokra vonatkozó állítások értékelésének folyamatos felfüggesztését, és rámutat arra, hogy jelentős jogi aggályok merülnek fel a rendeletben foglalt átmeneti intézkedések keretében a „visszatartott” állítások további alkalmazásával kapcsolatban; hangsúlyozza, hogy feltétlenül foglalkozni kell a növényi anyagokra vonatkozó „visszatartott” állítások listájával, ezen állítások további értékelése révén, mivel ez a fogyasztóvédelem szempontjából sürgősen szükséges intézkedés, ahogy azt a rendeletről szóló 2020. évi bizottsági végrehajtási jelentés is megfogalmazza; súlyos</w:t>
      </w:r>
      <w:proofErr w:type="gramEnd"/>
      <w:r w:rsidRPr="00A024AC">
        <w:t xml:space="preserve"> </w:t>
      </w:r>
      <w:proofErr w:type="gramStart"/>
      <w:r w:rsidRPr="00A024AC">
        <w:t>aggodalmát</w:t>
      </w:r>
      <w:proofErr w:type="gramEnd"/>
      <w:r w:rsidRPr="00A024AC">
        <w:t xml:space="preserve"> fejezi ki amiatt, hogy a rendelet átmeneti intézkedései szerinti „visszatartott” állítások folyamatos alkalmazása félrevezetheti a fogyasztókat, és egészségügyi kockázatot jelent számukra, mivel tévesen feltételezhetik, hogy a „visszatartott” állításokat tudományosan értékelték és azok kockázatait kezelték;</w:t>
      </w:r>
    </w:p>
    <w:p w:rsidR="00CD35B3" w:rsidRPr="00A024AC" w:rsidRDefault="00CD35B3" w:rsidP="00CD35B3">
      <w:pPr>
        <w:pStyle w:val="NormalHanging12a"/>
      </w:pPr>
      <w:r w:rsidRPr="00A024AC">
        <w:t>16.</w:t>
      </w:r>
      <w:r w:rsidRPr="00A024AC">
        <w:tab/>
        <w:t>alapvető fontosságúnak tartja, hogy az EFSA és a Bizottság a rendelet rendelkezéseivel összhangban haladéktalanul felülvizsgálja az élelmiszerekben található növényi anyagokkal kapcsolatos, az egészségre vonatkozó „visszatartott” állításokat; felhívja a Bizottságot, hogy utasítsa el a „visszatartott” listán szereplő azon állításokat, amelyeket már negatívan értékeltek;</w:t>
      </w:r>
    </w:p>
    <w:p w:rsidR="00CD35B3" w:rsidRPr="00A024AC" w:rsidRDefault="00CD35B3" w:rsidP="00CD35B3">
      <w:pPr>
        <w:pStyle w:val="NormalHanging12a"/>
      </w:pPr>
      <w:r w:rsidRPr="00A024AC">
        <w:t>17.</w:t>
      </w:r>
      <w:r w:rsidRPr="00A024AC">
        <w:tab/>
        <w:t xml:space="preserve">sürgeti a tagállamokat, hogy hatékonyan működjenek együtt a növényi étrend-kiegészítőkre vonatkozó </w:t>
      </w:r>
      <w:proofErr w:type="gramStart"/>
      <w:r w:rsidRPr="00A024AC">
        <w:t>koordinált</w:t>
      </w:r>
      <w:proofErr w:type="gramEnd"/>
      <w:r w:rsidRPr="00A024AC">
        <w:t xml:space="preserve"> megközelítés kialakításában, és felhívja a Bizottságot, hogy e tekintetben adjon iránymutatást; felhívja a Bizottságot és a </w:t>
      </w:r>
      <w:r w:rsidRPr="00A024AC">
        <w:lastRenderedPageBreak/>
        <w:t>tagállamokat, hogy haladéktalanul állítsák össze a tagállamokban toxicitásuk vagy káros egészségügyi hatásaik alapján már azonosított, élelmiszerekhez használt növényi anyagok uniós szintű negatív listáját;</w:t>
      </w:r>
    </w:p>
    <w:p w:rsidR="00CD35B3" w:rsidRPr="00A024AC" w:rsidRDefault="00CD35B3" w:rsidP="00CD35B3">
      <w:pPr>
        <w:pStyle w:val="NormalHanging12a"/>
        <w:rPr>
          <w:b/>
        </w:rPr>
      </w:pPr>
      <w:r w:rsidRPr="00A024AC">
        <w:rPr>
          <w:b/>
          <w:i/>
        </w:rPr>
        <w:t>Végrehajtás</w:t>
      </w:r>
    </w:p>
    <w:p w:rsidR="00CD35B3" w:rsidRPr="00A024AC" w:rsidRDefault="00CD35B3" w:rsidP="00CD35B3">
      <w:pPr>
        <w:pStyle w:val="NormalHanging12a"/>
      </w:pPr>
      <w:r w:rsidRPr="00A024AC">
        <w:t>18.</w:t>
      </w:r>
      <w:r w:rsidRPr="00A024AC">
        <w:tab/>
        <w:t>felhívja a Bizottságot, hogy nyújtson frissített iránymutatást a rendelet kijátszására irányuló marketinggyakorlatok kezelésére;</w:t>
      </w:r>
    </w:p>
    <w:p w:rsidR="00CD35B3" w:rsidRPr="00A024AC" w:rsidRDefault="00CD35B3" w:rsidP="00CD35B3">
      <w:pPr>
        <w:pStyle w:val="NormalHanging12a"/>
        <w:rPr>
          <w:b/>
          <w:i/>
        </w:rPr>
      </w:pPr>
      <w:r w:rsidRPr="00A024AC">
        <w:t>19.</w:t>
      </w:r>
      <w:r w:rsidRPr="00A024AC">
        <w:tab/>
        <w:t>felhívja a Bizottságot és a tagállamokat, hogy hozzanak létre tudáshálózatot, amelynek célja a tápanyag-összetételre és egészségre vonatkozó állításokkal foglalkozó munkacsoport támogatása; rámutat, hogy ennek a hálózatnak támogatnia kell a bevált gyakorlatok cseréjének elősegítését, át kell hidalnia a tagállamok közötti értelmezési hiányosságokat, emellett kezelnie kell a végrehajtási egyenlőtlenségeket;</w:t>
      </w:r>
    </w:p>
    <w:p w:rsidR="00CD35B3" w:rsidRPr="00A024AC" w:rsidRDefault="00CD35B3" w:rsidP="00CD35B3">
      <w:pPr>
        <w:pStyle w:val="NormalHanging12a"/>
        <w:rPr>
          <w:b/>
        </w:rPr>
      </w:pPr>
      <w:r w:rsidRPr="00A024AC">
        <w:rPr>
          <w:b/>
          <w:i/>
        </w:rPr>
        <w:t>Egészségre vonatkozó állítások az online közlésekben</w:t>
      </w:r>
    </w:p>
    <w:p w:rsidR="00CD35B3" w:rsidRPr="00A024AC" w:rsidRDefault="00CD35B3" w:rsidP="00CD35B3">
      <w:pPr>
        <w:pStyle w:val="NormalHanging12a"/>
      </w:pPr>
      <w:r w:rsidRPr="00A024AC">
        <w:t>20.</w:t>
      </w:r>
      <w:r w:rsidRPr="00A024AC">
        <w:tab/>
        <w:t xml:space="preserve">kiemeli, hogy a rendeletet akkor fogadták el, amikor a közösségi média még nem játszott ilyen nagy szerepet az élelmiszerek és étrend-kiegészítők </w:t>
      </w:r>
      <w:proofErr w:type="gramStart"/>
      <w:r w:rsidRPr="00A024AC">
        <w:t>reklámozásában</w:t>
      </w:r>
      <w:proofErr w:type="gramEnd"/>
      <w:r w:rsidRPr="00A024AC">
        <w:t xml:space="preserve"> és értékesítésében; aggodalmát fejezi ki amiatt, hogy nem világos, hogy a rendelet milyen mértékben szabályozza hatékonyan az élelmiszerekkel kapcsolatos, egészségre vonatkozó online közléseket;</w:t>
      </w:r>
    </w:p>
    <w:p w:rsidR="00CD35B3" w:rsidRPr="00A024AC" w:rsidRDefault="00CD35B3" w:rsidP="00CD35B3">
      <w:pPr>
        <w:pStyle w:val="NormalHanging12a"/>
        <w:rPr>
          <w:szCs w:val="24"/>
        </w:rPr>
      </w:pPr>
      <w:proofErr w:type="gramStart"/>
      <w:r w:rsidRPr="00A024AC">
        <w:t>21.</w:t>
      </w:r>
      <w:r w:rsidRPr="00A024AC">
        <w:tab/>
        <w:t>aggodalmát fejezi ki a tápanyag-összetételre és egészségre vonatkozó, nem engedélyezett és félrevezető állítások online jelenléte miatt; hangsúlyozza, hogy biztosítani kell, hogy a rendelet továbbra is releváns maradjon az online környezetben, különösen azért, mert bizonyos kiszolgáltatott csoportok, például a gyermekek és a serdülők különösen érzékenyek lehetnek bizonyos, a közösségi médiában megosztott, egészségre vonatkozó állításokra és élelmiszerekre vonatkozó információkra, és ez kockázatot jelent a fizikai és mentális egészségükre; e tekintetben fontosnak tartja annak meghatározását,</w:t>
      </w:r>
      <w:proofErr w:type="gramEnd"/>
      <w:r w:rsidRPr="00A024AC">
        <w:t xml:space="preserve"> </w:t>
      </w:r>
      <w:proofErr w:type="gramStart"/>
      <w:r w:rsidRPr="00A024AC">
        <w:t>hogy</w:t>
      </w:r>
      <w:proofErr w:type="gramEnd"/>
      <w:r w:rsidRPr="00A024AC">
        <w:t xml:space="preserve"> mi minősül az élelmiszerekkel és étrend-kiegészítőkkel kapcsolatos kereskedelmi közlésnek a közösségi médiában;</w:t>
      </w:r>
    </w:p>
    <w:p w:rsidR="00CD35B3" w:rsidRPr="00A024AC" w:rsidRDefault="00CD35B3" w:rsidP="00CD35B3">
      <w:pPr>
        <w:pStyle w:val="NormalHanging12a"/>
      </w:pPr>
      <w:r w:rsidRPr="00A024AC">
        <w:t>22.</w:t>
      </w:r>
      <w:r w:rsidRPr="00A024AC">
        <w:tab/>
        <w:t xml:space="preserve">kéri, hogy szenteljenek újult figyelmet egy hatékony és az egész Unióra kiterjedő megközelítésnek a gyermekek és fiatalok magas zsír-, cukor- és </w:t>
      </w:r>
      <w:proofErr w:type="spellStart"/>
      <w:r w:rsidRPr="00A024AC">
        <w:t>sótartalmú</w:t>
      </w:r>
      <w:proofErr w:type="spellEnd"/>
      <w:r w:rsidRPr="00A024AC">
        <w:t xml:space="preserve"> feldolgozott élelmiszerek sugárzott és digitális médiában megjelenő </w:t>
      </w:r>
      <w:proofErr w:type="gramStart"/>
      <w:r w:rsidRPr="00A024AC">
        <w:t>reklámjainak</w:t>
      </w:r>
      <w:proofErr w:type="gramEnd"/>
      <w:r w:rsidRPr="00A024AC">
        <w:t xml:space="preserve"> és marketingjének való kitettsége elleni küzdelem érdekében; felhívja a Bizottságot jogalkotási lépések megfontolására e sebezhető fogyasztói csoport egészségének megőrzése érdekében;</w:t>
      </w:r>
    </w:p>
    <w:p w:rsidR="00CD35B3" w:rsidRPr="00A024AC" w:rsidRDefault="00CD35B3" w:rsidP="00CD35B3">
      <w:pPr>
        <w:pStyle w:val="NormalHanging12a"/>
      </w:pPr>
      <w:proofErr w:type="gramStart"/>
      <w:r w:rsidRPr="00A024AC">
        <w:t>23.</w:t>
      </w:r>
      <w:r w:rsidRPr="00A024AC">
        <w:tab/>
        <w:t xml:space="preserve">felkéri a Bizottságot, hogy dolgozzon ki átfogó iránymutatásokat a rendelet online végrehajtására; úgy véli, hogy ezeknek az iránymutatásoknak egyértelmű eljárásokat és szabványokat kell meghatározniuk az egészségre vonatkozó állítások online ellenőrzésére és szabályozására, biztosítva az ilyen állítások pontosságát és átláthatóságát, valamint a fogyasztók jóllétének védelmét, a digitális szolgáltatásokról szóló jogszabály keretében; rámutat a tagállamoknak és az </w:t>
      </w:r>
      <w:proofErr w:type="spellStart"/>
      <w:r w:rsidRPr="00A024AC">
        <w:t>onlineplatform</w:t>
      </w:r>
      <w:proofErr w:type="spellEnd"/>
      <w:r w:rsidRPr="00A024AC">
        <w:t>-szolgáltatóknak a digitális szolgáltatásokról szóló jogszabály által meghatározott felelősségi körére, nevezetesen</w:t>
      </w:r>
      <w:proofErr w:type="gramEnd"/>
      <w:r w:rsidRPr="00A024AC">
        <w:t xml:space="preserve"> az </w:t>
      </w:r>
      <w:proofErr w:type="gramStart"/>
      <w:r w:rsidRPr="00A024AC">
        <w:t>illegális</w:t>
      </w:r>
      <w:proofErr w:type="gramEnd"/>
      <w:r w:rsidRPr="00A024AC">
        <w:t xml:space="preserve"> tartalmak terjesztése elleni fellépésre, valamint az online hirdetések átláthatóságának biztosítására a fogyasztók számára;</w:t>
      </w:r>
    </w:p>
    <w:p w:rsidR="00CD35B3" w:rsidRPr="00A024AC" w:rsidRDefault="00CD35B3" w:rsidP="00CD35B3">
      <w:pPr>
        <w:pStyle w:val="NormalHanging12a"/>
        <w:rPr>
          <w:szCs w:val="24"/>
        </w:rPr>
      </w:pPr>
      <w:r w:rsidRPr="00A024AC">
        <w:t>24.</w:t>
      </w:r>
      <w:r w:rsidRPr="00A024AC">
        <w:tab/>
        <w:t xml:space="preserve">felhívja a Bizottságot és a tagállamokat, hogy hozzanak létre platformot a rendelet online végrehajtása bevált módszereinek megosztására és a tagállamok illetékes </w:t>
      </w:r>
      <w:r w:rsidRPr="00A024AC">
        <w:lastRenderedPageBreak/>
        <w:t>hatóságai közötti együttműködés ösztönzésére;</w:t>
      </w:r>
    </w:p>
    <w:p w:rsidR="00CD35B3" w:rsidRPr="00A024AC" w:rsidRDefault="00CD35B3" w:rsidP="00CD35B3">
      <w:pPr>
        <w:pStyle w:val="NormalHanging12a"/>
        <w:jc w:val="center"/>
      </w:pPr>
      <w:r w:rsidRPr="00A024AC">
        <w:t>°</w:t>
      </w:r>
    </w:p>
    <w:p w:rsidR="00CD35B3" w:rsidRPr="00A024AC" w:rsidRDefault="00CD35B3" w:rsidP="00CD35B3">
      <w:pPr>
        <w:pStyle w:val="NormalHanging12a"/>
        <w:jc w:val="center"/>
      </w:pPr>
      <w:r w:rsidRPr="00A024AC">
        <w:t>°</w:t>
      </w:r>
      <w:r w:rsidRPr="00A024AC">
        <w:tab/>
        <w:t>°</w:t>
      </w:r>
    </w:p>
    <w:p w:rsidR="00CD35B3" w:rsidRPr="00A024AC" w:rsidRDefault="00CD35B3" w:rsidP="00CD35B3">
      <w:r w:rsidRPr="00A024AC">
        <w:t>25.</w:t>
      </w:r>
      <w:r w:rsidRPr="00A024AC">
        <w:tab/>
        <w:t>utasítja elnökét, hogy továbbítsa ezt az állásfoglalást a Tanácsnak és a Bizottságnak.</w:t>
      </w:r>
    </w:p>
    <w:p w:rsidR="00E365E1" w:rsidRPr="00A024AC" w:rsidRDefault="00E365E1" w:rsidP="00A47775">
      <w:bookmarkStart w:id="9" w:name="TextBodyEnd"/>
      <w:bookmarkEnd w:id="9"/>
    </w:p>
    <w:sectPr w:rsidR="00E365E1" w:rsidRPr="00A024AC" w:rsidSect="00E50F2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775" w:rsidRPr="00E50F25" w:rsidRDefault="00A47775">
      <w:r w:rsidRPr="00E50F25">
        <w:separator/>
      </w:r>
    </w:p>
  </w:endnote>
  <w:endnote w:type="continuationSeparator" w:id="0">
    <w:p w:rsidR="00A47775" w:rsidRPr="00E50F25" w:rsidRDefault="00A47775">
      <w:r w:rsidRPr="00E50F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775" w:rsidRPr="00E50F25" w:rsidRDefault="00A47775">
      <w:r w:rsidRPr="00E50F25">
        <w:separator/>
      </w:r>
    </w:p>
  </w:footnote>
  <w:footnote w:type="continuationSeparator" w:id="0">
    <w:p w:rsidR="00A47775" w:rsidRPr="00E50F25" w:rsidRDefault="00A47775">
      <w:r w:rsidRPr="00E50F25">
        <w:continuationSeparator/>
      </w:r>
    </w:p>
  </w:footnote>
  <w:footnote w:id="1">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404., 2006.12.30</w:t>
      </w:r>
      <w:proofErr w:type="gramStart"/>
      <w:r w:rsidRPr="00E50F25">
        <w:rPr>
          <w:sz w:val="24"/>
          <w:lang w:val="hu-HU"/>
        </w:rPr>
        <w:t>.,</w:t>
      </w:r>
      <w:proofErr w:type="gramEnd"/>
      <w:r w:rsidRPr="00E50F25">
        <w:rPr>
          <w:sz w:val="24"/>
          <w:lang w:val="hu-HU"/>
        </w:rPr>
        <w:t xml:space="preserve"> 9. o.</w:t>
      </w:r>
    </w:p>
  </w:footnote>
  <w:footnote w:id="2">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31</w:t>
      </w:r>
      <w:proofErr w:type="gramStart"/>
      <w:r w:rsidRPr="00E50F25">
        <w:rPr>
          <w:sz w:val="24"/>
          <w:lang w:val="hu-HU"/>
        </w:rPr>
        <w:t>.,</w:t>
      </w:r>
      <w:proofErr w:type="gramEnd"/>
      <w:r w:rsidRPr="00E50F25">
        <w:rPr>
          <w:sz w:val="24"/>
          <w:lang w:val="hu-HU"/>
        </w:rPr>
        <w:t xml:space="preserve"> 2002.2.1., 1. o.</w:t>
      </w:r>
    </w:p>
  </w:footnote>
  <w:footnote w:id="3">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304., 2011.11.22</w:t>
      </w:r>
      <w:proofErr w:type="gramStart"/>
      <w:r w:rsidRPr="00E50F25">
        <w:rPr>
          <w:sz w:val="24"/>
          <w:lang w:val="hu-HU"/>
        </w:rPr>
        <w:t>.,</w:t>
      </w:r>
      <w:proofErr w:type="gramEnd"/>
      <w:r w:rsidRPr="00E50F25">
        <w:rPr>
          <w:sz w:val="24"/>
          <w:lang w:val="hu-HU"/>
        </w:rPr>
        <w:t xml:space="preserve"> 18. o.</w:t>
      </w:r>
    </w:p>
  </w:footnote>
  <w:footnote w:id="4">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183., 2002.7.12</w:t>
      </w:r>
      <w:proofErr w:type="gramStart"/>
      <w:r w:rsidRPr="00E50F25">
        <w:rPr>
          <w:sz w:val="24"/>
          <w:lang w:val="hu-HU"/>
        </w:rPr>
        <w:t>.,</w:t>
      </w:r>
      <w:proofErr w:type="gramEnd"/>
      <w:r w:rsidRPr="00E50F25">
        <w:rPr>
          <w:sz w:val="24"/>
          <w:lang w:val="hu-HU"/>
        </w:rPr>
        <w:t xml:space="preserve"> 51. o.</w:t>
      </w:r>
    </w:p>
  </w:footnote>
  <w:footnote w:id="5">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rStyle w:val="Emphasis"/>
          <w:color w:val="333333"/>
          <w:sz w:val="24"/>
          <w:shd w:val="clear" w:color="auto" w:fill="FFFFFF"/>
          <w:lang w:val="hu-HU"/>
        </w:rPr>
        <w:t xml:space="preserve"> </w:t>
      </w:r>
      <w:r w:rsidR="00E50F25" w:rsidRPr="00E50F25">
        <w:rPr>
          <w:rStyle w:val="Emphasis"/>
          <w:color w:val="333333"/>
          <w:sz w:val="24"/>
          <w:shd w:val="clear" w:color="auto" w:fill="FFFFFF"/>
          <w:lang w:val="hu-HU"/>
        </w:rPr>
        <w:tab/>
      </w:r>
      <w:r w:rsidRPr="00A024AC">
        <w:rPr>
          <w:rStyle w:val="Emphasis"/>
          <w:i w:val="0"/>
          <w:color w:val="333333"/>
          <w:sz w:val="24"/>
          <w:shd w:val="clear" w:color="auto" w:fill="FFFFFF"/>
          <w:lang w:val="hu-HU"/>
        </w:rPr>
        <w:t>HL L 404., 2006.12.30</w:t>
      </w:r>
      <w:proofErr w:type="gramStart"/>
      <w:r w:rsidRPr="00A024AC">
        <w:rPr>
          <w:rStyle w:val="Emphasis"/>
          <w:i w:val="0"/>
          <w:color w:val="333333"/>
          <w:sz w:val="24"/>
          <w:shd w:val="clear" w:color="auto" w:fill="FFFFFF"/>
          <w:lang w:val="hu-HU"/>
        </w:rPr>
        <w:t>.,</w:t>
      </w:r>
      <w:proofErr w:type="gramEnd"/>
      <w:r w:rsidRPr="00A024AC">
        <w:rPr>
          <w:rStyle w:val="Emphasis"/>
          <w:i w:val="0"/>
          <w:color w:val="333333"/>
          <w:sz w:val="24"/>
          <w:shd w:val="clear" w:color="auto" w:fill="FFFFFF"/>
          <w:lang w:val="hu-HU"/>
        </w:rPr>
        <w:t xml:space="preserve"> 26. o.</w:t>
      </w:r>
    </w:p>
  </w:footnote>
  <w:footnote w:id="6">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181., 2013.6.29</w:t>
      </w:r>
      <w:proofErr w:type="gramStart"/>
      <w:r w:rsidR="001B5801">
        <w:rPr>
          <w:sz w:val="24"/>
          <w:lang w:val="hu-HU"/>
        </w:rPr>
        <w:t>.</w:t>
      </w:r>
      <w:r w:rsidRPr="00E50F25">
        <w:rPr>
          <w:sz w:val="24"/>
          <w:lang w:val="hu-HU"/>
        </w:rPr>
        <w:t>,</w:t>
      </w:r>
      <w:proofErr w:type="gramEnd"/>
      <w:r w:rsidRPr="00E50F25">
        <w:rPr>
          <w:sz w:val="24"/>
          <w:lang w:val="hu-HU"/>
        </w:rPr>
        <w:t xml:space="preserve"> 35. o.</w:t>
      </w:r>
    </w:p>
  </w:footnote>
  <w:footnote w:id="7">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277., 2022.10.27</w:t>
      </w:r>
      <w:proofErr w:type="gramStart"/>
      <w:r w:rsidRPr="00E50F25">
        <w:rPr>
          <w:sz w:val="24"/>
          <w:lang w:val="hu-HU"/>
        </w:rPr>
        <w:t>.,</w:t>
      </w:r>
      <w:proofErr w:type="gramEnd"/>
      <w:r w:rsidRPr="00E50F25">
        <w:rPr>
          <w:sz w:val="24"/>
          <w:lang w:val="hu-HU"/>
        </w:rPr>
        <w:t xml:space="preserve"> 1. o.</w:t>
      </w:r>
    </w:p>
  </w:footnote>
  <w:footnote w:id="8">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L 107., 2021.3.26</w:t>
      </w:r>
      <w:proofErr w:type="gramStart"/>
      <w:r w:rsidRPr="00E50F25">
        <w:rPr>
          <w:sz w:val="24"/>
          <w:lang w:val="hu-HU"/>
        </w:rPr>
        <w:t>.,</w:t>
      </w:r>
      <w:proofErr w:type="gramEnd"/>
      <w:r w:rsidRPr="00E50F25">
        <w:rPr>
          <w:sz w:val="24"/>
          <w:lang w:val="hu-HU"/>
        </w:rPr>
        <w:t xml:space="preserve"> 1. o.</w:t>
      </w:r>
    </w:p>
  </w:footnote>
  <w:footnote w:id="9">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C 184., 2022.5.5</w:t>
      </w:r>
      <w:proofErr w:type="gramStart"/>
      <w:r w:rsidRPr="00E50F25">
        <w:rPr>
          <w:sz w:val="24"/>
          <w:lang w:val="hu-HU"/>
        </w:rPr>
        <w:t>.,</w:t>
      </w:r>
      <w:proofErr w:type="gramEnd"/>
      <w:r w:rsidRPr="00E50F25">
        <w:rPr>
          <w:sz w:val="24"/>
          <w:lang w:val="hu-HU"/>
        </w:rPr>
        <w:t xml:space="preserve"> 2. o.</w:t>
      </w:r>
    </w:p>
  </w:footnote>
  <w:footnote w:id="10">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Európai Élelmiszerbiztonsági Hatóság, „</w:t>
      </w:r>
      <w:proofErr w:type="spellStart"/>
      <w:r w:rsidRPr="00E50F25">
        <w:rPr>
          <w:sz w:val="24"/>
          <w:lang w:val="hu-HU"/>
        </w:rPr>
        <w:t>Tolerable</w:t>
      </w:r>
      <w:proofErr w:type="spellEnd"/>
      <w:r w:rsidRPr="00E50F25">
        <w:rPr>
          <w:sz w:val="24"/>
          <w:lang w:val="hu-HU"/>
        </w:rPr>
        <w:t xml:space="preserve"> </w:t>
      </w:r>
      <w:proofErr w:type="spellStart"/>
      <w:r w:rsidRPr="00E50F25">
        <w:rPr>
          <w:sz w:val="24"/>
          <w:lang w:val="hu-HU"/>
        </w:rPr>
        <w:t>upper</w:t>
      </w:r>
      <w:proofErr w:type="spellEnd"/>
      <w:r w:rsidRPr="00E50F25">
        <w:rPr>
          <w:sz w:val="24"/>
          <w:lang w:val="hu-HU"/>
        </w:rPr>
        <w:t xml:space="preserve"> </w:t>
      </w:r>
      <w:proofErr w:type="spellStart"/>
      <w:r w:rsidRPr="00E50F25">
        <w:rPr>
          <w:sz w:val="24"/>
          <w:lang w:val="hu-HU"/>
        </w:rPr>
        <w:t>intake</w:t>
      </w:r>
      <w:proofErr w:type="spellEnd"/>
      <w:r w:rsidRPr="00E50F25">
        <w:rPr>
          <w:sz w:val="24"/>
          <w:lang w:val="hu-HU"/>
        </w:rPr>
        <w:t xml:space="preserve"> </w:t>
      </w:r>
      <w:proofErr w:type="spellStart"/>
      <w:r w:rsidRPr="00E50F25">
        <w:rPr>
          <w:sz w:val="24"/>
          <w:lang w:val="hu-HU"/>
        </w:rPr>
        <w:t>level</w:t>
      </w:r>
      <w:proofErr w:type="spellEnd"/>
      <w:r w:rsidRPr="00E50F25">
        <w:rPr>
          <w:sz w:val="24"/>
          <w:lang w:val="hu-HU"/>
        </w:rPr>
        <w:t xml:space="preserve"> </w:t>
      </w:r>
      <w:proofErr w:type="spellStart"/>
      <w:r w:rsidRPr="00E50F25">
        <w:rPr>
          <w:sz w:val="24"/>
          <w:lang w:val="hu-HU"/>
        </w:rPr>
        <w:t>for</w:t>
      </w:r>
      <w:proofErr w:type="spellEnd"/>
      <w:r w:rsidRPr="00E50F25">
        <w:rPr>
          <w:sz w:val="24"/>
          <w:lang w:val="hu-HU"/>
        </w:rPr>
        <w:t xml:space="preserve"> </w:t>
      </w:r>
      <w:proofErr w:type="spellStart"/>
      <w:r w:rsidRPr="00E50F25">
        <w:rPr>
          <w:sz w:val="24"/>
          <w:lang w:val="hu-HU"/>
        </w:rPr>
        <w:t>dietary</w:t>
      </w:r>
      <w:proofErr w:type="spellEnd"/>
      <w:r w:rsidRPr="00E50F25">
        <w:rPr>
          <w:sz w:val="24"/>
          <w:lang w:val="hu-HU"/>
        </w:rPr>
        <w:t xml:space="preserve"> </w:t>
      </w:r>
      <w:proofErr w:type="spellStart"/>
      <w:r w:rsidRPr="00E50F25">
        <w:rPr>
          <w:sz w:val="24"/>
          <w:lang w:val="hu-HU"/>
        </w:rPr>
        <w:t>sugars</w:t>
      </w:r>
      <w:proofErr w:type="spellEnd"/>
      <w:r w:rsidRPr="00E50F25">
        <w:rPr>
          <w:sz w:val="24"/>
          <w:lang w:val="hu-HU"/>
        </w:rPr>
        <w:t>” (</w:t>
      </w:r>
      <w:r w:rsidRPr="00E50F25">
        <w:rPr>
          <w:i/>
          <w:iCs/>
          <w:sz w:val="24"/>
          <w:lang w:val="hu-HU"/>
        </w:rPr>
        <w:t>Az étrendben elfogyasztott cukrok megengedhető felső beviteli szintje</w:t>
      </w:r>
      <w:r w:rsidRPr="00E50F25">
        <w:rPr>
          <w:sz w:val="24"/>
          <w:lang w:val="hu-HU"/>
        </w:rPr>
        <w:t xml:space="preserve">), </w:t>
      </w:r>
      <w:r w:rsidRPr="00E50F25">
        <w:rPr>
          <w:i/>
          <w:iCs/>
          <w:sz w:val="24"/>
          <w:lang w:val="hu-HU"/>
        </w:rPr>
        <w:t>EFSA Journal</w:t>
      </w:r>
      <w:r w:rsidRPr="00E50F25">
        <w:rPr>
          <w:sz w:val="24"/>
          <w:lang w:val="hu-HU"/>
        </w:rPr>
        <w:t>, 20. kötet, 2. szám, Európai Élelmiszerbiztonsági Hatóság, 2021. december 15.</w:t>
      </w:r>
    </w:p>
  </w:footnote>
  <w:footnote w:id="11">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Egészségügyi Világszervezet, </w:t>
      </w:r>
      <w:r w:rsidRPr="00E50F25">
        <w:rPr>
          <w:i/>
          <w:iCs/>
          <w:sz w:val="24"/>
          <w:lang w:val="hu-HU"/>
        </w:rPr>
        <w:t>Táp</w:t>
      </w:r>
      <w:r w:rsidRPr="00E50F25">
        <w:rPr>
          <w:i/>
          <w:sz w:val="24"/>
          <w:lang w:val="hu-HU"/>
        </w:rPr>
        <w:t xml:space="preserve">értékjelölésre vonatkozó szakpolitikai tájékoztató, </w:t>
      </w:r>
      <w:r w:rsidRPr="00E50F25">
        <w:rPr>
          <w:sz w:val="24"/>
          <w:lang w:val="hu-HU"/>
        </w:rPr>
        <w:t>Egészségügyi Világszervezet, Genf, 2022.</w:t>
      </w:r>
    </w:p>
  </w:footnote>
  <w:footnote w:id="12">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Egészségügyi Világszervezet, </w:t>
      </w:r>
      <w:r w:rsidRPr="00E50F25">
        <w:rPr>
          <w:i/>
          <w:iCs/>
          <w:sz w:val="24"/>
          <w:lang w:val="hu-HU"/>
        </w:rPr>
        <w:t>Irányadó elvek és keretrendszer-útmutató az egészséges táplálkozást ösztönző, a csomagolás elülső oldalán történő jelöléshez</w:t>
      </w:r>
      <w:r w:rsidRPr="00E50F25">
        <w:rPr>
          <w:sz w:val="24"/>
          <w:lang w:val="hu-HU"/>
        </w:rPr>
        <w:t>, Egészségügyi Világszervezet, Genf, 2019.</w:t>
      </w:r>
    </w:p>
  </w:footnote>
  <w:footnote w:id="13">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UNICEF, </w:t>
      </w:r>
      <w:r w:rsidRPr="00E50F25">
        <w:rPr>
          <w:i/>
          <w:iCs/>
          <w:sz w:val="24"/>
          <w:lang w:val="hu-HU"/>
        </w:rPr>
        <w:t>„</w:t>
      </w:r>
      <w:proofErr w:type="spellStart"/>
      <w:r w:rsidRPr="00E50F25">
        <w:rPr>
          <w:i/>
          <w:iCs/>
          <w:sz w:val="24"/>
          <w:lang w:val="hu-HU"/>
        </w:rPr>
        <w:t>Children’s</w:t>
      </w:r>
      <w:proofErr w:type="spellEnd"/>
      <w:r w:rsidRPr="00E50F25">
        <w:rPr>
          <w:i/>
          <w:iCs/>
          <w:sz w:val="24"/>
          <w:lang w:val="hu-HU"/>
        </w:rPr>
        <w:t xml:space="preserve"> </w:t>
      </w:r>
      <w:proofErr w:type="spellStart"/>
      <w:r w:rsidRPr="00E50F25">
        <w:rPr>
          <w:i/>
          <w:iCs/>
          <w:sz w:val="24"/>
          <w:lang w:val="hu-HU"/>
        </w:rPr>
        <w:t>Rights</w:t>
      </w:r>
      <w:proofErr w:type="spellEnd"/>
      <w:r w:rsidRPr="00E50F25">
        <w:rPr>
          <w:i/>
          <w:iCs/>
          <w:sz w:val="24"/>
          <w:lang w:val="hu-HU"/>
        </w:rPr>
        <w:t xml:space="preserve"> in </w:t>
      </w:r>
      <w:proofErr w:type="spellStart"/>
      <w:r w:rsidRPr="00E50F25">
        <w:rPr>
          <w:i/>
          <w:iCs/>
          <w:sz w:val="24"/>
          <w:lang w:val="hu-HU"/>
        </w:rPr>
        <w:t>Impact</w:t>
      </w:r>
      <w:proofErr w:type="spellEnd"/>
      <w:r w:rsidRPr="00E50F25">
        <w:rPr>
          <w:i/>
          <w:iCs/>
          <w:sz w:val="24"/>
          <w:lang w:val="hu-HU"/>
        </w:rPr>
        <w:t xml:space="preserve"> </w:t>
      </w:r>
      <w:proofErr w:type="spellStart"/>
      <w:r w:rsidRPr="00E50F25">
        <w:rPr>
          <w:i/>
          <w:iCs/>
          <w:sz w:val="24"/>
          <w:lang w:val="hu-HU"/>
        </w:rPr>
        <w:t>Assessments</w:t>
      </w:r>
      <w:proofErr w:type="spellEnd"/>
      <w:r w:rsidRPr="00E50F25">
        <w:rPr>
          <w:i/>
          <w:iCs/>
          <w:sz w:val="24"/>
          <w:lang w:val="hu-HU"/>
        </w:rPr>
        <w:t xml:space="preserve">: A </w:t>
      </w:r>
      <w:proofErr w:type="spellStart"/>
      <w:r w:rsidRPr="00E50F25">
        <w:rPr>
          <w:i/>
          <w:iCs/>
          <w:sz w:val="24"/>
          <w:lang w:val="hu-HU"/>
        </w:rPr>
        <w:t>guide</w:t>
      </w:r>
      <w:proofErr w:type="spellEnd"/>
      <w:r w:rsidRPr="00E50F25">
        <w:rPr>
          <w:i/>
          <w:iCs/>
          <w:sz w:val="24"/>
          <w:lang w:val="hu-HU"/>
        </w:rPr>
        <w:t xml:space="preserve"> </w:t>
      </w:r>
      <w:proofErr w:type="spellStart"/>
      <w:r w:rsidRPr="00E50F25">
        <w:rPr>
          <w:i/>
          <w:iCs/>
          <w:sz w:val="24"/>
          <w:lang w:val="hu-HU"/>
        </w:rPr>
        <w:t>for</w:t>
      </w:r>
      <w:proofErr w:type="spellEnd"/>
      <w:r w:rsidRPr="00E50F25">
        <w:rPr>
          <w:i/>
          <w:iCs/>
          <w:sz w:val="24"/>
          <w:lang w:val="hu-HU"/>
        </w:rPr>
        <w:t xml:space="preserve"> </w:t>
      </w:r>
      <w:proofErr w:type="spellStart"/>
      <w:r w:rsidRPr="00E50F25">
        <w:rPr>
          <w:i/>
          <w:iCs/>
          <w:sz w:val="24"/>
          <w:lang w:val="hu-HU"/>
        </w:rPr>
        <w:t>integrating</w:t>
      </w:r>
      <w:proofErr w:type="spellEnd"/>
      <w:r w:rsidRPr="00E50F25">
        <w:rPr>
          <w:i/>
          <w:iCs/>
          <w:sz w:val="24"/>
          <w:lang w:val="hu-HU"/>
        </w:rPr>
        <w:t xml:space="preserve"> </w:t>
      </w:r>
      <w:proofErr w:type="spellStart"/>
      <w:r w:rsidRPr="00E50F25">
        <w:rPr>
          <w:i/>
          <w:iCs/>
          <w:sz w:val="24"/>
          <w:lang w:val="hu-HU"/>
        </w:rPr>
        <w:t>children’s</w:t>
      </w:r>
      <w:proofErr w:type="spellEnd"/>
      <w:r w:rsidRPr="00E50F25">
        <w:rPr>
          <w:i/>
          <w:iCs/>
          <w:sz w:val="24"/>
          <w:lang w:val="hu-HU"/>
        </w:rPr>
        <w:t xml:space="preserve"> </w:t>
      </w:r>
      <w:proofErr w:type="spellStart"/>
      <w:r w:rsidRPr="00E50F25">
        <w:rPr>
          <w:i/>
          <w:iCs/>
          <w:sz w:val="24"/>
          <w:lang w:val="hu-HU"/>
        </w:rPr>
        <w:t>rights</w:t>
      </w:r>
      <w:proofErr w:type="spellEnd"/>
      <w:r w:rsidRPr="00E50F25">
        <w:rPr>
          <w:i/>
          <w:iCs/>
          <w:sz w:val="24"/>
          <w:lang w:val="hu-HU"/>
        </w:rPr>
        <w:t xml:space="preserve"> </w:t>
      </w:r>
      <w:proofErr w:type="spellStart"/>
      <w:r w:rsidRPr="00E50F25">
        <w:rPr>
          <w:i/>
          <w:iCs/>
          <w:sz w:val="24"/>
          <w:lang w:val="hu-HU"/>
        </w:rPr>
        <w:t>into</w:t>
      </w:r>
      <w:proofErr w:type="spellEnd"/>
      <w:r w:rsidRPr="00E50F25">
        <w:rPr>
          <w:i/>
          <w:iCs/>
          <w:sz w:val="24"/>
          <w:lang w:val="hu-HU"/>
        </w:rPr>
        <w:t xml:space="preserve"> </w:t>
      </w:r>
      <w:proofErr w:type="spellStart"/>
      <w:r w:rsidRPr="00E50F25">
        <w:rPr>
          <w:i/>
          <w:iCs/>
          <w:sz w:val="24"/>
          <w:lang w:val="hu-HU"/>
        </w:rPr>
        <w:t>impact</w:t>
      </w:r>
      <w:proofErr w:type="spellEnd"/>
      <w:r w:rsidRPr="00E50F25">
        <w:rPr>
          <w:i/>
          <w:iCs/>
          <w:sz w:val="24"/>
          <w:lang w:val="hu-HU"/>
        </w:rPr>
        <w:t xml:space="preserve"> </w:t>
      </w:r>
      <w:proofErr w:type="spellStart"/>
      <w:r w:rsidRPr="00E50F25">
        <w:rPr>
          <w:i/>
          <w:iCs/>
          <w:sz w:val="24"/>
          <w:lang w:val="hu-HU"/>
        </w:rPr>
        <w:t>assessments</w:t>
      </w:r>
      <w:proofErr w:type="spellEnd"/>
      <w:r w:rsidRPr="00E50F25">
        <w:rPr>
          <w:i/>
          <w:iCs/>
          <w:sz w:val="24"/>
          <w:lang w:val="hu-HU"/>
        </w:rPr>
        <w:t xml:space="preserve"> and </w:t>
      </w:r>
      <w:proofErr w:type="spellStart"/>
      <w:r w:rsidRPr="00E50F25">
        <w:rPr>
          <w:i/>
          <w:iCs/>
          <w:sz w:val="24"/>
          <w:lang w:val="hu-HU"/>
        </w:rPr>
        <w:t>taking</w:t>
      </w:r>
      <w:proofErr w:type="spellEnd"/>
      <w:r w:rsidRPr="00E50F25">
        <w:rPr>
          <w:i/>
          <w:iCs/>
          <w:sz w:val="24"/>
          <w:lang w:val="hu-HU"/>
        </w:rPr>
        <w:t xml:space="preserve"> </w:t>
      </w:r>
      <w:proofErr w:type="spellStart"/>
      <w:r w:rsidRPr="00E50F25">
        <w:rPr>
          <w:i/>
          <w:iCs/>
          <w:sz w:val="24"/>
          <w:lang w:val="hu-HU"/>
        </w:rPr>
        <w:t>action</w:t>
      </w:r>
      <w:proofErr w:type="spellEnd"/>
      <w:r w:rsidRPr="00E50F25">
        <w:rPr>
          <w:i/>
          <w:iCs/>
          <w:sz w:val="24"/>
          <w:lang w:val="hu-HU"/>
        </w:rPr>
        <w:t xml:space="preserve"> </w:t>
      </w:r>
      <w:proofErr w:type="spellStart"/>
      <w:r w:rsidRPr="00E50F25">
        <w:rPr>
          <w:i/>
          <w:iCs/>
          <w:sz w:val="24"/>
          <w:lang w:val="hu-HU"/>
        </w:rPr>
        <w:t>for</w:t>
      </w:r>
      <w:proofErr w:type="spellEnd"/>
      <w:r w:rsidRPr="00E50F25">
        <w:rPr>
          <w:i/>
          <w:iCs/>
          <w:sz w:val="24"/>
          <w:lang w:val="hu-HU"/>
        </w:rPr>
        <w:t xml:space="preserve"> </w:t>
      </w:r>
      <w:proofErr w:type="spellStart"/>
      <w:r w:rsidRPr="00E50F25">
        <w:rPr>
          <w:i/>
          <w:iCs/>
          <w:sz w:val="24"/>
          <w:lang w:val="hu-HU"/>
        </w:rPr>
        <w:t>children</w:t>
      </w:r>
      <w:proofErr w:type="spellEnd"/>
      <w:r w:rsidRPr="00E50F25">
        <w:rPr>
          <w:i/>
          <w:iCs/>
          <w:sz w:val="24"/>
          <w:lang w:val="hu-HU"/>
        </w:rPr>
        <w:t>” [</w:t>
      </w:r>
      <w:proofErr w:type="gramStart"/>
      <w:r w:rsidRPr="00E50F25">
        <w:rPr>
          <w:i/>
          <w:iCs/>
          <w:sz w:val="24"/>
          <w:lang w:val="hu-HU"/>
        </w:rPr>
        <w:t>A</w:t>
      </w:r>
      <w:proofErr w:type="gramEnd"/>
      <w:r w:rsidRPr="00E50F25">
        <w:rPr>
          <w:i/>
          <w:iCs/>
          <w:sz w:val="24"/>
          <w:lang w:val="hu-HU"/>
        </w:rPr>
        <w:t xml:space="preserve"> gyermekek jogai a hatásvizsgálatokban: Útmutató a gyermekek jogainak a hatásvizsgálatokba való beépítéséhez és a gyermekek érdekében történő fellépéshez]</w:t>
      </w:r>
      <w:r w:rsidRPr="00E50F25">
        <w:rPr>
          <w:sz w:val="24"/>
          <w:lang w:val="hu-HU"/>
        </w:rPr>
        <w:t xml:space="preserve"> UNICEF, Genf, 2013. december.</w:t>
      </w:r>
      <w:r w:rsidR="00E50F25" w:rsidRPr="00E50F25">
        <w:rPr>
          <w:sz w:val="24"/>
          <w:lang w:val="hu-HU"/>
        </w:rPr>
        <w:t xml:space="preserve"> </w:t>
      </w:r>
    </w:p>
  </w:footnote>
  <w:footnote w:id="14">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A Bíróság 2016. július 14-i ítélete, </w:t>
      </w:r>
      <w:proofErr w:type="spellStart"/>
      <w:r w:rsidRPr="00E50F25">
        <w:rPr>
          <w:sz w:val="24"/>
          <w:lang w:val="hu-HU"/>
        </w:rPr>
        <w:t>Verband</w:t>
      </w:r>
      <w:proofErr w:type="spellEnd"/>
      <w:r w:rsidRPr="00E50F25">
        <w:rPr>
          <w:sz w:val="24"/>
          <w:lang w:val="hu-HU"/>
        </w:rPr>
        <w:t xml:space="preserve"> </w:t>
      </w:r>
      <w:proofErr w:type="spellStart"/>
      <w:r w:rsidRPr="00E50F25">
        <w:rPr>
          <w:sz w:val="24"/>
          <w:lang w:val="hu-HU"/>
        </w:rPr>
        <w:t>Sozialer</w:t>
      </w:r>
      <w:proofErr w:type="spellEnd"/>
      <w:r w:rsidRPr="00E50F25">
        <w:rPr>
          <w:sz w:val="24"/>
          <w:lang w:val="hu-HU"/>
        </w:rPr>
        <w:t xml:space="preserve"> </w:t>
      </w:r>
      <w:proofErr w:type="spellStart"/>
      <w:r w:rsidRPr="00E50F25">
        <w:rPr>
          <w:sz w:val="24"/>
          <w:lang w:val="hu-HU"/>
        </w:rPr>
        <w:t>Wettbewerb</w:t>
      </w:r>
      <w:proofErr w:type="spellEnd"/>
      <w:r w:rsidRPr="00E50F25">
        <w:rPr>
          <w:sz w:val="24"/>
          <w:lang w:val="hu-HU"/>
        </w:rPr>
        <w:t xml:space="preserve"> eV kontra </w:t>
      </w:r>
      <w:proofErr w:type="spellStart"/>
      <w:r w:rsidRPr="00E50F25">
        <w:rPr>
          <w:sz w:val="24"/>
          <w:lang w:val="hu-HU"/>
        </w:rPr>
        <w:t>Innova</w:t>
      </w:r>
      <w:proofErr w:type="spellEnd"/>
      <w:r w:rsidRPr="00E50F25">
        <w:rPr>
          <w:sz w:val="24"/>
          <w:lang w:val="hu-HU"/>
        </w:rPr>
        <w:t xml:space="preserve"> </w:t>
      </w:r>
      <w:proofErr w:type="spellStart"/>
      <w:r w:rsidRPr="00E50F25">
        <w:rPr>
          <w:sz w:val="24"/>
          <w:lang w:val="hu-HU"/>
        </w:rPr>
        <w:t>Vital</w:t>
      </w:r>
      <w:proofErr w:type="spellEnd"/>
      <w:r w:rsidRPr="00E50F25">
        <w:rPr>
          <w:sz w:val="24"/>
          <w:lang w:val="hu-HU"/>
        </w:rPr>
        <w:t xml:space="preserve"> GmbH, C-19/15, ECLI</w:t>
      </w:r>
      <w:proofErr w:type="gramStart"/>
      <w:r w:rsidRPr="00E50F25">
        <w:rPr>
          <w:sz w:val="24"/>
          <w:lang w:val="hu-HU"/>
        </w:rPr>
        <w:t>:EU</w:t>
      </w:r>
      <w:proofErr w:type="gramEnd"/>
      <w:r w:rsidRPr="00E50F25">
        <w:rPr>
          <w:sz w:val="24"/>
          <w:lang w:val="hu-HU"/>
        </w:rPr>
        <w:t>:C:2016:563.</w:t>
      </w:r>
    </w:p>
  </w:footnote>
  <w:footnote w:id="15">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Európai Bizottság, „</w:t>
      </w:r>
      <w:proofErr w:type="spellStart"/>
      <w:r w:rsidRPr="00E50F25">
        <w:rPr>
          <w:sz w:val="24"/>
          <w:lang w:val="hu-HU"/>
        </w:rPr>
        <w:t>Final</w:t>
      </w:r>
      <w:proofErr w:type="spellEnd"/>
      <w:r w:rsidRPr="00E50F25">
        <w:rPr>
          <w:sz w:val="24"/>
          <w:lang w:val="hu-HU"/>
        </w:rPr>
        <w:t xml:space="preserve"> </w:t>
      </w:r>
      <w:proofErr w:type="spellStart"/>
      <w:r w:rsidRPr="00E50F25">
        <w:rPr>
          <w:sz w:val="24"/>
          <w:lang w:val="hu-HU"/>
        </w:rPr>
        <w:t>Report</w:t>
      </w:r>
      <w:proofErr w:type="spellEnd"/>
      <w:r w:rsidRPr="00E50F25">
        <w:rPr>
          <w:sz w:val="24"/>
          <w:lang w:val="hu-HU"/>
        </w:rPr>
        <w:t xml:space="preserve"> </w:t>
      </w:r>
      <w:proofErr w:type="spellStart"/>
      <w:r w:rsidRPr="00E50F25">
        <w:rPr>
          <w:sz w:val="24"/>
          <w:lang w:val="hu-HU"/>
        </w:rPr>
        <w:t>Summary</w:t>
      </w:r>
      <w:proofErr w:type="spellEnd"/>
      <w:r w:rsidRPr="00E50F25">
        <w:rPr>
          <w:sz w:val="24"/>
          <w:lang w:val="hu-HU"/>
        </w:rPr>
        <w:t xml:space="preserve"> - CLYMBOL (</w:t>
      </w:r>
      <w:proofErr w:type="spellStart"/>
      <w:r w:rsidRPr="00E50F25">
        <w:rPr>
          <w:sz w:val="24"/>
          <w:lang w:val="hu-HU"/>
        </w:rPr>
        <w:t>Role</w:t>
      </w:r>
      <w:proofErr w:type="spellEnd"/>
      <w:r w:rsidRPr="00E50F25">
        <w:rPr>
          <w:sz w:val="24"/>
          <w:lang w:val="hu-HU"/>
        </w:rPr>
        <w:t xml:space="preserve"> of </w:t>
      </w:r>
      <w:proofErr w:type="spellStart"/>
      <w:r w:rsidRPr="00E50F25">
        <w:rPr>
          <w:sz w:val="24"/>
          <w:lang w:val="hu-HU"/>
        </w:rPr>
        <w:t>health-related</w:t>
      </w:r>
      <w:proofErr w:type="spellEnd"/>
      <w:r w:rsidRPr="00E50F25">
        <w:rPr>
          <w:sz w:val="24"/>
          <w:lang w:val="hu-HU"/>
        </w:rPr>
        <w:t xml:space="preserve"> </w:t>
      </w:r>
      <w:proofErr w:type="spellStart"/>
      <w:r w:rsidRPr="00E50F25">
        <w:rPr>
          <w:sz w:val="24"/>
          <w:lang w:val="hu-HU"/>
        </w:rPr>
        <w:t>claims</w:t>
      </w:r>
      <w:proofErr w:type="spellEnd"/>
      <w:r w:rsidRPr="00E50F25">
        <w:rPr>
          <w:sz w:val="24"/>
          <w:lang w:val="hu-HU"/>
        </w:rPr>
        <w:t xml:space="preserve"> and </w:t>
      </w:r>
      <w:proofErr w:type="spellStart"/>
      <w:r w:rsidRPr="00E50F25">
        <w:rPr>
          <w:sz w:val="24"/>
          <w:lang w:val="hu-HU"/>
        </w:rPr>
        <w:t>symbols</w:t>
      </w:r>
      <w:proofErr w:type="spellEnd"/>
      <w:r w:rsidRPr="00E50F25">
        <w:rPr>
          <w:sz w:val="24"/>
          <w:lang w:val="hu-HU"/>
        </w:rPr>
        <w:t xml:space="preserve"> in consumer </w:t>
      </w:r>
      <w:proofErr w:type="spellStart"/>
      <w:r w:rsidRPr="00E50F25">
        <w:rPr>
          <w:sz w:val="24"/>
          <w:lang w:val="hu-HU"/>
        </w:rPr>
        <w:t>behaviour</w:t>
      </w:r>
      <w:proofErr w:type="spellEnd"/>
      <w:r w:rsidRPr="00E50F25">
        <w:rPr>
          <w:sz w:val="24"/>
          <w:lang w:val="hu-HU"/>
        </w:rPr>
        <w:t xml:space="preserve">)” </w:t>
      </w:r>
      <w:r w:rsidRPr="00E50F25">
        <w:rPr>
          <w:i/>
          <w:iCs/>
          <w:sz w:val="24"/>
          <w:lang w:val="hu-HU"/>
        </w:rPr>
        <w:t>(Végső összefoglaló jelentés – CLYMBOL, Az egészséggel kapcsolatos állítások és jelképek szerepe a fogyasztói viselkedésben)</w:t>
      </w:r>
      <w:r w:rsidRPr="00E50F25">
        <w:rPr>
          <w:sz w:val="24"/>
          <w:lang w:val="hu-HU"/>
        </w:rPr>
        <w:t>, 2017. március 8.</w:t>
      </w:r>
    </w:p>
  </w:footnote>
  <w:footnote w:id="16">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proofErr w:type="spellStart"/>
      <w:r w:rsidRPr="00E50F25">
        <w:rPr>
          <w:sz w:val="24"/>
          <w:lang w:val="hu-HU"/>
        </w:rPr>
        <w:t>Pichierri</w:t>
      </w:r>
      <w:proofErr w:type="spellEnd"/>
      <w:r w:rsidRPr="00E50F25">
        <w:rPr>
          <w:sz w:val="24"/>
          <w:lang w:val="hu-HU"/>
        </w:rPr>
        <w:t xml:space="preserve"> M. és </w:t>
      </w:r>
      <w:proofErr w:type="spellStart"/>
      <w:r w:rsidRPr="00E50F25">
        <w:rPr>
          <w:sz w:val="24"/>
          <w:lang w:val="hu-HU"/>
        </w:rPr>
        <w:t>mtsai</w:t>
      </w:r>
      <w:proofErr w:type="spellEnd"/>
      <w:r w:rsidRPr="00E50F25">
        <w:rPr>
          <w:sz w:val="24"/>
          <w:lang w:val="hu-HU"/>
        </w:rPr>
        <w:t xml:space="preserve">, „The </w:t>
      </w:r>
      <w:proofErr w:type="spellStart"/>
      <w:r w:rsidRPr="00E50F25">
        <w:rPr>
          <w:sz w:val="24"/>
          <w:lang w:val="hu-HU"/>
        </w:rPr>
        <w:t>interplay</w:t>
      </w:r>
      <w:proofErr w:type="spellEnd"/>
      <w:r w:rsidRPr="00E50F25">
        <w:rPr>
          <w:sz w:val="24"/>
          <w:lang w:val="hu-HU"/>
        </w:rPr>
        <w:t xml:space="preserve"> </w:t>
      </w:r>
      <w:proofErr w:type="spellStart"/>
      <w:r w:rsidRPr="00E50F25">
        <w:rPr>
          <w:sz w:val="24"/>
          <w:lang w:val="hu-HU"/>
        </w:rPr>
        <w:t>between</w:t>
      </w:r>
      <w:proofErr w:type="spellEnd"/>
      <w:r w:rsidRPr="00E50F25">
        <w:rPr>
          <w:sz w:val="24"/>
          <w:lang w:val="hu-HU"/>
        </w:rPr>
        <w:t xml:space="preserve"> </w:t>
      </w:r>
      <w:proofErr w:type="spellStart"/>
      <w:r w:rsidRPr="00E50F25">
        <w:rPr>
          <w:sz w:val="24"/>
          <w:lang w:val="hu-HU"/>
        </w:rPr>
        <w:t>health</w:t>
      </w:r>
      <w:proofErr w:type="spellEnd"/>
      <w:r w:rsidRPr="00E50F25">
        <w:rPr>
          <w:sz w:val="24"/>
          <w:lang w:val="hu-HU"/>
        </w:rPr>
        <w:t xml:space="preserve"> </w:t>
      </w:r>
      <w:proofErr w:type="spellStart"/>
      <w:r w:rsidRPr="00E50F25">
        <w:rPr>
          <w:sz w:val="24"/>
          <w:lang w:val="hu-HU"/>
        </w:rPr>
        <w:t>claim</w:t>
      </w:r>
      <w:proofErr w:type="spellEnd"/>
      <w:r w:rsidRPr="00E50F25">
        <w:rPr>
          <w:sz w:val="24"/>
          <w:lang w:val="hu-HU"/>
        </w:rPr>
        <w:t xml:space="preserve"> </w:t>
      </w:r>
      <w:proofErr w:type="spellStart"/>
      <w:r w:rsidRPr="00E50F25">
        <w:rPr>
          <w:sz w:val="24"/>
          <w:lang w:val="hu-HU"/>
        </w:rPr>
        <w:t>type</w:t>
      </w:r>
      <w:proofErr w:type="spellEnd"/>
      <w:r w:rsidRPr="00E50F25">
        <w:rPr>
          <w:sz w:val="24"/>
          <w:lang w:val="hu-HU"/>
        </w:rPr>
        <w:t xml:space="preserve"> and </w:t>
      </w:r>
      <w:proofErr w:type="spellStart"/>
      <w:r w:rsidRPr="00E50F25">
        <w:rPr>
          <w:sz w:val="24"/>
          <w:lang w:val="hu-HU"/>
        </w:rPr>
        <w:t>individual</w:t>
      </w:r>
      <w:proofErr w:type="spellEnd"/>
      <w:r w:rsidRPr="00E50F25">
        <w:rPr>
          <w:sz w:val="24"/>
          <w:lang w:val="hu-HU"/>
        </w:rPr>
        <w:t xml:space="preserve"> </w:t>
      </w:r>
      <w:proofErr w:type="spellStart"/>
      <w:r w:rsidRPr="00E50F25">
        <w:rPr>
          <w:sz w:val="24"/>
          <w:lang w:val="hu-HU"/>
        </w:rPr>
        <w:t>regulatory</w:t>
      </w:r>
      <w:proofErr w:type="spellEnd"/>
      <w:r w:rsidRPr="00E50F25">
        <w:rPr>
          <w:sz w:val="24"/>
          <w:lang w:val="hu-HU"/>
        </w:rPr>
        <w:t xml:space="preserve"> </w:t>
      </w:r>
      <w:proofErr w:type="spellStart"/>
      <w:r w:rsidRPr="00E50F25">
        <w:rPr>
          <w:sz w:val="24"/>
          <w:lang w:val="hu-HU"/>
        </w:rPr>
        <w:t>focus</w:t>
      </w:r>
      <w:proofErr w:type="spellEnd"/>
      <w:r w:rsidRPr="00E50F25">
        <w:rPr>
          <w:sz w:val="24"/>
          <w:lang w:val="hu-HU"/>
        </w:rPr>
        <w:t xml:space="preserve"> in </w:t>
      </w:r>
      <w:proofErr w:type="spellStart"/>
      <w:r w:rsidRPr="00E50F25">
        <w:rPr>
          <w:sz w:val="24"/>
          <w:lang w:val="hu-HU"/>
        </w:rPr>
        <w:t>determining</w:t>
      </w:r>
      <w:proofErr w:type="spellEnd"/>
      <w:r w:rsidRPr="00E50F25">
        <w:rPr>
          <w:sz w:val="24"/>
          <w:lang w:val="hu-HU"/>
        </w:rPr>
        <w:t xml:space="preserve"> </w:t>
      </w:r>
      <w:proofErr w:type="spellStart"/>
      <w:r w:rsidRPr="00E50F25">
        <w:rPr>
          <w:sz w:val="24"/>
          <w:lang w:val="hu-HU"/>
        </w:rPr>
        <w:t>consumers</w:t>
      </w:r>
      <w:proofErr w:type="spellEnd"/>
      <w:r w:rsidRPr="00E50F25">
        <w:rPr>
          <w:sz w:val="24"/>
          <w:lang w:val="hu-HU"/>
        </w:rPr>
        <w:t xml:space="preserve">’ </w:t>
      </w:r>
      <w:proofErr w:type="spellStart"/>
      <w:r w:rsidRPr="00E50F25">
        <w:rPr>
          <w:sz w:val="24"/>
          <w:lang w:val="hu-HU"/>
        </w:rPr>
        <w:t>intentions</w:t>
      </w:r>
      <w:proofErr w:type="spellEnd"/>
      <w:r w:rsidRPr="00E50F25">
        <w:rPr>
          <w:sz w:val="24"/>
          <w:lang w:val="hu-HU"/>
        </w:rPr>
        <w:t xml:space="preserve"> </w:t>
      </w:r>
      <w:proofErr w:type="spellStart"/>
      <w:r w:rsidRPr="00E50F25">
        <w:rPr>
          <w:sz w:val="24"/>
          <w:lang w:val="hu-HU"/>
        </w:rPr>
        <w:t>toward</w:t>
      </w:r>
      <w:proofErr w:type="spellEnd"/>
      <w:r w:rsidRPr="00E50F25">
        <w:rPr>
          <w:sz w:val="24"/>
          <w:lang w:val="hu-HU"/>
        </w:rPr>
        <w:t xml:space="preserve"> extra-</w:t>
      </w:r>
      <w:proofErr w:type="spellStart"/>
      <w:r w:rsidRPr="00E50F25">
        <w:rPr>
          <w:sz w:val="24"/>
          <w:lang w:val="hu-HU"/>
        </w:rPr>
        <w:t>virgin</w:t>
      </w:r>
      <w:proofErr w:type="spellEnd"/>
      <w:r w:rsidRPr="00E50F25">
        <w:rPr>
          <w:sz w:val="24"/>
          <w:lang w:val="hu-HU"/>
        </w:rPr>
        <w:t xml:space="preserve"> </w:t>
      </w:r>
      <w:proofErr w:type="spellStart"/>
      <w:r w:rsidRPr="00E50F25">
        <w:rPr>
          <w:sz w:val="24"/>
          <w:lang w:val="hu-HU"/>
        </w:rPr>
        <w:t>olive</w:t>
      </w:r>
      <w:proofErr w:type="spellEnd"/>
      <w:r w:rsidRPr="00E50F25">
        <w:rPr>
          <w:sz w:val="24"/>
          <w:lang w:val="hu-HU"/>
        </w:rPr>
        <w:t xml:space="preserve"> </w:t>
      </w:r>
      <w:proofErr w:type="spellStart"/>
      <w:r w:rsidRPr="00E50F25">
        <w:rPr>
          <w:sz w:val="24"/>
          <w:lang w:val="hu-HU"/>
        </w:rPr>
        <w:t>oil</w:t>
      </w:r>
      <w:proofErr w:type="spellEnd"/>
      <w:r w:rsidRPr="00E50F25">
        <w:rPr>
          <w:sz w:val="24"/>
          <w:lang w:val="hu-HU"/>
        </w:rPr>
        <w:t xml:space="preserve">” (Az egészségre vonatkozó állítás típusa és az egyéni szabályozási hangsúly közötti kapcsolat a fogyasztók extraszűz olívaolajhoz fűződő szándékainak meghatározásában), </w:t>
      </w:r>
      <w:proofErr w:type="spellStart"/>
      <w:r w:rsidRPr="00E50F25">
        <w:rPr>
          <w:i/>
          <w:iCs/>
          <w:sz w:val="24"/>
          <w:lang w:val="hu-HU"/>
        </w:rPr>
        <w:t>Food</w:t>
      </w:r>
      <w:proofErr w:type="spellEnd"/>
      <w:r w:rsidRPr="00E50F25">
        <w:rPr>
          <w:i/>
          <w:iCs/>
          <w:sz w:val="24"/>
          <w:lang w:val="hu-HU"/>
        </w:rPr>
        <w:t xml:space="preserve"> Research International, </w:t>
      </w:r>
      <w:r w:rsidRPr="00E50F25">
        <w:rPr>
          <w:sz w:val="24"/>
          <w:lang w:val="hu-HU"/>
        </w:rPr>
        <w:t xml:space="preserve">136. kötet, 109467. cikk, </w:t>
      </w:r>
      <w:proofErr w:type="spellStart"/>
      <w:r w:rsidRPr="00E50F25">
        <w:rPr>
          <w:sz w:val="24"/>
          <w:lang w:val="hu-HU"/>
        </w:rPr>
        <w:t>Elsevier</w:t>
      </w:r>
      <w:proofErr w:type="spellEnd"/>
      <w:r w:rsidRPr="00E50F25">
        <w:rPr>
          <w:sz w:val="24"/>
          <w:lang w:val="hu-HU"/>
        </w:rPr>
        <w:t>, 2020. október.</w:t>
      </w:r>
    </w:p>
  </w:footnote>
  <w:footnote w:id="17">
    <w:p w:rsidR="00CD35B3" w:rsidRPr="004B0F2F" w:rsidRDefault="00CD35B3" w:rsidP="00E50F25">
      <w:pPr>
        <w:pStyle w:val="FootnoteText"/>
        <w:ind w:left="567" w:hanging="567"/>
        <w:rPr>
          <w:sz w:val="24"/>
          <w:szCs w:val="24"/>
          <w:lang w:val="hu-HU"/>
        </w:rPr>
      </w:pPr>
      <w:r w:rsidRPr="004B0F2F">
        <w:rPr>
          <w:rStyle w:val="FootnoteReference"/>
          <w:sz w:val="24"/>
          <w:szCs w:val="24"/>
          <w:lang w:val="hu-HU"/>
        </w:rPr>
        <w:footnoteRef/>
      </w:r>
      <w:r w:rsidR="00E50F25" w:rsidRPr="004B0F2F">
        <w:rPr>
          <w:sz w:val="24"/>
          <w:szCs w:val="24"/>
          <w:lang w:val="hu-HU"/>
        </w:rPr>
        <w:t xml:space="preserve"> </w:t>
      </w:r>
      <w:r w:rsidR="00E50F25" w:rsidRPr="004B0F2F">
        <w:rPr>
          <w:sz w:val="24"/>
          <w:szCs w:val="24"/>
          <w:lang w:val="hu-HU"/>
        </w:rPr>
        <w:tab/>
      </w:r>
      <w:r w:rsidRPr="004B0F2F">
        <w:rPr>
          <w:sz w:val="24"/>
          <w:szCs w:val="24"/>
          <w:lang w:val="hu-HU"/>
        </w:rPr>
        <w:t xml:space="preserve">Egészségügyi Világszervezet, </w:t>
      </w:r>
      <w:hyperlink r:id="rId1" w:history="1">
        <w:proofErr w:type="gramStart"/>
        <w:r w:rsidRPr="004B0F2F">
          <w:rPr>
            <w:iCs/>
            <w:sz w:val="24"/>
            <w:szCs w:val="24"/>
          </w:rPr>
          <w:t>A</w:t>
        </w:r>
        <w:proofErr w:type="gramEnd"/>
        <w:r w:rsidRPr="004B0F2F">
          <w:rPr>
            <w:iCs/>
            <w:sz w:val="24"/>
            <w:szCs w:val="24"/>
          </w:rPr>
          <w:t xml:space="preserve"> WHO 2022. évi európai regionális jelentése az elhízásról</w:t>
        </w:r>
      </w:hyperlink>
      <w:r w:rsidRPr="004B0F2F">
        <w:rPr>
          <w:i/>
          <w:iCs/>
          <w:sz w:val="24"/>
          <w:szCs w:val="24"/>
          <w:lang w:val="hu-HU"/>
        </w:rPr>
        <w:t xml:space="preserve">, </w:t>
      </w:r>
      <w:r w:rsidRPr="004B0F2F">
        <w:rPr>
          <w:iCs/>
          <w:sz w:val="24"/>
          <w:szCs w:val="24"/>
          <w:lang w:val="hu-HU"/>
        </w:rPr>
        <w:t>E</w:t>
      </w:r>
      <w:r w:rsidRPr="004B0F2F">
        <w:rPr>
          <w:sz w:val="24"/>
          <w:szCs w:val="24"/>
          <w:lang w:val="hu-HU"/>
        </w:rPr>
        <w:t>gészségügyi Világszervezet, Genf, 2022.</w:t>
      </w:r>
    </w:p>
  </w:footnote>
  <w:footnote w:id="18">
    <w:p w:rsidR="00CD35B3" w:rsidRPr="00E50F25" w:rsidRDefault="00CD35B3" w:rsidP="00E50F25">
      <w:pPr>
        <w:pStyle w:val="FootnoteText"/>
        <w:ind w:left="567" w:hanging="567"/>
        <w:rPr>
          <w:rFonts w:eastAsia="Arial"/>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HL C 342., 2022.9.6</w:t>
      </w:r>
      <w:proofErr w:type="gramStart"/>
      <w:r w:rsidRPr="00E50F25">
        <w:rPr>
          <w:sz w:val="24"/>
          <w:lang w:val="hu-HU"/>
        </w:rPr>
        <w:t>.,</w:t>
      </w:r>
      <w:proofErr w:type="gramEnd"/>
      <w:r w:rsidRPr="00E50F25">
        <w:rPr>
          <w:sz w:val="24"/>
          <w:lang w:val="hu-HU"/>
        </w:rPr>
        <w:t xml:space="preserve"> 109. o.</w:t>
      </w:r>
    </w:p>
  </w:footnote>
  <w:footnote w:id="19">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Európai Élelmiszerbiztonsági Hatóság, </w:t>
      </w:r>
      <w:r w:rsidRPr="00E50F25">
        <w:rPr>
          <w:i/>
          <w:iCs/>
          <w:sz w:val="24"/>
          <w:lang w:val="hu-HU"/>
        </w:rPr>
        <w:t>Az EFSA ismerteti az étrendben elfogyasztott cukrok megengedhető felső beviteli szintjéről szóló tudományos szakvélemény tervezetét</w:t>
      </w:r>
      <w:r w:rsidRPr="00E50F25">
        <w:rPr>
          <w:sz w:val="24"/>
          <w:lang w:val="hu-HU"/>
        </w:rPr>
        <w:t>, Európai Élelmiszerbiztonsági Hatóság, 2021.</w:t>
      </w:r>
    </w:p>
  </w:footnote>
  <w:footnote w:id="20">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proofErr w:type="spellStart"/>
      <w:r w:rsidRPr="00E50F25">
        <w:rPr>
          <w:sz w:val="24"/>
          <w:lang w:val="hu-HU"/>
        </w:rPr>
        <w:t>Ashwell</w:t>
      </w:r>
      <w:proofErr w:type="spellEnd"/>
      <w:r w:rsidRPr="00E50F25">
        <w:rPr>
          <w:sz w:val="24"/>
          <w:lang w:val="hu-HU"/>
        </w:rPr>
        <w:t xml:space="preserve">, M. és </w:t>
      </w:r>
      <w:proofErr w:type="spellStart"/>
      <w:r w:rsidRPr="00E50F25">
        <w:rPr>
          <w:sz w:val="24"/>
          <w:lang w:val="hu-HU"/>
        </w:rPr>
        <w:t>mtsai</w:t>
      </w:r>
      <w:proofErr w:type="spellEnd"/>
      <w:proofErr w:type="gramStart"/>
      <w:r w:rsidRPr="00E50F25">
        <w:rPr>
          <w:sz w:val="24"/>
          <w:lang w:val="hu-HU"/>
        </w:rPr>
        <w:t>.,</w:t>
      </w:r>
      <w:proofErr w:type="gramEnd"/>
      <w:r w:rsidRPr="00E50F25">
        <w:rPr>
          <w:sz w:val="24"/>
          <w:lang w:val="hu-HU"/>
        </w:rPr>
        <w:t xml:space="preserve"> „</w:t>
      </w:r>
      <w:proofErr w:type="spellStart"/>
      <w:r w:rsidRPr="00E50F25">
        <w:rPr>
          <w:sz w:val="24"/>
          <w:lang w:val="hu-HU"/>
        </w:rPr>
        <w:t>Nature</w:t>
      </w:r>
      <w:proofErr w:type="spellEnd"/>
      <w:r w:rsidRPr="00E50F25">
        <w:rPr>
          <w:sz w:val="24"/>
          <w:lang w:val="hu-HU"/>
        </w:rPr>
        <w:t xml:space="preserve"> of </w:t>
      </w:r>
      <w:proofErr w:type="spellStart"/>
      <w:r w:rsidRPr="00E50F25">
        <w:rPr>
          <w:sz w:val="24"/>
          <w:lang w:val="hu-HU"/>
        </w:rPr>
        <w:t>the</w:t>
      </w:r>
      <w:proofErr w:type="spellEnd"/>
      <w:r w:rsidRPr="00E50F25">
        <w:rPr>
          <w:sz w:val="24"/>
          <w:lang w:val="hu-HU"/>
        </w:rPr>
        <w:t xml:space="preserve"> </w:t>
      </w:r>
      <w:proofErr w:type="spellStart"/>
      <w:r w:rsidRPr="00E50F25">
        <w:rPr>
          <w:sz w:val="24"/>
          <w:lang w:val="hu-HU"/>
        </w:rPr>
        <w:t>evidence</w:t>
      </w:r>
      <w:proofErr w:type="spellEnd"/>
      <w:r w:rsidRPr="00E50F25">
        <w:rPr>
          <w:sz w:val="24"/>
          <w:lang w:val="hu-HU"/>
        </w:rPr>
        <w:t xml:space="preserve"> </w:t>
      </w:r>
      <w:proofErr w:type="spellStart"/>
      <w:r w:rsidRPr="00E50F25">
        <w:rPr>
          <w:sz w:val="24"/>
          <w:lang w:val="hu-HU"/>
        </w:rPr>
        <w:t>base</w:t>
      </w:r>
      <w:proofErr w:type="spellEnd"/>
      <w:r w:rsidRPr="00E50F25">
        <w:rPr>
          <w:sz w:val="24"/>
          <w:lang w:val="hu-HU"/>
        </w:rPr>
        <w:t xml:space="preserve"> and </w:t>
      </w:r>
      <w:proofErr w:type="spellStart"/>
      <w:r w:rsidRPr="00E50F25">
        <w:rPr>
          <w:sz w:val="24"/>
          <w:lang w:val="hu-HU"/>
        </w:rPr>
        <w:t>strengths</w:t>
      </w:r>
      <w:proofErr w:type="spellEnd"/>
      <w:r w:rsidRPr="00E50F25">
        <w:rPr>
          <w:sz w:val="24"/>
          <w:lang w:val="hu-HU"/>
        </w:rPr>
        <w:t xml:space="preserve">, </w:t>
      </w:r>
      <w:proofErr w:type="spellStart"/>
      <w:r w:rsidRPr="00E50F25">
        <w:rPr>
          <w:sz w:val="24"/>
          <w:lang w:val="hu-HU"/>
        </w:rPr>
        <w:t>challenges</w:t>
      </w:r>
      <w:proofErr w:type="spellEnd"/>
      <w:r w:rsidRPr="00E50F25">
        <w:rPr>
          <w:sz w:val="24"/>
          <w:lang w:val="hu-HU"/>
        </w:rPr>
        <w:t xml:space="preserve"> and </w:t>
      </w:r>
      <w:proofErr w:type="spellStart"/>
      <w:r w:rsidRPr="00E50F25">
        <w:rPr>
          <w:sz w:val="24"/>
          <w:lang w:val="hu-HU"/>
        </w:rPr>
        <w:t>recommendations</w:t>
      </w:r>
      <w:proofErr w:type="spellEnd"/>
      <w:r w:rsidRPr="00E50F25">
        <w:rPr>
          <w:sz w:val="24"/>
          <w:lang w:val="hu-HU"/>
        </w:rPr>
        <w:t xml:space="preserve"> in </w:t>
      </w:r>
      <w:proofErr w:type="spellStart"/>
      <w:r w:rsidRPr="00E50F25">
        <w:rPr>
          <w:sz w:val="24"/>
          <w:lang w:val="hu-HU"/>
        </w:rPr>
        <w:t>the</w:t>
      </w:r>
      <w:proofErr w:type="spellEnd"/>
      <w:r w:rsidRPr="00E50F25">
        <w:rPr>
          <w:sz w:val="24"/>
          <w:lang w:val="hu-HU"/>
        </w:rPr>
        <w:t xml:space="preserve"> </w:t>
      </w:r>
      <w:proofErr w:type="spellStart"/>
      <w:r w:rsidRPr="00E50F25">
        <w:rPr>
          <w:sz w:val="24"/>
          <w:lang w:val="hu-HU"/>
        </w:rPr>
        <w:t>area</w:t>
      </w:r>
      <w:proofErr w:type="spellEnd"/>
      <w:r w:rsidRPr="00E50F25">
        <w:rPr>
          <w:sz w:val="24"/>
          <w:lang w:val="hu-HU"/>
        </w:rPr>
        <w:t xml:space="preserve"> of </w:t>
      </w:r>
      <w:proofErr w:type="spellStart"/>
      <w:r w:rsidRPr="00E50F25">
        <w:rPr>
          <w:sz w:val="24"/>
          <w:lang w:val="hu-HU"/>
        </w:rPr>
        <w:t>nutrition</w:t>
      </w:r>
      <w:proofErr w:type="spellEnd"/>
      <w:r w:rsidRPr="00E50F25">
        <w:rPr>
          <w:sz w:val="24"/>
          <w:lang w:val="hu-HU"/>
        </w:rPr>
        <w:t xml:space="preserve"> and </w:t>
      </w:r>
      <w:proofErr w:type="spellStart"/>
      <w:r w:rsidRPr="00E50F25">
        <w:rPr>
          <w:sz w:val="24"/>
          <w:lang w:val="hu-HU"/>
        </w:rPr>
        <w:t>health</w:t>
      </w:r>
      <w:proofErr w:type="spellEnd"/>
      <w:r w:rsidRPr="00E50F25">
        <w:rPr>
          <w:sz w:val="24"/>
          <w:lang w:val="hu-HU"/>
        </w:rPr>
        <w:t xml:space="preserve"> </w:t>
      </w:r>
      <w:proofErr w:type="spellStart"/>
      <w:r w:rsidRPr="00E50F25">
        <w:rPr>
          <w:sz w:val="24"/>
          <w:lang w:val="hu-HU"/>
        </w:rPr>
        <w:t>claims</w:t>
      </w:r>
      <w:proofErr w:type="spellEnd"/>
      <w:r w:rsidRPr="00E50F25">
        <w:rPr>
          <w:sz w:val="24"/>
          <w:lang w:val="hu-HU"/>
        </w:rPr>
        <w:t xml:space="preserve">: a </w:t>
      </w:r>
      <w:proofErr w:type="spellStart"/>
      <w:r w:rsidRPr="00E50F25">
        <w:rPr>
          <w:sz w:val="24"/>
          <w:lang w:val="hu-HU"/>
        </w:rPr>
        <w:t>position</w:t>
      </w:r>
      <w:proofErr w:type="spellEnd"/>
      <w:r w:rsidRPr="00E50F25">
        <w:rPr>
          <w:sz w:val="24"/>
          <w:lang w:val="hu-HU"/>
        </w:rPr>
        <w:t xml:space="preserve"> </w:t>
      </w:r>
      <w:proofErr w:type="spellStart"/>
      <w:r w:rsidRPr="00E50F25">
        <w:rPr>
          <w:sz w:val="24"/>
          <w:lang w:val="hu-HU"/>
        </w:rPr>
        <w:t>paper</w:t>
      </w:r>
      <w:proofErr w:type="spellEnd"/>
      <w:r w:rsidRPr="00E50F25">
        <w:rPr>
          <w:sz w:val="24"/>
          <w:lang w:val="hu-HU"/>
        </w:rPr>
        <w:t xml:space="preserve"> </w:t>
      </w:r>
      <w:proofErr w:type="spellStart"/>
      <w:r w:rsidRPr="00E50F25">
        <w:rPr>
          <w:sz w:val="24"/>
          <w:lang w:val="hu-HU"/>
        </w:rPr>
        <w:t>from</w:t>
      </w:r>
      <w:proofErr w:type="spellEnd"/>
      <w:r w:rsidRPr="00E50F25">
        <w:rPr>
          <w:sz w:val="24"/>
          <w:lang w:val="hu-HU"/>
        </w:rPr>
        <w:t xml:space="preserve"> </w:t>
      </w:r>
      <w:proofErr w:type="spellStart"/>
      <w:r w:rsidRPr="00E50F25">
        <w:rPr>
          <w:sz w:val="24"/>
          <w:lang w:val="hu-HU"/>
        </w:rPr>
        <w:t>the</w:t>
      </w:r>
      <w:proofErr w:type="spellEnd"/>
      <w:r w:rsidRPr="00E50F25">
        <w:rPr>
          <w:sz w:val="24"/>
          <w:lang w:val="hu-HU"/>
        </w:rPr>
        <w:t xml:space="preserve"> </w:t>
      </w:r>
      <w:proofErr w:type="spellStart"/>
      <w:r w:rsidRPr="00E50F25">
        <w:rPr>
          <w:sz w:val="24"/>
          <w:lang w:val="hu-HU"/>
        </w:rPr>
        <w:t>Academy</w:t>
      </w:r>
      <w:proofErr w:type="spellEnd"/>
      <w:r w:rsidRPr="00E50F25">
        <w:rPr>
          <w:sz w:val="24"/>
          <w:lang w:val="hu-HU"/>
        </w:rPr>
        <w:t xml:space="preserve"> of </w:t>
      </w:r>
      <w:proofErr w:type="spellStart"/>
      <w:r w:rsidRPr="00E50F25">
        <w:rPr>
          <w:sz w:val="24"/>
          <w:lang w:val="hu-HU"/>
        </w:rPr>
        <w:t>Nutrition</w:t>
      </w:r>
      <w:proofErr w:type="spellEnd"/>
      <w:r w:rsidRPr="00E50F25">
        <w:rPr>
          <w:sz w:val="24"/>
          <w:lang w:val="hu-HU"/>
        </w:rPr>
        <w:t xml:space="preserve"> </w:t>
      </w:r>
      <w:proofErr w:type="spellStart"/>
      <w:r w:rsidRPr="00E50F25">
        <w:rPr>
          <w:sz w:val="24"/>
          <w:lang w:val="hu-HU"/>
        </w:rPr>
        <w:t>Sciences</w:t>
      </w:r>
      <w:proofErr w:type="spellEnd"/>
      <w:r w:rsidRPr="00E50F25">
        <w:rPr>
          <w:sz w:val="24"/>
          <w:lang w:val="hu-HU"/>
        </w:rPr>
        <w:t xml:space="preserve">”, </w:t>
      </w:r>
      <w:r w:rsidRPr="00E50F25">
        <w:rPr>
          <w:i/>
          <w:iCs/>
          <w:sz w:val="24"/>
          <w:lang w:val="hu-HU"/>
        </w:rPr>
        <w:t xml:space="preserve">British Journal of </w:t>
      </w:r>
      <w:proofErr w:type="spellStart"/>
      <w:r w:rsidRPr="00E50F25">
        <w:rPr>
          <w:i/>
          <w:iCs/>
          <w:sz w:val="24"/>
          <w:lang w:val="hu-HU"/>
        </w:rPr>
        <w:t>Nutrition</w:t>
      </w:r>
      <w:proofErr w:type="spellEnd"/>
      <w:r w:rsidRPr="00E50F25">
        <w:rPr>
          <w:sz w:val="24"/>
          <w:lang w:val="hu-HU"/>
        </w:rPr>
        <w:t>, 130. kötet, 2. szám, 2023. július 28., 221–238. o.</w:t>
      </w:r>
    </w:p>
  </w:footnote>
  <w:footnote w:id="21">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Európai Unió, „</w:t>
      </w:r>
      <w:proofErr w:type="spellStart"/>
      <w:r w:rsidRPr="00E50F25">
        <w:rPr>
          <w:sz w:val="24"/>
          <w:lang w:val="hu-HU"/>
        </w:rPr>
        <w:t>Eurobarometer</w:t>
      </w:r>
      <w:proofErr w:type="spellEnd"/>
      <w:r w:rsidRPr="00E50F25">
        <w:rPr>
          <w:sz w:val="24"/>
          <w:lang w:val="hu-HU"/>
        </w:rPr>
        <w:t xml:space="preserve"> – </w:t>
      </w:r>
      <w:proofErr w:type="spellStart"/>
      <w:r w:rsidRPr="00E50F25">
        <w:rPr>
          <w:sz w:val="24"/>
          <w:lang w:val="hu-HU"/>
        </w:rPr>
        <w:t>Making</w:t>
      </w:r>
      <w:proofErr w:type="spellEnd"/>
      <w:r w:rsidRPr="00E50F25">
        <w:rPr>
          <w:sz w:val="24"/>
          <w:lang w:val="hu-HU"/>
        </w:rPr>
        <w:t xml:space="preserve"> </w:t>
      </w:r>
      <w:proofErr w:type="spellStart"/>
      <w:r w:rsidRPr="00E50F25">
        <w:rPr>
          <w:sz w:val="24"/>
          <w:lang w:val="hu-HU"/>
        </w:rPr>
        <w:t>our</w:t>
      </w:r>
      <w:proofErr w:type="spellEnd"/>
      <w:r w:rsidRPr="00E50F25">
        <w:rPr>
          <w:sz w:val="24"/>
          <w:lang w:val="hu-HU"/>
        </w:rPr>
        <w:t xml:space="preserve"> </w:t>
      </w:r>
      <w:proofErr w:type="spellStart"/>
      <w:r w:rsidRPr="00E50F25">
        <w:rPr>
          <w:sz w:val="24"/>
          <w:lang w:val="hu-HU"/>
        </w:rPr>
        <w:t>food</w:t>
      </w:r>
      <w:proofErr w:type="spellEnd"/>
      <w:r w:rsidRPr="00E50F25">
        <w:rPr>
          <w:sz w:val="24"/>
          <w:lang w:val="hu-HU"/>
        </w:rPr>
        <w:t xml:space="preserve"> fit </w:t>
      </w:r>
      <w:proofErr w:type="spellStart"/>
      <w:r w:rsidRPr="00E50F25">
        <w:rPr>
          <w:sz w:val="24"/>
          <w:lang w:val="hu-HU"/>
        </w:rPr>
        <w:t>for</w:t>
      </w:r>
      <w:proofErr w:type="spellEnd"/>
      <w:r w:rsidRPr="00E50F25">
        <w:rPr>
          <w:sz w:val="24"/>
          <w:lang w:val="hu-HU"/>
        </w:rPr>
        <w:t xml:space="preserve"> </w:t>
      </w:r>
      <w:proofErr w:type="spellStart"/>
      <w:r w:rsidRPr="00E50F25">
        <w:rPr>
          <w:sz w:val="24"/>
          <w:lang w:val="hu-HU"/>
        </w:rPr>
        <w:t>the</w:t>
      </w:r>
      <w:proofErr w:type="spellEnd"/>
      <w:r w:rsidRPr="00E50F25">
        <w:rPr>
          <w:sz w:val="24"/>
          <w:lang w:val="hu-HU"/>
        </w:rPr>
        <w:t xml:space="preserve"> </w:t>
      </w:r>
      <w:proofErr w:type="spellStart"/>
      <w:r w:rsidRPr="00E50F25">
        <w:rPr>
          <w:sz w:val="24"/>
          <w:lang w:val="hu-HU"/>
        </w:rPr>
        <w:t>future</w:t>
      </w:r>
      <w:proofErr w:type="spellEnd"/>
      <w:r w:rsidRPr="00E50F25">
        <w:rPr>
          <w:sz w:val="24"/>
          <w:lang w:val="hu-HU"/>
        </w:rPr>
        <w:t xml:space="preserve"> – </w:t>
      </w:r>
      <w:proofErr w:type="spellStart"/>
      <w:r w:rsidRPr="00E50F25">
        <w:rPr>
          <w:sz w:val="24"/>
          <w:lang w:val="hu-HU"/>
        </w:rPr>
        <w:t>new</w:t>
      </w:r>
      <w:proofErr w:type="spellEnd"/>
      <w:r w:rsidRPr="00E50F25">
        <w:rPr>
          <w:sz w:val="24"/>
          <w:lang w:val="hu-HU"/>
        </w:rPr>
        <w:t xml:space="preserve"> </w:t>
      </w:r>
      <w:proofErr w:type="spellStart"/>
      <w:r w:rsidRPr="00E50F25">
        <w:rPr>
          <w:sz w:val="24"/>
          <w:lang w:val="hu-HU"/>
        </w:rPr>
        <w:t>trends</w:t>
      </w:r>
      <w:proofErr w:type="spellEnd"/>
      <w:r w:rsidRPr="00E50F25">
        <w:rPr>
          <w:sz w:val="24"/>
          <w:lang w:val="hu-HU"/>
        </w:rPr>
        <w:t xml:space="preserve"> and </w:t>
      </w:r>
      <w:proofErr w:type="spellStart"/>
      <w:r w:rsidRPr="00E50F25">
        <w:rPr>
          <w:sz w:val="24"/>
          <w:lang w:val="hu-HU"/>
        </w:rPr>
        <w:t>challenges</w:t>
      </w:r>
      <w:proofErr w:type="spellEnd"/>
      <w:r w:rsidRPr="00E50F25">
        <w:rPr>
          <w:sz w:val="24"/>
          <w:lang w:val="hu-HU"/>
        </w:rPr>
        <w:t>”, 2020. október.</w:t>
      </w:r>
    </w:p>
  </w:footnote>
  <w:footnote w:id="22">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r w:rsidRPr="00E50F25">
        <w:rPr>
          <w:sz w:val="24"/>
          <w:lang w:val="hu-HU"/>
        </w:rPr>
        <w:t xml:space="preserve">A Bíróság 2017. június 8-i ítélete, </w:t>
      </w:r>
      <w:proofErr w:type="spellStart"/>
      <w:r w:rsidRPr="00E50F25">
        <w:rPr>
          <w:sz w:val="24"/>
          <w:lang w:val="hu-HU"/>
        </w:rPr>
        <w:t>Dextro</w:t>
      </w:r>
      <w:proofErr w:type="spellEnd"/>
      <w:r w:rsidRPr="00E50F25">
        <w:rPr>
          <w:sz w:val="24"/>
          <w:lang w:val="hu-HU"/>
        </w:rPr>
        <w:t xml:space="preserve"> </w:t>
      </w:r>
      <w:proofErr w:type="spellStart"/>
      <w:r w:rsidRPr="00E50F25">
        <w:rPr>
          <w:sz w:val="24"/>
          <w:lang w:val="hu-HU"/>
        </w:rPr>
        <w:t>Energy</w:t>
      </w:r>
      <w:proofErr w:type="spellEnd"/>
      <w:r w:rsidRPr="00E50F25">
        <w:rPr>
          <w:sz w:val="24"/>
          <w:lang w:val="hu-HU"/>
        </w:rPr>
        <w:t xml:space="preserve"> GmbH &amp; Co. KG kontra Európai Bizottság, C-296/16, ECLI</w:t>
      </w:r>
      <w:proofErr w:type="gramStart"/>
      <w:r w:rsidRPr="00E50F25">
        <w:rPr>
          <w:sz w:val="24"/>
          <w:lang w:val="hu-HU"/>
        </w:rPr>
        <w:t>:EU</w:t>
      </w:r>
      <w:proofErr w:type="gramEnd"/>
      <w:r w:rsidRPr="00E50F25">
        <w:rPr>
          <w:sz w:val="24"/>
          <w:lang w:val="hu-HU"/>
        </w:rPr>
        <w:t>:C:2017:437.</w:t>
      </w:r>
    </w:p>
  </w:footnote>
  <w:footnote w:id="23">
    <w:p w:rsidR="00CD35B3" w:rsidRPr="00E50F25" w:rsidRDefault="00CD35B3" w:rsidP="00E50F25">
      <w:pPr>
        <w:pStyle w:val="FootnoteText"/>
        <w:ind w:left="567" w:hanging="567"/>
        <w:rPr>
          <w:sz w:val="24"/>
          <w:lang w:val="hu-HU"/>
        </w:rPr>
      </w:pPr>
      <w:r w:rsidRPr="00E50F25">
        <w:rPr>
          <w:rStyle w:val="FootnoteReference"/>
          <w:sz w:val="24"/>
          <w:lang w:val="hu-HU"/>
        </w:rPr>
        <w:footnoteRef/>
      </w:r>
      <w:r w:rsidR="00E50F25" w:rsidRPr="00E50F25">
        <w:rPr>
          <w:sz w:val="24"/>
          <w:lang w:val="hu-HU"/>
        </w:rPr>
        <w:t xml:space="preserve"> </w:t>
      </w:r>
      <w:r w:rsidR="00E50F25" w:rsidRPr="00E50F25">
        <w:rPr>
          <w:sz w:val="24"/>
          <w:lang w:val="hu-HU"/>
        </w:rPr>
        <w:tab/>
      </w:r>
      <w:proofErr w:type="spellStart"/>
      <w:r w:rsidRPr="00E50F25">
        <w:rPr>
          <w:sz w:val="24"/>
          <w:lang w:val="hu-HU"/>
        </w:rPr>
        <w:t>Munblit</w:t>
      </w:r>
      <w:proofErr w:type="spellEnd"/>
      <w:r w:rsidRPr="00E50F25">
        <w:rPr>
          <w:sz w:val="24"/>
          <w:lang w:val="hu-HU"/>
        </w:rPr>
        <w:t xml:space="preserve">, D. és </w:t>
      </w:r>
      <w:proofErr w:type="spellStart"/>
      <w:r w:rsidRPr="00E50F25">
        <w:rPr>
          <w:sz w:val="24"/>
          <w:lang w:val="hu-HU"/>
        </w:rPr>
        <w:t>mtsai</w:t>
      </w:r>
      <w:proofErr w:type="spellEnd"/>
      <w:r w:rsidRPr="00E50F25">
        <w:rPr>
          <w:sz w:val="24"/>
          <w:lang w:val="hu-HU"/>
        </w:rPr>
        <w:t xml:space="preserve">, „Health and </w:t>
      </w:r>
      <w:proofErr w:type="spellStart"/>
      <w:r w:rsidRPr="00E50F25">
        <w:rPr>
          <w:sz w:val="24"/>
          <w:lang w:val="hu-HU"/>
        </w:rPr>
        <w:t>nutrition</w:t>
      </w:r>
      <w:proofErr w:type="spellEnd"/>
      <w:r w:rsidRPr="00E50F25">
        <w:rPr>
          <w:sz w:val="24"/>
          <w:lang w:val="hu-HU"/>
        </w:rPr>
        <w:t xml:space="preserve"> </w:t>
      </w:r>
      <w:proofErr w:type="spellStart"/>
      <w:r w:rsidRPr="00E50F25">
        <w:rPr>
          <w:sz w:val="24"/>
          <w:lang w:val="hu-HU"/>
        </w:rPr>
        <w:t>claims</w:t>
      </w:r>
      <w:proofErr w:type="spellEnd"/>
      <w:r w:rsidRPr="00E50F25">
        <w:rPr>
          <w:sz w:val="24"/>
          <w:lang w:val="hu-HU"/>
        </w:rPr>
        <w:t xml:space="preserve"> </w:t>
      </w:r>
      <w:proofErr w:type="spellStart"/>
      <w:r w:rsidRPr="00E50F25">
        <w:rPr>
          <w:sz w:val="24"/>
          <w:lang w:val="hu-HU"/>
        </w:rPr>
        <w:t>for</w:t>
      </w:r>
      <w:proofErr w:type="spellEnd"/>
      <w:r w:rsidRPr="00E50F25">
        <w:rPr>
          <w:sz w:val="24"/>
          <w:lang w:val="hu-HU"/>
        </w:rPr>
        <w:t xml:space="preserve"> </w:t>
      </w:r>
      <w:proofErr w:type="spellStart"/>
      <w:r w:rsidRPr="00E50F25">
        <w:rPr>
          <w:sz w:val="24"/>
          <w:lang w:val="hu-HU"/>
        </w:rPr>
        <w:t>infant</w:t>
      </w:r>
      <w:proofErr w:type="spellEnd"/>
      <w:r w:rsidRPr="00E50F25">
        <w:rPr>
          <w:sz w:val="24"/>
          <w:lang w:val="hu-HU"/>
        </w:rPr>
        <w:t xml:space="preserve"> </w:t>
      </w:r>
      <w:proofErr w:type="gramStart"/>
      <w:r w:rsidRPr="00E50F25">
        <w:rPr>
          <w:sz w:val="24"/>
          <w:lang w:val="hu-HU"/>
        </w:rPr>
        <w:t>formula</w:t>
      </w:r>
      <w:proofErr w:type="gramEnd"/>
      <w:r w:rsidRPr="00E50F25">
        <w:rPr>
          <w:sz w:val="24"/>
          <w:lang w:val="hu-HU"/>
        </w:rPr>
        <w:t xml:space="preserve"> </w:t>
      </w:r>
      <w:proofErr w:type="spellStart"/>
      <w:r w:rsidRPr="00E50F25">
        <w:rPr>
          <w:sz w:val="24"/>
          <w:lang w:val="hu-HU"/>
        </w:rPr>
        <w:t>are</w:t>
      </w:r>
      <w:proofErr w:type="spellEnd"/>
      <w:r w:rsidRPr="00E50F25">
        <w:rPr>
          <w:sz w:val="24"/>
          <w:lang w:val="hu-HU"/>
        </w:rPr>
        <w:t xml:space="preserve"> </w:t>
      </w:r>
      <w:proofErr w:type="spellStart"/>
      <w:r w:rsidRPr="00E50F25">
        <w:rPr>
          <w:sz w:val="24"/>
          <w:lang w:val="hu-HU"/>
        </w:rPr>
        <w:t>poorly</w:t>
      </w:r>
      <w:proofErr w:type="spellEnd"/>
      <w:r w:rsidRPr="00E50F25">
        <w:rPr>
          <w:sz w:val="24"/>
          <w:lang w:val="hu-HU"/>
        </w:rPr>
        <w:t xml:space="preserve"> </w:t>
      </w:r>
      <w:proofErr w:type="spellStart"/>
      <w:r w:rsidRPr="00E50F25">
        <w:rPr>
          <w:sz w:val="24"/>
          <w:lang w:val="hu-HU"/>
        </w:rPr>
        <w:t>substantiated</w:t>
      </w:r>
      <w:proofErr w:type="spellEnd"/>
      <w:r w:rsidRPr="00E50F25">
        <w:rPr>
          <w:sz w:val="24"/>
          <w:lang w:val="hu-HU"/>
        </w:rPr>
        <w:t xml:space="preserve"> and </w:t>
      </w:r>
      <w:proofErr w:type="spellStart"/>
      <w:r w:rsidRPr="00E50F25">
        <w:rPr>
          <w:sz w:val="24"/>
          <w:lang w:val="hu-HU"/>
        </w:rPr>
        <w:t>potentially</w:t>
      </w:r>
      <w:proofErr w:type="spellEnd"/>
      <w:r w:rsidRPr="00E50F25">
        <w:rPr>
          <w:sz w:val="24"/>
          <w:lang w:val="hu-HU"/>
        </w:rPr>
        <w:t xml:space="preserve"> </w:t>
      </w:r>
      <w:proofErr w:type="spellStart"/>
      <w:r w:rsidRPr="00E50F25">
        <w:rPr>
          <w:sz w:val="24"/>
          <w:lang w:val="hu-HU"/>
        </w:rPr>
        <w:t>harmful</w:t>
      </w:r>
      <w:proofErr w:type="spellEnd"/>
      <w:r w:rsidRPr="00E50F25">
        <w:rPr>
          <w:sz w:val="24"/>
          <w:lang w:val="hu-HU"/>
        </w:rPr>
        <w:t xml:space="preserve">”, </w:t>
      </w:r>
      <w:r w:rsidRPr="00E50F25">
        <w:rPr>
          <w:i/>
          <w:iCs/>
          <w:sz w:val="24"/>
          <w:lang w:val="hu-HU"/>
        </w:rPr>
        <w:t>British Medical Journal</w:t>
      </w:r>
      <w:r w:rsidRPr="00E50F25">
        <w:rPr>
          <w:sz w:val="24"/>
          <w:lang w:val="hu-HU"/>
        </w:rPr>
        <w:t xml:space="preserve">, 369. kötet, m875. cikk, 2020, valamint </w:t>
      </w:r>
      <w:proofErr w:type="spellStart"/>
      <w:r w:rsidRPr="00E50F25">
        <w:rPr>
          <w:sz w:val="24"/>
          <w:lang w:val="hu-HU"/>
        </w:rPr>
        <w:t>Cheung</w:t>
      </w:r>
      <w:proofErr w:type="spellEnd"/>
      <w:r w:rsidRPr="00E50F25">
        <w:rPr>
          <w:sz w:val="24"/>
          <w:lang w:val="hu-HU"/>
        </w:rPr>
        <w:t xml:space="preserve">, K.Y. és </w:t>
      </w:r>
      <w:proofErr w:type="spellStart"/>
      <w:r w:rsidRPr="00E50F25">
        <w:rPr>
          <w:sz w:val="24"/>
          <w:lang w:val="hu-HU"/>
        </w:rPr>
        <w:t>mtsai</w:t>
      </w:r>
      <w:proofErr w:type="spellEnd"/>
      <w:r w:rsidRPr="00E50F25">
        <w:rPr>
          <w:sz w:val="24"/>
          <w:lang w:val="hu-HU"/>
        </w:rPr>
        <w:t xml:space="preserve">, „Health and </w:t>
      </w:r>
      <w:proofErr w:type="spellStart"/>
      <w:r w:rsidRPr="00E50F25">
        <w:rPr>
          <w:sz w:val="24"/>
          <w:lang w:val="hu-HU"/>
        </w:rPr>
        <w:t>nutrition</w:t>
      </w:r>
      <w:proofErr w:type="spellEnd"/>
      <w:r w:rsidRPr="00E50F25">
        <w:rPr>
          <w:sz w:val="24"/>
          <w:lang w:val="hu-HU"/>
        </w:rPr>
        <w:t xml:space="preserve"> </w:t>
      </w:r>
      <w:proofErr w:type="spellStart"/>
      <w:r w:rsidRPr="00E50F25">
        <w:rPr>
          <w:sz w:val="24"/>
          <w:lang w:val="hu-HU"/>
        </w:rPr>
        <w:t>claims</w:t>
      </w:r>
      <w:proofErr w:type="spellEnd"/>
      <w:r w:rsidRPr="00E50F25">
        <w:rPr>
          <w:sz w:val="24"/>
          <w:lang w:val="hu-HU"/>
        </w:rPr>
        <w:t xml:space="preserve"> </w:t>
      </w:r>
      <w:proofErr w:type="spellStart"/>
      <w:r w:rsidRPr="00E50F25">
        <w:rPr>
          <w:sz w:val="24"/>
          <w:lang w:val="hu-HU"/>
        </w:rPr>
        <w:t>for</w:t>
      </w:r>
      <w:proofErr w:type="spellEnd"/>
      <w:r w:rsidRPr="00E50F25">
        <w:rPr>
          <w:sz w:val="24"/>
          <w:lang w:val="hu-HU"/>
        </w:rPr>
        <w:t xml:space="preserve"> </w:t>
      </w:r>
      <w:proofErr w:type="spellStart"/>
      <w:r w:rsidRPr="00E50F25">
        <w:rPr>
          <w:sz w:val="24"/>
          <w:lang w:val="hu-HU"/>
        </w:rPr>
        <w:t>infant</w:t>
      </w:r>
      <w:proofErr w:type="spellEnd"/>
      <w:r w:rsidRPr="00E50F25">
        <w:rPr>
          <w:sz w:val="24"/>
          <w:lang w:val="hu-HU"/>
        </w:rPr>
        <w:t xml:space="preserve"> </w:t>
      </w:r>
      <w:proofErr w:type="gramStart"/>
      <w:r w:rsidRPr="00E50F25">
        <w:rPr>
          <w:sz w:val="24"/>
          <w:lang w:val="hu-HU"/>
        </w:rPr>
        <w:t>formula</w:t>
      </w:r>
      <w:proofErr w:type="gramEnd"/>
      <w:r w:rsidRPr="00E50F25">
        <w:rPr>
          <w:sz w:val="24"/>
          <w:lang w:val="hu-HU"/>
        </w:rPr>
        <w:t xml:space="preserve">: </w:t>
      </w:r>
      <w:proofErr w:type="spellStart"/>
      <w:r w:rsidRPr="00E50F25">
        <w:rPr>
          <w:sz w:val="24"/>
          <w:lang w:val="hu-HU"/>
        </w:rPr>
        <w:t>international</w:t>
      </w:r>
      <w:proofErr w:type="spellEnd"/>
      <w:r w:rsidRPr="00E50F25">
        <w:rPr>
          <w:sz w:val="24"/>
          <w:lang w:val="hu-HU"/>
        </w:rPr>
        <w:t xml:space="preserve"> </w:t>
      </w:r>
      <w:proofErr w:type="spellStart"/>
      <w:r w:rsidRPr="00E50F25">
        <w:rPr>
          <w:sz w:val="24"/>
          <w:lang w:val="hu-HU"/>
        </w:rPr>
        <w:t>cross</w:t>
      </w:r>
      <w:proofErr w:type="spellEnd"/>
      <w:r w:rsidRPr="00E50F25">
        <w:rPr>
          <w:sz w:val="24"/>
          <w:lang w:val="hu-HU"/>
        </w:rPr>
        <w:t xml:space="preserve"> </w:t>
      </w:r>
      <w:proofErr w:type="spellStart"/>
      <w:r w:rsidRPr="00E50F25">
        <w:rPr>
          <w:sz w:val="24"/>
          <w:lang w:val="hu-HU"/>
        </w:rPr>
        <w:t>sectional</w:t>
      </w:r>
      <w:proofErr w:type="spellEnd"/>
      <w:r w:rsidRPr="00E50F25">
        <w:rPr>
          <w:sz w:val="24"/>
          <w:lang w:val="hu-HU"/>
        </w:rPr>
        <w:t xml:space="preserve"> </w:t>
      </w:r>
      <w:proofErr w:type="spellStart"/>
      <w:r w:rsidRPr="00E50F25">
        <w:rPr>
          <w:sz w:val="24"/>
          <w:lang w:val="hu-HU"/>
        </w:rPr>
        <w:t>survey</w:t>
      </w:r>
      <w:proofErr w:type="spellEnd"/>
      <w:r w:rsidRPr="00E50F25">
        <w:rPr>
          <w:sz w:val="24"/>
          <w:lang w:val="hu-HU"/>
        </w:rPr>
        <w:t xml:space="preserve">’, </w:t>
      </w:r>
      <w:r w:rsidRPr="00E50F25">
        <w:rPr>
          <w:i/>
          <w:sz w:val="24"/>
          <w:lang w:val="hu-HU"/>
        </w:rPr>
        <w:t>British Medical Journal</w:t>
      </w:r>
      <w:r w:rsidRPr="00E50F25">
        <w:rPr>
          <w:sz w:val="24"/>
          <w:lang w:val="hu-HU"/>
        </w:rPr>
        <w:t xml:space="preserve">, 380. kötet, 8371. szám, 2023. </w:t>
      </w:r>
      <w:bookmarkStart w:id="8" w:name="_GoBack"/>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F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HU"/>
    <w:docVar w:name="dvnumam" w:val="0"/>
    <w:docVar w:name="dvpe" w:val="753.549"/>
    <w:docVar w:name="dvrapporteur" w:val="Előadó: "/>
    <w:docVar w:name="dvtitre" w:val="Az Európai Parlament 2024.  ...-i állásfoglalása az élelmiszerekkel kapcsolatos, tápanyag-összetételre és egészségre vonatkozó állításokról szóló 1924/2006/EK rendelet végrehajtásáról(2023/2081(INI))"/>
  </w:docVars>
  <w:rsids>
    <w:rsidRoot w:val="00A47775"/>
    <w:rsid w:val="00002272"/>
    <w:rsid w:val="00064002"/>
    <w:rsid w:val="000677B9"/>
    <w:rsid w:val="000831BA"/>
    <w:rsid w:val="000A42CC"/>
    <w:rsid w:val="000E7DD9"/>
    <w:rsid w:val="0010095E"/>
    <w:rsid w:val="00125B37"/>
    <w:rsid w:val="00187494"/>
    <w:rsid w:val="001B5801"/>
    <w:rsid w:val="001F32AE"/>
    <w:rsid w:val="002767FF"/>
    <w:rsid w:val="002B18FE"/>
    <w:rsid w:val="002B5493"/>
    <w:rsid w:val="00316D2F"/>
    <w:rsid w:val="00343214"/>
    <w:rsid w:val="00361C00"/>
    <w:rsid w:val="00395FA1"/>
    <w:rsid w:val="003E15D4"/>
    <w:rsid w:val="00411CCE"/>
    <w:rsid w:val="0041666E"/>
    <w:rsid w:val="00421060"/>
    <w:rsid w:val="004621A2"/>
    <w:rsid w:val="00471C19"/>
    <w:rsid w:val="004867E3"/>
    <w:rsid w:val="00494A28"/>
    <w:rsid w:val="004B0F2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24AC"/>
    <w:rsid w:val="00A1687D"/>
    <w:rsid w:val="00A43E52"/>
    <w:rsid w:val="00A4678D"/>
    <w:rsid w:val="00A4777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5B3"/>
    <w:rsid w:val="00CF071A"/>
    <w:rsid w:val="00D058B8"/>
    <w:rsid w:val="00D56C11"/>
    <w:rsid w:val="00D834A0"/>
    <w:rsid w:val="00D872DF"/>
    <w:rsid w:val="00D91E21"/>
    <w:rsid w:val="00DA7FCD"/>
    <w:rsid w:val="00E365E1"/>
    <w:rsid w:val="00E50F2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1C388E-EBE5-4431-B3CE-65C94311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D35B3"/>
    <w:pPr>
      <w:spacing w:after="240"/>
      <w:ind w:left="567" w:hanging="567"/>
    </w:pPr>
  </w:style>
  <w:style w:type="paragraph" w:customStyle="1" w:styleId="EPComma">
    <w:name w:val="EPComma"/>
    <w:basedOn w:val="Normal"/>
    <w:rsid w:val="00CD35B3"/>
    <w:pPr>
      <w:spacing w:before="480" w:after="240"/>
    </w:pPr>
  </w:style>
  <w:style w:type="character" w:styleId="Hyperlink">
    <w:name w:val="Hyperlink"/>
    <w:basedOn w:val="DefaultParagraphFont"/>
    <w:uiPriority w:val="99"/>
    <w:unhideWhenUsed/>
    <w:rsid w:val="00CD35B3"/>
    <w:rPr>
      <w:color w:val="0563C1" w:themeColor="hyperlink"/>
      <w:u w:val="single"/>
    </w:rPr>
  </w:style>
  <w:style w:type="character" w:styleId="Emphasis">
    <w:name w:val="Emphasis"/>
    <w:basedOn w:val="DefaultParagraphFont"/>
    <w:uiPriority w:val="20"/>
    <w:qFormat/>
    <w:rsid w:val="00CD35B3"/>
    <w:rPr>
      <w:i/>
      <w:iCs/>
    </w:rPr>
  </w:style>
  <w:style w:type="character" w:customStyle="1" w:styleId="NormalHanging12aChar">
    <w:name w:val="NormalHanging12a Char"/>
    <w:basedOn w:val="DefaultParagraphFont"/>
    <w:link w:val="NormalHanging12a"/>
    <w:locked/>
    <w:rsid w:val="00CD35B3"/>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557377-8F18-458E-8A39-F3FCB5ADA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3640</Words>
  <Characters>27693</Characters>
  <Application>Microsoft Office Word</Application>
  <DocSecurity>4</DocSecurity>
  <Lines>230</Lines>
  <Paragraphs>62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P9_TA(2024)00040</vt:lpstr>
      <vt:lpstr>    Végrehajtási jelentés az élelmiszerekkel kapcsolatos, tápanyag-összetételre és e</vt:lpstr>
      <vt:lpstr>        Az Európai Parlament 2024. január ...-18-i állásfoglalása az élelmiszerekkel kap</vt:lpstr>
    </vt:vector>
  </TitlesOfParts>
  <Company/>
  <LinksUpToDate>false</LinksUpToDate>
  <CharactersWithSpaces>31271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2024-05-21T13:18:00Z</dcterms:created>
  <dcterms:modified xsi:type="dcterms:W3CDTF">2024-05-21T13:18:00Z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A9-0416/2023</vt:lpwstr>
  </property>
  <property fmtid="{D5CDD505-2E9C-101B-9397-08002B2CF9AE}" pid="4" name="&lt;Type&gt;">
    <vt:lpwstr>RR</vt:lpwstr>
  </property>
</Properties>
</file>