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19A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19AE" w:rsidRDefault="00074C02" w:rsidP="0010095E">
            <w:pPr>
              <w:pStyle w:val="EPName"/>
            </w:pPr>
            <w:r w:rsidRPr="007119AE">
              <w:t>Parlament Europejski</w:t>
            </w:r>
          </w:p>
          <w:p w:rsidR="00751A4A" w:rsidRPr="007119A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19A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119AE" w:rsidRDefault="00187494" w:rsidP="0010095E">
            <w:pPr>
              <w:pStyle w:val="EPLogo"/>
            </w:pPr>
            <w:r w:rsidRPr="007119AE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19AE" w:rsidRDefault="00D058B8" w:rsidP="004C5D52">
      <w:pPr>
        <w:pStyle w:val="LineTop"/>
      </w:pPr>
    </w:p>
    <w:p w:rsidR="00680577" w:rsidRPr="007119AE" w:rsidRDefault="00074C02" w:rsidP="00680577">
      <w:pPr>
        <w:pStyle w:val="EPBodyTA1"/>
      </w:pPr>
      <w:r w:rsidRPr="007119AE">
        <w:t>TEKSTY PRZYJĘTE</w:t>
      </w:r>
    </w:p>
    <w:p w:rsidR="00D058B8" w:rsidRPr="007119AE" w:rsidRDefault="00D058B8" w:rsidP="00D058B8">
      <w:pPr>
        <w:pStyle w:val="LineBottom"/>
      </w:pPr>
    </w:p>
    <w:p w:rsidR="00074C02" w:rsidRPr="007119AE" w:rsidRDefault="00074C02" w:rsidP="00074C02">
      <w:pPr>
        <w:pStyle w:val="ATHeading1"/>
      </w:pPr>
      <w:bookmarkStart w:id="0" w:name="TANumber"/>
      <w:r w:rsidRPr="007119AE">
        <w:t>P9_TA(2024)00</w:t>
      </w:r>
      <w:bookmarkEnd w:id="0"/>
      <w:r w:rsidR="00734C14">
        <w:t>40</w:t>
      </w:r>
    </w:p>
    <w:p w:rsidR="00074C02" w:rsidRPr="007119AE" w:rsidRDefault="001B5DAF" w:rsidP="001B5DAF">
      <w:pPr>
        <w:pStyle w:val="ATHeading2"/>
      </w:pPr>
      <w:r w:rsidRPr="001B5DAF">
        <w:t>Sprawozdanie z wykonania rozporządzenia (WE) nr 1924/2006 w sprawie oświadczeń żywieniowych i</w:t>
      </w:r>
      <w:r>
        <w:t xml:space="preserve"> </w:t>
      </w:r>
      <w:r w:rsidRPr="00CB0405">
        <w:t>zdrowotnych dotyczących żywności</w:t>
      </w:r>
    </w:p>
    <w:p w:rsidR="00074C02" w:rsidRPr="007119AE" w:rsidRDefault="00074C02" w:rsidP="00074C02">
      <w:pPr>
        <w:rPr>
          <w:i/>
          <w:vanish/>
        </w:rPr>
      </w:pPr>
      <w:r w:rsidRPr="007119AE">
        <w:rPr>
          <w:i/>
        </w:rPr>
        <w:fldChar w:fldCharType="begin"/>
      </w:r>
      <w:r w:rsidRPr="007119AE">
        <w:rPr>
          <w:i/>
        </w:rPr>
        <w:instrText xml:space="preserve"> TC"(</w:instrText>
      </w:r>
      <w:bookmarkStart w:id="1" w:name="DocNumber"/>
      <w:r w:rsidRPr="007119AE">
        <w:rPr>
          <w:i/>
        </w:rPr>
        <w:instrText>A9-0416/2023</w:instrText>
      </w:r>
      <w:bookmarkEnd w:id="1"/>
      <w:r w:rsidRPr="007119AE">
        <w:rPr>
          <w:i/>
        </w:rPr>
        <w:instrText xml:space="preserve"> - Sprawozdawca: Tilly Metz)"\l3 \n&gt; \* MERGEFORMAT </w:instrText>
      </w:r>
      <w:r w:rsidRPr="007119AE">
        <w:rPr>
          <w:i/>
        </w:rPr>
        <w:fldChar w:fldCharType="end"/>
      </w:r>
    </w:p>
    <w:p w:rsidR="00074C02" w:rsidRPr="007119AE" w:rsidRDefault="00074C02" w:rsidP="00074C02">
      <w:pPr>
        <w:rPr>
          <w:vanish/>
        </w:rPr>
      </w:pPr>
      <w:bookmarkStart w:id="2" w:name="Commission"/>
      <w:r w:rsidRPr="007119AE">
        <w:rPr>
          <w:vanish/>
        </w:rPr>
        <w:t>Dokument z posiedzenia</w:t>
      </w:r>
      <w:bookmarkEnd w:id="2"/>
    </w:p>
    <w:p w:rsidR="00074C02" w:rsidRPr="007119AE" w:rsidRDefault="00074C02" w:rsidP="00074C02">
      <w:pPr>
        <w:rPr>
          <w:vanish/>
        </w:rPr>
      </w:pPr>
      <w:bookmarkStart w:id="3" w:name="PE"/>
      <w:r w:rsidRPr="007119AE">
        <w:rPr>
          <w:vanish/>
        </w:rPr>
        <w:t>PE753.549</w:t>
      </w:r>
      <w:bookmarkEnd w:id="3"/>
    </w:p>
    <w:p w:rsidR="00074C02" w:rsidRPr="007119AE" w:rsidRDefault="00074C02" w:rsidP="00074C02">
      <w:pPr>
        <w:pStyle w:val="ATHeading3"/>
      </w:pPr>
      <w:bookmarkStart w:id="4" w:name="Sujet"/>
      <w:r w:rsidRPr="007119AE">
        <w:t xml:space="preserve">Rezolucja Parlamentu Europejskiego z dnia </w:t>
      </w:r>
      <w:r w:rsidR="00734C14">
        <w:t>18</w:t>
      </w:r>
      <w:r w:rsidR="001B5DAF">
        <w:t xml:space="preserve"> stycznia</w:t>
      </w:r>
      <w:r w:rsidRPr="007119AE">
        <w:t xml:space="preserve"> 2024 r. w sprawie wykonania rozporządzenia (WE) nr 1924/2006 w sprawie oświadczeń żywieniowych i zdrowotnych dotyczących żywności</w:t>
      </w:r>
      <w:bookmarkEnd w:id="4"/>
      <w:r w:rsidRPr="007119AE">
        <w:t xml:space="preserve"> </w:t>
      </w:r>
      <w:bookmarkStart w:id="5" w:name="References"/>
      <w:r w:rsidRPr="007119AE">
        <w:t>(2023/2081(INI))</w:t>
      </w:r>
      <w:bookmarkEnd w:id="5"/>
    </w:p>
    <w:p w:rsidR="00074C02" w:rsidRPr="007119AE" w:rsidRDefault="00074C02" w:rsidP="00074C02"/>
    <w:p w:rsidR="00262939" w:rsidRPr="007119AE" w:rsidRDefault="00262939" w:rsidP="00262939">
      <w:pPr>
        <w:pStyle w:val="EPComma"/>
      </w:pPr>
      <w:bookmarkStart w:id="6" w:name="TextBodyBegin"/>
      <w:bookmarkEnd w:id="6"/>
      <w:r w:rsidRPr="007119AE">
        <w:rPr>
          <w:i/>
        </w:rPr>
        <w:t>Parlament Europejski</w:t>
      </w:r>
      <w:r w:rsidRPr="007119AE">
        <w:t>,</w:t>
      </w:r>
    </w:p>
    <w:p w:rsidR="00262939" w:rsidRPr="007119AE" w:rsidRDefault="00262939" w:rsidP="00262939">
      <w:pPr>
        <w:pStyle w:val="NormalHanging12a"/>
      </w:pPr>
      <w:r w:rsidRPr="007119AE">
        <w:t>–</w:t>
      </w:r>
      <w:r w:rsidRPr="007119AE">
        <w:tab/>
        <w:t>uwzględniając art. 168 i 169 Traktatu o funkcjonowaniu Unii Europejskiej,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rPr>
          <w:color w:val="000000"/>
        </w:rPr>
        <w:tab/>
        <w:t>uwzględniając rozporządzenie (WE) nr 1924/2006 Parlamentu Europejskiego i Rady z dnia 20 grudnia 2006 r. w sprawie oświadczeń żywieniowych i zdrowotnych dotyczących żywności</w:t>
      </w:r>
      <w:r w:rsidRPr="007119AE">
        <w:rPr>
          <w:rStyle w:val="FootnoteReference"/>
          <w:bCs/>
          <w:color w:val="000000"/>
          <w:szCs w:val="24"/>
        </w:rPr>
        <w:footnoteReference w:id="1"/>
      </w:r>
      <w:r w:rsidRPr="007119AE">
        <w:rPr>
          <w:color w:val="000000"/>
        </w:rPr>
        <w:t>,</w:t>
      </w:r>
    </w:p>
    <w:p w:rsidR="00262939" w:rsidRPr="007119AE" w:rsidRDefault="00262939" w:rsidP="00262939">
      <w:pPr>
        <w:pStyle w:val="NormalHanging12a"/>
      </w:pPr>
      <w:r w:rsidRPr="007119AE">
        <w:t>–</w:t>
      </w:r>
      <w:r w:rsidRPr="007119AE">
        <w:tab/>
        <w:t>uwzględniając rozporządzenie (WE) nr 178/2002 Parlamentu Europejskiego i Rady z dnia 28 stycznia 2002 r. ustanawiające ogólne zasady i wymagania prawa żywnościowego, powołujące Europejski Urząd ds. Bezpieczeństwa Żywności oraz ustanawiające procedury w zakresie bezpieczeństwa żywności</w:t>
      </w:r>
      <w:r w:rsidRPr="007119AE">
        <w:rPr>
          <w:rStyle w:val="FootnoteReference"/>
          <w:bCs/>
          <w:color w:val="000000"/>
          <w:szCs w:val="24"/>
        </w:rPr>
        <w:footnoteReference w:id="2"/>
      </w:r>
      <w:r w:rsidRPr="007119AE">
        <w:t>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rPr>
          <w:color w:val="000000"/>
        </w:rPr>
        <w:tab/>
        <w:t>uwzględniając rozporządzenie Parlamentu Europejskiego i Rady (UE) nr 1169/2011 z dnia 25 października 2011 r. w sprawie przekazywania konsumentom informacji na temat żywności, zmiany rozporządzeń Parlamentu Europejskiego i Rady (WE) nr 1924/2006 i (WE) nr 1925/2006 oraz uchylenia dyrektywy Komisji 87/250/EWG, dyrektywy Rady 90/496/EWG, dyrektywy Komisji 1999/10/WE, dyrektywy 2000/13/WE Parlamentu Europejskiego i Rady, dyrektywy Komisji 2002/67/WE i 2008/5/WE oraz rozporządzenia Komisji (WE) nr 608/2004</w:t>
      </w:r>
      <w:r w:rsidRPr="007119AE">
        <w:rPr>
          <w:rStyle w:val="FootnoteReference"/>
          <w:bCs/>
          <w:color w:val="000000"/>
          <w:szCs w:val="24"/>
        </w:rPr>
        <w:footnoteReference w:id="3"/>
      </w:r>
      <w:r w:rsidRPr="007119AE">
        <w:rPr>
          <w:color w:val="000000"/>
        </w:rPr>
        <w:t>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rPr>
          <w:color w:val="000000"/>
        </w:rPr>
        <w:tab/>
        <w:t>uwzględniając dyrektywę 2002/46/WE Parlamentu Europejskiego i Rady z dnia 10 czerwca 2002 r. w sprawie zbliżenia ustawodawstw państw członkowskich odnoszących się do suplementów żywnościowych</w:t>
      </w:r>
      <w:r w:rsidRPr="007119AE">
        <w:rPr>
          <w:rStyle w:val="FootnoteReference"/>
          <w:bCs/>
          <w:color w:val="000000"/>
          <w:szCs w:val="24"/>
        </w:rPr>
        <w:footnoteReference w:id="4"/>
      </w:r>
      <w:r w:rsidRPr="007119AE">
        <w:rPr>
          <w:color w:val="000000"/>
        </w:rPr>
        <w:t>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rPr>
          <w:color w:val="000000"/>
        </w:rPr>
        <w:tab/>
        <w:t xml:space="preserve">uwzględniając rozporządzenie (WE) nr 1925/2006 Parlamentu Europejskiego i Rady </w:t>
      </w:r>
      <w:r w:rsidRPr="007119AE">
        <w:rPr>
          <w:color w:val="000000"/>
        </w:rPr>
        <w:lastRenderedPageBreak/>
        <w:t>z dnia 20 grudnia 2006 r. w sprawie dodawania do żywności witamin i składników mineralnych oraz niektórych innych substancji</w:t>
      </w:r>
      <w:r w:rsidRPr="007119AE">
        <w:rPr>
          <w:rStyle w:val="FootnoteReference"/>
          <w:bCs/>
          <w:color w:val="000000"/>
          <w:szCs w:val="24"/>
        </w:rPr>
        <w:footnoteReference w:id="5"/>
      </w:r>
      <w:r w:rsidRPr="007119AE">
        <w:rPr>
          <w:color w:val="000000"/>
        </w:rPr>
        <w:t>,</w:t>
      </w:r>
    </w:p>
    <w:p w:rsidR="00262939" w:rsidRPr="007119AE" w:rsidRDefault="00262939" w:rsidP="00262939">
      <w:pPr>
        <w:pStyle w:val="NormalHanging12a"/>
        <w:rPr>
          <w:bCs/>
          <w:color w:val="000000"/>
          <w:szCs w:val="24"/>
        </w:rPr>
      </w:pPr>
      <w:r w:rsidRPr="007119AE">
        <w:t>–</w:t>
      </w:r>
      <w:r w:rsidRPr="007119AE">
        <w:rPr>
          <w:color w:val="000000"/>
        </w:rPr>
        <w:tab/>
        <w:t>uwzględniając rozporządzenie Parlamentu Europejskiego i Rady (UE) nr 609/2013 z dnia 12 czerwca 2013 r. w sprawie żywności przeznaczonej dla niemowląt i małych dzieci oraz żywności specjalnego przeznaczenia medycznego i środków spożywczych zastępujących całodzienną dietę, do kontroli masy ciała oraz uchylające dyrektywę Rady 92/52/EWG, dyrektywy Komisji 96/8/WE, 1999/21/WE, 2006/125/WE i 2006/141/WE, dyrektywę Parlamentu Europejskiego i Rady 2009/39/WE oraz rozporządzenia Komisji (WE) nr 41/2009 i (WE) nr 953/2009</w:t>
      </w:r>
      <w:r w:rsidRPr="007119AE">
        <w:rPr>
          <w:rStyle w:val="FootnoteReference"/>
          <w:bCs/>
          <w:color w:val="000000"/>
          <w:szCs w:val="24"/>
        </w:rPr>
        <w:footnoteReference w:id="6"/>
      </w:r>
      <w:r w:rsidRPr="007119AE">
        <w:rPr>
          <w:color w:val="000000"/>
        </w:rPr>
        <w:t>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rPr>
          <w:b/>
          <w:i/>
        </w:rPr>
        <w:tab/>
      </w:r>
      <w:r w:rsidRPr="007119AE">
        <w:t>uwzględniając rozporządzenie Parlamentu Europejskiego i Rady (UE) 2022/2065 z 19 października 2022 r. w sprawie jednolitego rynku usług cyfrowych oraz zmiany dyrektywy 2000/31/WE (akt o usługach cyfrowych)</w:t>
      </w:r>
      <w:r w:rsidRPr="007119AE">
        <w:rPr>
          <w:rStyle w:val="FootnoteReference"/>
          <w:szCs w:val="24"/>
        </w:rPr>
        <w:footnoteReference w:id="7"/>
      </w:r>
      <w:r w:rsidRPr="007119AE">
        <w:t xml:space="preserve">, 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tab/>
        <w:t>uwzględniając rozporządzenie Parlamentu Europejskiego i Rady (UE) 2021/522 z dnia 24 marca 2021 r. w sprawie ustanowienia Programu działań Unii w dziedzinie zdrowia (Program UE dla zdrowia) na lata 2021–2027 oraz uchylenia rozporządzenia (UE) nr 282/2014</w:t>
      </w:r>
      <w:r w:rsidRPr="007119AE">
        <w:rPr>
          <w:rStyle w:val="FootnoteReference"/>
          <w:szCs w:val="24"/>
        </w:rPr>
        <w:footnoteReference w:id="8"/>
      </w:r>
      <w:r w:rsidRPr="007119AE">
        <w:t>,</w:t>
      </w:r>
    </w:p>
    <w:p w:rsidR="00262939" w:rsidRPr="007119AE" w:rsidRDefault="00262939" w:rsidP="00262939">
      <w:pPr>
        <w:pStyle w:val="NormalHanging12a"/>
        <w:rPr>
          <w:bCs/>
          <w:color w:val="000000"/>
          <w:szCs w:val="24"/>
        </w:rPr>
      </w:pPr>
      <w:r w:rsidRPr="007119AE">
        <w:t>–</w:t>
      </w:r>
      <w:r w:rsidRPr="007119AE">
        <w:rPr>
          <w:color w:val="000000"/>
        </w:rPr>
        <w:tab/>
        <w:t>uwzględniając swoją rezolucję z 20 października 2021 r. w sprawie strategii „Od pola do stołu” na rzecz sprawiedliwego, zdrowego i przyjaznego dla środowiska systemu żywnościowego</w:t>
      </w:r>
      <w:r w:rsidRPr="007119AE">
        <w:rPr>
          <w:rStyle w:val="FootnoteReference"/>
          <w:bCs/>
          <w:color w:val="000000"/>
          <w:szCs w:val="24"/>
        </w:rPr>
        <w:footnoteReference w:id="9"/>
      </w:r>
      <w:r w:rsidRPr="007119AE">
        <w:rPr>
          <w:color w:val="000000"/>
        </w:rPr>
        <w:t>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rPr>
          <w:color w:val="000000"/>
        </w:rPr>
        <w:tab/>
        <w:t>uwzględniając komunikat Komisji z dnia 20 maja 2020 r. pt. „Strategia »od pola do stołu« na rzecz sprawiedliwego, zdrowego i przyjaznego dla środowiska systemu żywnościowego” (COM(2020)0381),</w:t>
      </w:r>
    </w:p>
    <w:p w:rsidR="00262939" w:rsidRPr="007119AE" w:rsidRDefault="00262939" w:rsidP="00262939">
      <w:pPr>
        <w:pStyle w:val="NormalHanging12a"/>
        <w:rPr>
          <w:bCs/>
          <w:color w:val="000000"/>
          <w:szCs w:val="24"/>
        </w:rPr>
      </w:pPr>
      <w:r w:rsidRPr="007119AE">
        <w:t>–</w:t>
      </w:r>
      <w:r w:rsidRPr="007119AE">
        <w:rPr>
          <w:color w:val="000000"/>
        </w:rPr>
        <w:tab/>
        <w:t>uwzględniając dokument roboczy służb Komisji z 20 maja 2020 r. zatytułowany „Streszczenie – ocena rozporządzenia (WE) nr 1924/2006 w sprawie oświadczeń żywieniowych i zdrowotnych dotyczących żywności w odniesieniu do profili składników odżywczych i oświadczeń zdrowotnych dotyczących roślin i preparatów roślinnych oraz do ogólnych ram regulacyjnych ich stosowania w żywności” (SWD(2020)0096),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rPr>
          <w:b/>
          <w:i/>
        </w:rPr>
        <w:tab/>
      </w:r>
      <w:r w:rsidRPr="007119AE">
        <w:t>uwzględniając opinię naukową Europejskiego Urzędu ds. Bezpieczeństwa Żywności (EFSA) z 15 grudnia 2021 r. w sprawie dopuszczalnego górnego poziomu spożycia cukrów w diecie</w:t>
      </w:r>
      <w:r w:rsidRPr="007119AE">
        <w:rPr>
          <w:rStyle w:val="FootnoteReference"/>
          <w:szCs w:val="24"/>
        </w:rPr>
        <w:footnoteReference w:id="10"/>
      </w:r>
      <w:r w:rsidRPr="007119AE">
        <w:t>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tab/>
        <w:t xml:space="preserve">uwzględniając publikację WHO z 2022 r. dotyczącą oznaczania wartości odżywczej - </w:t>
      </w:r>
      <w:r w:rsidRPr="007119AE">
        <w:lastRenderedPageBreak/>
        <w:t>dokument orientacyjny</w:t>
      </w:r>
      <w:r w:rsidRPr="007119AE">
        <w:rPr>
          <w:rStyle w:val="FootnoteReference"/>
          <w:szCs w:val="24"/>
        </w:rPr>
        <w:footnoteReference w:id="11"/>
      </w:r>
      <w:r w:rsidRPr="007119AE">
        <w:t>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tab/>
        <w:t>uwzględniając dokument WHO z 2019 r. pt. „Guiding principles and framework manual for front-of-pack labelling for promoting healthy diets” [Zasady przewodnie i podręcznik ramowy dotyczący etykietowania na przodzie opakowania w celu propagowania zdrowej diety]</w:t>
      </w:r>
      <w:r w:rsidRPr="007119AE">
        <w:rPr>
          <w:rStyle w:val="FootnoteReference"/>
          <w:szCs w:val="24"/>
        </w:rPr>
        <w:footnoteReference w:id="12"/>
      </w:r>
      <w:r w:rsidRPr="007119AE">
        <w:t>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tab/>
        <w:t xml:space="preserve">uwzględniając cel zrównoważonego rozwoju nr 3, jakim jest zapewnienie zdrowego życia wszystkim ludziom w każdym wieku oraz promowanie dobrobytu, 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tab/>
        <w:t>uwzględniając publikację UNICEF z grudnia 2013 r. pt. „Children’s Rights in Impact Assessments: A guide for integrating children’s rights into impact assessments and taking action for children” [Prawa dziecka w ocenach skutków: Przewodnik dotyczący włączania praw dziecka do ocen skutków i podejmowania działań na rzecz dzieci]</w:t>
      </w:r>
      <w:r w:rsidRPr="007119AE">
        <w:rPr>
          <w:rStyle w:val="FootnoteReference"/>
          <w:szCs w:val="24"/>
        </w:rPr>
        <w:footnoteReference w:id="13"/>
      </w:r>
      <w:r w:rsidRPr="007119AE">
        <w:t>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rPr>
          <w:color w:val="000000"/>
        </w:rPr>
        <w:tab/>
        <w:t>uwzględniając art. 54 Regulaminu oraz art. 1 ust. 1 lit. e) i załącznik 3 do decyzji Konferencji Przewodniczących z 12 grudnia 2002 r. dotyczącej procedury udzielania zgody na sporządzenie sprawozdań z własnej inicjatywy,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–</w:t>
      </w:r>
      <w:r w:rsidRPr="007119AE">
        <w:rPr>
          <w:color w:val="000000"/>
        </w:rPr>
        <w:tab/>
      </w:r>
      <w:r w:rsidRPr="007119AE">
        <w:t>uwzględniając sprawozdanie Komisji Ochrony Środowiska Naturalnego, Zdrowia Publicznego i Bezpieczeństwa Żywności (A9-0416/2023),</w:t>
      </w:r>
    </w:p>
    <w:p w:rsidR="00262939" w:rsidRPr="007119AE" w:rsidRDefault="00262939" w:rsidP="00262939">
      <w:pPr>
        <w:pStyle w:val="NormalHanging12a"/>
      </w:pPr>
      <w:r w:rsidRPr="007119AE">
        <w:rPr>
          <w:color w:val="000000"/>
        </w:rPr>
        <w:t>A.</w:t>
      </w:r>
      <w:r w:rsidRPr="007119AE">
        <w:rPr>
          <w:b/>
          <w:i/>
          <w:color w:val="000000"/>
        </w:rPr>
        <w:tab/>
      </w:r>
      <w:proofErr w:type="gramStart"/>
      <w:r w:rsidRPr="007119AE">
        <w:rPr>
          <w:color w:val="000000"/>
        </w:rPr>
        <w:t>mając</w:t>
      </w:r>
      <w:proofErr w:type="gramEnd"/>
      <w:r w:rsidRPr="007119AE">
        <w:rPr>
          <w:color w:val="000000"/>
        </w:rPr>
        <w:t xml:space="preserve"> na uwadze, że rozporządzenie (WE) nr 1924/2006 (rozporządzenie w sprawie oświadczeń żywieniowych i zdrowotnych) zostało wprowadzone w celu zapewnienia najwyższego możliwego poziomu ochrony konsumentów i ułatwienia konsumentom dokonywania wyborów; mając na uwadze, że rozporządzenie w sprawie oświadczeń żywieniowych i zdrowotnych dotyczących żywności ma zastosowanie do dobrowolnych oświadczeń żywieniowych i zdrowotnych dotyczących żywności we wszystkich przekazach handlowych, w tym w etykietach i reklamach, a także w komunikatach dla pracowników służby zdrowia</w:t>
      </w:r>
      <w:r w:rsidRPr="007119AE">
        <w:rPr>
          <w:rStyle w:val="FootnoteReference"/>
          <w:color w:val="000000"/>
          <w:szCs w:val="24"/>
        </w:rPr>
        <w:footnoteReference w:id="14"/>
      </w:r>
      <w:r w:rsidRPr="007119AE">
        <w:rPr>
          <w:color w:val="000000"/>
        </w:rPr>
        <w:t>; mając na uwadze, że po dokonaniu naukowej oceny takich oświadczeń przez EFSA Komisja zatwierdza oświadczenia zdrowotne oparte na dowodach naukowych i zrozumiałe dla konsumentów;</w:t>
      </w:r>
    </w:p>
    <w:p w:rsidR="00262939" w:rsidRPr="007119AE" w:rsidRDefault="00262939" w:rsidP="00262939">
      <w:pPr>
        <w:pStyle w:val="NormalHanging12a"/>
      </w:pPr>
      <w:r w:rsidRPr="007119AE">
        <w:t>B.</w:t>
      </w:r>
      <w:r w:rsidRPr="007119AE">
        <w:tab/>
        <w:t xml:space="preserve">mając na uwadze, że oświadczenia można podzielić na „oświadczenia zdrowotne dotyczące działania”, „oświadczenia dotyczące zmniejszania ryzyka” i „oświadczenia dotyczące rozwoju dzieci”; mając na uwadze, że w lipcu 2023 r. w UE zezwolono na stosowanie 269 oświadczeń zdrowotnych; mając na uwadze, że oświadczenia dotyczące rozwoju i zdrowia dzieci w etykietowaniu żywności mogą być dozwolone zgodnie z procedurami i wymogami określonymi w rozporządzeniu w sprawie oświadczeń </w:t>
      </w:r>
      <w:r w:rsidRPr="007119AE">
        <w:lastRenderedPageBreak/>
        <w:t>żywieniowych i zdrowotnych dotyczących żywności;</w:t>
      </w:r>
    </w:p>
    <w:p w:rsidR="00262939" w:rsidRPr="007119AE" w:rsidRDefault="00262939" w:rsidP="00262939">
      <w:pPr>
        <w:pStyle w:val="NormalHanging12a"/>
        <w:rPr>
          <w:color w:val="000000"/>
          <w:szCs w:val="24"/>
        </w:rPr>
      </w:pPr>
      <w:r w:rsidRPr="007119AE">
        <w:rPr>
          <w:color w:val="000000"/>
        </w:rPr>
        <w:t>C.</w:t>
      </w:r>
      <w:r w:rsidRPr="007119AE">
        <w:rPr>
          <w:color w:val="000000"/>
        </w:rPr>
        <w:tab/>
      </w:r>
      <w:proofErr w:type="gramStart"/>
      <w:r w:rsidRPr="007119AE">
        <w:rPr>
          <w:color w:val="000000"/>
        </w:rPr>
        <w:t>mając</w:t>
      </w:r>
      <w:proofErr w:type="gramEnd"/>
      <w:r w:rsidRPr="007119AE">
        <w:rPr>
          <w:color w:val="000000"/>
        </w:rPr>
        <w:t xml:space="preserve"> na uwadze, że co najmniej 18% nowych produktów wprowadzanych na unijny rynek żywności i napojów zawiera oświadczenia żywieniowe lub zdrowotne, przy czym szacuje się, że jedna czwarta wszystkich środków spożywczych dostępnych na rynku UE zawiera takie oświadczenia</w:t>
      </w:r>
      <w:r w:rsidRPr="007119AE">
        <w:rPr>
          <w:rStyle w:val="FootnoteReference"/>
          <w:color w:val="000000"/>
          <w:szCs w:val="24"/>
        </w:rPr>
        <w:footnoteReference w:id="15"/>
      </w:r>
      <w:r w:rsidRPr="007119AE">
        <w:rPr>
          <w:color w:val="000000"/>
        </w:rPr>
        <w:t xml:space="preserve">; mając na uwadze, że zgodnie z wyjaśnieniem w motywie 10 rozporządzenia w sprawie oświadczeń żywieniowych i zdrowotnych dotyczących żywności, żywność, która jest promowana przy użyciu odpowiednich oświadczeń, może być postrzegana przez konsumentów jako produkt o korzystniejszych właściwościach odżywczych, fizjologicznych lub zdrowotnych niż podobne lub inne produkty, do których takie składniki odżywcze i inne substancje nie zostały dodane, i może to skłonić konsumentów do podjęcia </w:t>
      </w:r>
      <w:proofErr w:type="gramStart"/>
      <w:r w:rsidRPr="007119AE">
        <w:rPr>
          <w:color w:val="000000"/>
        </w:rPr>
        <w:t>decyzji</w:t>
      </w:r>
      <w:proofErr w:type="gramEnd"/>
      <w:r w:rsidRPr="007119AE">
        <w:rPr>
          <w:color w:val="000000"/>
        </w:rPr>
        <w:t>, które wpłyną bezpośrednio na całkowitą ilość spożywanych przez nich poszczególnych składników odżywczych lub innych substancji w sposób, który byłby niezgodny z zaleceniami naukowymi;</w:t>
      </w:r>
    </w:p>
    <w:p w:rsidR="00262939" w:rsidRPr="007119AE" w:rsidRDefault="00262939" w:rsidP="00262939">
      <w:pPr>
        <w:pStyle w:val="NormalHanging12a"/>
      </w:pPr>
      <w:r w:rsidRPr="007119AE">
        <w:rPr>
          <w:color w:val="000000"/>
        </w:rPr>
        <w:t>D.</w:t>
      </w:r>
      <w:r w:rsidRPr="007119AE">
        <w:rPr>
          <w:color w:val="000000"/>
        </w:rPr>
        <w:tab/>
      </w:r>
      <w:proofErr w:type="gramStart"/>
      <w:r w:rsidRPr="007119AE">
        <w:rPr>
          <w:color w:val="000000"/>
        </w:rPr>
        <w:t>mając</w:t>
      </w:r>
      <w:proofErr w:type="gramEnd"/>
      <w:r w:rsidRPr="007119AE">
        <w:rPr>
          <w:color w:val="000000"/>
        </w:rPr>
        <w:t xml:space="preserve"> na uwadze, że zgodnie z art. 13 ust. 3 rozporządzenia w sprawie oświadczeń żywieniowych i zdrowotnych dotyczących żywności Komisja miała przyjąć wspólnotowy wykaz dozwolonych oświadczeń najpóźniej do dnia 31 stycznia 2010 r.;</w:t>
      </w:r>
    </w:p>
    <w:p w:rsidR="00262939" w:rsidRPr="007119AE" w:rsidRDefault="00262939" w:rsidP="00262939">
      <w:pPr>
        <w:pStyle w:val="NormalHanging12a"/>
        <w:rPr>
          <w:szCs w:val="22"/>
        </w:rPr>
      </w:pPr>
      <w:r w:rsidRPr="007119AE">
        <w:rPr>
          <w:color w:val="000000"/>
        </w:rPr>
        <w:t>E.</w:t>
      </w:r>
      <w:r w:rsidRPr="007119AE">
        <w:rPr>
          <w:color w:val="000000"/>
        </w:rPr>
        <w:tab/>
      </w:r>
      <w:proofErr w:type="gramStart"/>
      <w:r w:rsidRPr="007119AE">
        <w:rPr>
          <w:color w:val="000000"/>
        </w:rPr>
        <w:t>mając</w:t>
      </w:r>
      <w:proofErr w:type="gramEnd"/>
      <w:r w:rsidRPr="007119AE">
        <w:rPr>
          <w:color w:val="000000"/>
        </w:rPr>
        <w:t xml:space="preserve"> na uwadze, że obecność oświadczeń żywieniowych lub zdrowotnych wpływa na wybory żywieniowe konsumentów, razem z innymi cechami, takimi jak cena, marka, kolor i kształt opakowania; mając na uwadze, że oświadczenia zdrowotne, zwłaszcza oświadczenia dotyczące zmniejszania ryzyka, mają większy wpływ na postawy konsumentów niż oświadczenia żywieniowe</w:t>
      </w:r>
      <w:r w:rsidRPr="007119AE">
        <w:rPr>
          <w:rStyle w:val="FootnoteReference"/>
          <w:color w:val="000000"/>
          <w:szCs w:val="24"/>
        </w:rPr>
        <w:footnoteReference w:id="16"/>
      </w:r>
      <w:r w:rsidRPr="007119AE">
        <w:rPr>
          <w:color w:val="000000"/>
        </w:rPr>
        <w:t xml:space="preserve">; mając na uwadze, że na zrozumienie przez konsumentów oświadczeń żywieniowych i zdrowotnych wpływ mają różne czynniki, w tym wiedza o żywieniu i poziom wykształcenia, i należy to uwzględnić, aby ułatwić przejście na zdrowszą dietę i promować zmianę składu żywności; mając jednak na uwadze, że samo podawanie informacji, edukacja i kampanie uświadamiające nie wystarczą do </w:t>
      </w:r>
      <w:proofErr w:type="gramStart"/>
      <w:r w:rsidRPr="007119AE">
        <w:rPr>
          <w:color w:val="000000"/>
        </w:rPr>
        <w:t>osiągnięcia</w:t>
      </w:r>
      <w:proofErr w:type="gramEnd"/>
      <w:r w:rsidRPr="007119AE">
        <w:rPr>
          <w:color w:val="000000"/>
        </w:rPr>
        <w:t xml:space="preserve"> wymaganej zmiany i bardziej zrównoważonych i zdrowych wyborów konsumenckich, ponieważ mogą na nie wpływać inne kluczowe elementy środowiska żywnościowego, takie jak przystępność cenowa, marketing i dostępność;</w:t>
      </w:r>
    </w:p>
    <w:p w:rsidR="00262939" w:rsidRPr="007119AE" w:rsidRDefault="00262939" w:rsidP="00262939">
      <w:pPr>
        <w:pStyle w:val="NormalHanging12a"/>
      </w:pPr>
      <w:r w:rsidRPr="007119AE">
        <w:t>F.</w:t>
      </w:r>
      <w:r w:rsidRPr="007119AE">
        <w:tab/>
      </w:r>
      <w:proofErr w:type="gramStart"/>
      <w:r w:rsidRPr="007119AE">
        <w:t>mając</w:t>
      </w:r>
      <w:proofErr w:type="gramEnd"/>
      <w:r w:rsidRPr="007119AE">
        <w:t xml:space="preserve"> na uwadze, że rozporządzenie w sprawie oświadczeń żywieniowych i zdrowotnych dotyczących żywności upoważniło Komisję do ustalenia profili składników odżywczych dla żywności lub określonych kategorii żywności do 19 stycznia 2009 r.; mając na uwadze, że profile składników odżywczych nie zostały jeszcze opracowane w praktyce; mając na uwadze, że w 2020 r. w sprawozdaniu oceniającym rozporządzenia w sprawie oświadczeń żywieniowych i zdrowotnych dotyczących żywności Komisja potwierdziła potrzebę opracowania profili składników odżywczych jako narzędzia ochrony konsumentów przed narażeniem na żywność o </w:t>
      </w:r>
      <w:r w:rsidRPr="007119AE">
        <w:lastRenderedPageBreak/>
        <w:t xml:space="preserve">ubogim składzie odżywczym, mimo iż zawierającą oświadczenia zdrowotne; mając na uwadze, że w strategii „Od pola do stołu” potwierdzono, iż należy ustanowić profile składników </w:t>
      </w:r>
      <w:proofErr w:type="gramStart"/>
      <w:r w:rsidRPr="007119AE">
        <w:t>odżywczych</w:t>
      </w:r>
      <w:proofErr w:type="gramEnd"/>
      <w:r w:rsidRPr="007119AE">
        <w:t xml:space="preserve"> w celu ograniczenia wprowadzania do obrotu i promocji niezdrowej żywności za pomocą oświadczeń żywieniowych i zdrowotnych;</w:t>
      </w:r>
    </w:p>
    <w:p w:rsidR="00262939" w:rsidRPr="007119AE" w:rsidRDefault="00262939" w:rsidP="00262939">
      <w:pPr>
        <w:pStyle w:val="NormalHanging12a"/>
      </w:pPr>
      <w:r w:rsidRPr="007119AE">
        <w:t>G.</w:t>
      </w:r>
      <w:r w:rsidRPr="007119AE">
        <w:tab/>
        <w:t>mając na uwadze, że w rezolucji z 2021 r. w sprawie strategii „Od pola do stołu” Parlament jednoznacznie pozytywnie przyjął zapowiedź wniosku ustawodawczego w sprawie ustanowienia profili składników odżywczych w celu zakazania stosowania oświadczeń żywieniowych i zdrowotnych na żywności o wysokiej zawartości tłuszczu, cukru i/lub soli lub ogólnie niezdrowej żywności oraz wezwał do zwrócenia szczególnej uwagi na żywność dla dzieci i inną żywność specjalnego przeznaczenia;</w:t>
      </w:r>
    </w:p>
    <w:p w:rsidR="00262939" w:rsidRPr="007119AE" w:rsidRDefault="00262939" w:rsidP="00262939">
      <w:pPr>
        <w:pStyle w:val="NormalHanging12a"/>
      </w:pPr>
      <w:r w:rsidRPr="007119AE">
        <w:t>H.</w:t>
      </w:r>
      <w:r w:rsidRPr="007119AE">
        <w:tab/>
      </w:r>
      <w:proofErr w:type="gramStart"/>
      <w:r w:rsidRPr="007119AE">
        <w:t>mając</w:t>
      </w:r>
      <w:proofErr w:type="gramEnd"/>
      <w:r w:rsidRPr="007119AE">
        <w:t xml:space="preserve"> na uwadze, że konsumenci są nadal narażeni na pozytywne oświadczenia żywieniowe lub zdrowotne, mimo iż dotyczą one żywności o wysokiej zawartości tłuszczu, soli lub cukru, co jest niezgodne z celem ochrony konsumentów na wysokim poziomie;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I.</w:t>
      </w:r>
      <w:r w:rsidRPr="007119AE">
        <w:tab/>
      </w:r>
      <w:proofErr w:type="gramStart"/>
      <w:r w:rsidRPr="007119AE">
        <w:t>mając</w:t>
      </w:r>
      <w:proofErr w:type="gramEnd"/>
      <w:r w:rsidRPr="007119AE">
        <w:t xml:space="preserve"> na uwadze, że problemy z wagą i otyłość gwałtownie rosną w większości państw członkowskich, a ponad połowa dorosłych Europejczyków i jedno na troje dzieci ma nadwagę lub jest otyłe</w:t>
      </w:r>
      <w:r w:rsidRPr="007119AE">
        <w:rPr>
          <w:rStyle w:val="FootnoteReference"/>
          <w:szCs w:val="24"/>
        </w:rPr>
        <w:footnoteReference w:id="17"/>
      </w:r>
      <w:r w:rsidRPr="007119AE">
        <w:t>; mając na uwadze, że nadwaga i otyłość u dzieci to coraz większe globalne wyzwania w zakresie zdrowia publicznego; mając na uwadze, że istnieją wystarczające dowody na wpływ promowania żywności o wysokiej zawartości tłuszczu, soli i cukru na otyłość u dzieci, a mimo to dzieci są nadal narażone na duże natężenie takiego marketingu, który wykorzystuje potężne i perswazyjne techniki, w tym coraz częściej za pośrednictwem środków cyfrowych;</w:t>
      </w:r>
    </w:p>
    <w:p w:rsidR="00262939" w:rsidRPr="007119AE" w:rsidRDefault="00262939" w:rsidP="00262939">
      <w:pPr>
        <w:pStyle w:val="NormalHanging12a"/>
        <w:rPr>
          <w:rFonts w:eastAsia="Calibri"/>
        </w:rPr>
      </w:pPr>
      <w:r w:rsidRPr="007119AE">
        <w:t>J.</w:t>
      </w:r>
      <w:r w:rsidRPr="007119AE">
        <w:tab/>
        <w:t>mając na uwadze, że niezdrowa dieta o wysokiej zawartości soli, cukru i tłuszczu, w tym tłuszczów nasyconych i tłuszczów trans, jest głównym czynnikiem ryzyka chorób i śmiertelności w Europie, a według WHO każdego roku powoduje 8 mln przedwczesnych zgonów; mając na uwadze, że w 2017 r. jeden na pięć zgonów wynikał z niezdrowej diety, głównie z powodu chorób układu krążenia i nowotworów; mając na uwadze, że należy położyć większy nacisk na zapobieganie chorobom;</w:t>
      </w:r>
    </w:p>
    <w:p w:rsidR="00262939" w:rsidRPr="007119AE" w:rsidRDefault="00262939" w:rsidP="00262939">
      <w:pPr>
        <w:pStyle w:val="NormalHanging12a"/>
      </w:pPr>
      <w:r w:rsidRPr="007119AE">
        <w:t>K.</w:t>
      </w:r>
      <w:r w:rsidRPr="007119AE">
        <w:tab/>
        <w:t>mając na uwadze, że w swojej rezolucji z 16 lutego 2022 r. w sprawie wzmocnienia Europy w walce z chorobami nowotworowymi – w kierunku kompleksowej i skoordynowanej strategii</w:t>
      </w:r>
      <w:r w:rsidRPr="007119AE">
        <w:rPr>
          <w:rStyle w:val="FootnoteReference"/>
        </w:rPr>
        <w:footnoteReference w:id="18"/>
      </w:r>
      <w:r w:rsidRPr="007119AE">
        <w:t xml:space="preserve"> Parlament podkreślił w szczególności rolę zdrowej diety w profilaktyce i ograniczaniu zachorowalności na nowotwory;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L.</w:t>
      </w:r>
      <w:r w:rsidRPr="007119AE">
        <w:tab/>
      </w:r>
      <w:proofErr w:type="gramStart"/>
      <w:r w:rsidRPr="007119AE">
        <w:t>mając</w:t>
      </w:r>
      <w:proofErr w:type="gramEnd"/>
      <w:r w:rsidRPr="007119AE">
        <w:t xml:space="preserve"> na uwadze, że EFSA nie mógł ustalić „bezpiecznego poziomu spożycia” cukrów wolnych i dodanych, ponieważ „ryzyko niekorzystnych skutków zdrowotnych (reakcji) wzrastało w całym zakresie obserwowanych poziomów spożycia (dawek) w sposób stały (liniowy), tj. im wyższe spożycie, tym większe ryzyko szkodliwego działania”</w:t>
      </w:r>
      <w:r w:rsidRPr="007119AE">
        <w:rPr>
          <w:rStyle w:val="FootnoteReference"/>
          <w:szCs w:val="24"/>
        </w:rPr>
        <w:footnoteReference w:id="19"/>
      </w:r>
      <w:r w:rsidRPr="007119AE">
        <w:t xml:space="preserve">; mając na uwadze, że Międzynarodowa Agencja Badań nad Rakiem Światowej </w:t>
      </w:r>
      <w:r w:rsidRPr="007119AE">
        <w:lastRenderedPageBreak/>
        <w:t xml:space="preserve">Organizacji Zdrowia zakwalifikowała substancję słodzącą aspartam jako przypuszczalnie rakotwórczą dla ludzi; mając na uwadze, że systematyczny przegląd przeprowadzony przez WHO sugeruje, że może istnieć związek między bezcukrowymi substancjami słodzącymi a zwiększonym ryzykiem zachorowania na cukrzycę typu 2, na choroby układu krążenia oraz ogólną umieralnością i zwiększoną masą ciała; mając </w:t>
      </w:r>
      <w:proofErr w:type="gramStart"/>
      <w:r w:rsidRPr="007119AE">
        <w:t>na</w:t>
      </w:r>
      <w:proofErr w:type="gramEnd"/>
      <w:r w:rsidRPr="007119AE">
        <w:t xml:space="preserve"> uwadze, że zdrowsza dieta, która obejmuje zwiększone spożycie żywności pochodzenia roślinnego, takiej jak świeże owoce i warzywa, produkty pełnoziarniste i rośliny strączkowe, oraz unikanie nadmiernego spożycia mięsa i produktów wysoko przetworzonych, przyczynia się do poprawy zdrowia, zmniejszenia śmiertelności spowodowanej chorobami niezakaźnymi związanymi z dietą i przynosi korzyści dla środowiska;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rPr>
          <w:color w:val="000000"/>
        </w:rPr>
        <w:t>M.</w:t>
      </w:r>
      <w:r w:rsidRPr="007119AE">
        <w:rPr>
          <w:color w:val="000000"/>
        </w:rPr>
        <w:tab/>
        <w:t xml:space="preserve">mając na uwadze, że skuteczne narzędzia informacyjne, takie jak oznaczenia wartości odżywczych na przodzie opakowania, pomagają konsumentom w dokonywaniu zdrowszych wyborów żywieniowych, a tym samym zapobiegają niezdrowemu spożyciu żywności o wysokiej zawartości soli, tłuszczu i cukru; mając na uwadze, że Parlament poparł przyjęcie takich oznaczeń w swojej rezolucji z własnej inicjatywy z 20 października 2021 r. w sprawie strategii „Od pola do stołu”, w której wezwał Komisję do zapewnienia opracowania obowiązkowego i zharmonizowanego unijnego oznaczenia wartości odżywczej na przedniej części opakowania w oparciu o dowody naukowe oraz wykazał się zrozumieniem konsumentów w celu wspierania dostarczania dokładnych informacji na temat żywności i </w:t>
      </w:r>
      <w:proofErr w:type="gramStart"/>
      <w:r w:rsidRPr="007119AE">
        <w:rPr>
          <w:color w:val="000000"/>
        </w:rPr>
        <w:t>zdrowszych</w:t>
      </w:r>
      <w:proofErr w:type="gramEnd"/>
      <w:r w:rsidRPr="007119AE">
        <w:rPr>
          <w:color w:val="000000"/>
        </w:rPr>
        <w:t xml:space="preserve"> alternatyw;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N.</w:t>
      </w:r>
      <w:r w:rsidRPr="007119AE">
        <w:tab/>
        <w:t>mając na uwadze, że w 2012 r. Komisja sporządziła wykaz „w zawieszeniu” 2078 oświadczeń zdrowotnych dotyczących substancji roślinnych, głównie ze względu na brak badań interwencyjnych z udziałem ludzi, co doprowadziło do zawieszenia procedury oceny i wydawania zezwoleń przez EFSA w 2010 r.; mając na uwadze, że oświadczenia zdrowotne „w zawieszeniu” – zarówno te negatywnie ocenione, jak i te, które nie zostały jeszcze poddane przeglądowi – mogą być nadal stosowane na rynku UE zgodnie ze środkami przejściowymi określonymi w rozporządzeniu w sprawie oświadczeń żywieniowych i zdrowotnych dotyczących żywności do czasu podjęcia decyzji w sprawie wykazu „w zawieszeniu”;</w:t>
      </w:r>
    </w:p>
    <w:p w:rsidR="00262939" w:rsidRPr="007119AE" w:rsidRDefault="00262939" w:rsidP="00262939">
      <w:pPr>
        <w:pStyle w:val="NormalHanging12a"/>
      </w:pPr>
      <w:r w:rsidRPr="007119AE">
        <w:rPr>
          <w:color w:val="000000"/>
        </w:rPr>
        <w:t>O.</w:t>
      </w:r>
      <w:r w:rsidRPr="007119AE">
        <w:rPr>
          <w:color w:val="000000"/>
        </w:rPr>
        <w:tab/>
      </w:r>
      <w:proofErr w:type="gramStart"/>
      <w:r w:rsidRPr="007119AE">
        <w:rPr>
          <w:color w:val="000000"/>
        </w:rPr>
        <w:t>mając</w:t>
      </w:r>
      <w:proofErr w:type="gramEnd"/>
      <w:r w:rsidRPr="007119AE">
        <w:rPr>
          <w:color w:val="000000"/>
        </w:rPr>
        <w:t xml:space="preserve"> na uwadze, że w 2020 r. Komisja stwierdziła w swoim sprawozdaniu oceniającym rozporządzenie w sprawie oświadczeń żywieniowych i zdrowotnych dotyczących żywności, że konsumenci nadal są narażeni na oświadczenia zdrowotne dotyczące substancji botanicznych o różnym poziomie oceny naukowej, w tym bezpodstawne oświadczenia zdrowotne, w przypadku których mogą sądzić, że deklarowane korzystne skutki zostały ocenione naukowo, choć tak nie jest;</w:t>
      </w:r>
    </w:p>
    <w:p w:rsidR="00262939" w:rsidRPr="007119AE" w:rsidRDefault="00262939" w:rsidP="00262939">
      <w:pPr>
        <w:pStyle w:val="NormalHanging12a"/>
      </w:pPr>
      <w:r w:rsidRPr="007119AE">
        <w:t>P.</w:t>
      </w:r>
      <w:r w:rsidRPr="007119AE">
        <w:tab/>
        <w:t>mając na uwadze, że większa koordynacja ram bezpieczeństwa dla substancji botanicznych mogłaby przyczynić się do poprawy ochrony konsumentów;</w:t>
      </w:r>
    </w:p>
    <w:p w:rsidR="00262939" w:rsidRPr="007119AE" w:rsidRDefault="00262939" w:rsidP="00262939">
      <w:pPr>
        <w:pStyle w:val="NormalHanging12a"/>
      </w:pPr>
      <w:r w:rsidRPr="007119AE">
        <w:rPr>
          <w:color w:val="000000"/>
        </w:rPr>
        <w:t>Q.</w:t>
      </w:r>
      <w:r w:rsidRPr="007119AE">
        <w:rPr>
          <w:color w:val="000000"/>
        </w:rPr>
        <w:tab/>
      </w:r>
      <w:proofErr w:type="gramStart"/>
      <w:r w:rsidRPr="007119AE">
        <w:rPr>
          <w:color w:val="000000"/>
        </w:rPr>
        <w:t>mając</w:t>
      </w:r>
      <w:proofErr w:type="gramEnd"/>
      <w:r w:rsidRPr="007119AE">
        <w:rPr>
          <w:color w:val="000000"/>
        </w:rPr>
        <w:t xml:space="preserve"> na uwadze, że prawodawstwo dotyczące substancji botanicznych w żywności i suplementach diety nie jest zharmonizowane na szczeblu UE; mając na uwadze, że państwa członkowskie posiadają albo wykaz pozytywny, albo negatywny, albo nie mają wykazu substancji botanicznych dozwolonych w żywności; mając na uwadze, że klasyfikacja substancji botanicznych jako żywności lub leków należy do kompetencji poszczególnych państw członkowskich; mając na uwadze, że celem produktu leczniczego jest leczenie lub profilaktyka chorób u ludzi, a suplementy diety są przeznaczone dla konsumentów, którzy nie mają bezpośrednich potrzeb medycznych; </w:t>
      </w:r>
      <w:r w:rsidRPr="007119AE">
        <w:lastRenderedPageBreak/>
        <w:t>mając na uwadze, że w związku z tym należy zachować wyraźne rozróżnienie między żywnością a lekami;</w:t>
      </w:r>
    </w:p>
    <w:p w:rsidR="00262939" w:rsidRPr="007119AE" w:rsidRDefault="00262939" w:rsidP="00262939">
      <w:pPr>
        <w:pStyle w:val="NormalHanging12a"/>
        <w:rPr>
          <w:color w:val="000000"/>
          <w:szCs w:val="24"/>
        </w:rPr>
      </w:pPr>
      <w:r w:rsidRPr="007119AE">
        <w:rPr>
          <w:color w:val="000000"/>
        </w:rPr>
        <w:t>R.</w:t>
      </w:r>
      <w:r w:rsidRPr="007119AE">
        <w:rPr>
          <w:color w:val="000000"/>
        </w:rPr>
        <w:tab/>
        <w:t>mając na uwadze, że roślinne produkty lecznicze muszą przejść procedury wydawania pozwoleń przed ich wprowadzeniem na rynek UE, co wymaga wykazania bezpieczeństwa i skuteczności tych produktów oraz spełnienia dodatkowych wymogów prawnych w takich aspektach, jak ocena jakości, nadzór nad bezpieczeństwem farmakoterapii i zgodność z zasadami dobrej praktyki produkcyjnej; mając na uwadze, że roślinne produkty lecznicze, które są bezpiecznie stosowane od 30 lat, w tym od 15 lat w UE, mogą skorzystać z uproszczonej procedury rejestracji tradycyjnych roślinnych produktów leczniczych, w ramach której dane dotyczące „tradycyjnego stosowania” są akceptowane w celu potwierdzenia bezpieczeństwa i skuteczności produktu;</w:t>
      </w:r>
    </w:p>
    <w:p w:rsidR="00262939" w:rsidRPr="007119AE" w:rsidRDefault="00262939" w:rsidP="00262939">
      <w:pPr>
        <w:pStyle w:val="NormalHanging12a"/>
      </w:pPr>
      <w:r w:rsidRPr="007119AE">
        <w:rPr>
          <w:color w:val="000000"/>
        </w:rPr>
        <w:t>S.</w:t>
      </w:r>
      <w:r w:rsidRPr="007119AE">
        <w:rPr>
          <w:color w:val="000000"/>
        </w:rPr>
        <w:tab/>
        <w:t>mając na uwadze, że egzekwowanie rozporządzenia w sprawie oświadczeń żywieniowych i zdrowotnych dotyczących żywności w odniesieniu do oświadczeń dotyczących substancji botanicznych uległo znacznemu opóźnieniu; mając na uwadze, że cel rozporządzenia w sprawie oświadczeń żywieniowych i zdrowotnych dotyczących żywności, jakim jest zapewnienie wysokiego poziomu ochrony konsumentów, wymaga szybkich działań ze strony Komisji w celu pełnego egzekwowania lub zmiany tego rozporządzenia, ponieważ pod pewnymi względami nie jest ono odpowiednie do zakładanych celów;</w:t>
      </w:r>
    </w:p>
    <w:p w:rsidR="00262939" w:rsidRPr="007119AE" w:rsidRDefault="00262939" w:rsidP="00262939">
      <w:pPr>
        <w:pStyle w:val="NormalHanging12a"/>
      </w:pPr>
      <w:r w:rsidRPr="007119AE">
        <w:t>T.</w:t>
      </w:r>
      <w:r w:rsidRPr="007119AE">
        <w:tab/>
        <w:t>mając na uwadze, że państwa członkowskie są odpowiedzialne za egzekwowanie rozporządzenia w sprawie oświadczeń żywieniowych i zdrowotnych dotyczących żywności w ramach swoich jurysdykcji; mając na uwadze, że państwa członkowskie są zobowiązane do stosowania zasady wzajemnego uznawania; mając na uwadze, że ze względu na różnice w interpretacji i rozbieżności w egzekwowaniu przepisów między państwami członkowskimi działania egzekucyjne w związku z niewłaściwym stosowaniem oświadczeń różnią się, poczynając od porad dotyczących sposobu korygowania oświadczeń aż po grzywny za ich niewłaściwe stosowanie;</w:t>
      </w:r>
    </w:p>
    <w:p w:rsidR="00262939" w:rsidRPr="007119AE" w:rsidRDefault="00262939" w:rsidP="00262939">
      <w:pPr>
        <w:pStyle w:val="NormalHanging12a"/>
      </w:pPr>
      <w:r w:rsidRPr="007119AE">
        <w:t>U.</w:t>
      </w:r>
      <w:r w:rsidRPr="007119AE">
        <w:tab/>
      </w:r>
      <w:proofErr w:type="gramStart"/>
      <w:r w:rsidRPr="007119AE">
        <w:t>mając</w:t>
      </w:r>
      <w:proofErr w:type="gramEnd"/>
      <w:r w:rsidRPr="007119AE">
        <w:t xml:space="preserve"> na uwadze, że media społecznościowe w znacznym stopniu przyczyniają się do reklamy i sprzedaży żywności i suplementów diety, a zakres, w jakim rozporządzenie w sprawie oświadczeń żywieniowych i zdrowotnych dotyczących żywności reguluje internetowe informacje o żywności związane ze zdrowiem, pozostaje niejasny; mając na uwadze, że influencerskie lub celebryckie komunikaty w mediach społecznościowych nie zawsze wyraźnie dopowiadają, czy mają charakter komercyjny czy niekomercyjny</w:t>
      </w:r>
      <w:r w:rsidRPr="007119AE">
        <w:rPr>
          <w:rStyle w:val="FootnoteReference"/>
          <w:rFonts w:eastAsia="Calibri"/>
          <w:szCs w:val="24"/>
        </w:rPr>
        <w:footnoteReference w:id="20"/>
      </w:r>
      <w:r w:rsidRPr="007119AE">
        <w:t>, oraz mogą prowadzić do niezweryfikowanych fałszywych i wprowadzających w błąd oświadczeń na temat produktów spożywczych, na przykład w odniesieniu do reklamy białka i innych suplementów w celu zwiększenia przyrostu mięśni;</w:t>
      </w:r>
    </w:p>
    <w:p w:rsidR="00262939" w:rsidRPr="007119AE" w:rsidRDefault="00262939" w:rsidP="00262939">
      <w:pPr>
        <w:pStyle w:val="NormalHanging12a"/>
      </w:pPr>
      <w:r w:rsidRPr="007119AE">
        <w:t>1.</w:t>
      </w:r>
      <w:r w:rsidRPr="007119AE">
        <w:tab/>
      </w:r>
      <w:proofErr w:type="gramStart"/>
      <w:r w:rsidRPr="007119AE">
        <w:t>zauważa</w:t>
      </w:r>
      <w:proofErr w:type="gramEnd"/>
      <w:r w:rsidRPr="007119AE">
        <w:t xml:space="preserve">, że głównym celem rozporządzenia w sprawie oświadczeń żywieniowych i zdrowotnych dotyczących żywności jest zapewnienie, aby oświadczenia żywieniowe opierały się na ogólnie przyjętych dowodach naukowych i można oczekiwać od nich, że </w:t>
      </w:r>
      <w:r w:rsidRPr="007119AE">
        <w:lastRenderedPageBreak/>
        <w:t>będą zrozumiałe dla przeciętnego konsumenta; podkreśla, że w praktyce nadal zgłaszane są wprowadzające w błąd oświadczenia zarówno w ramach sprzedaży żywności w internecie, jak i poza nim;</w:t>
      </w:r>
    </w:p>
    <w:p w:rsidR="00262939" w:rsidRPr="007119AE" w:rsidRDefault="00262939" w:rsidP="00262939">
      <w:pPr>
        <w:pStyle w:val="NormalHanging12a"/>
      </w:pPr>
      <w:r w:rsidRPr="007119AE">
        <w:t>2.</w:t>
      </w:r>
      <w:r w:rsidRPr="007119AE">
        <w:tab/>
      </w:r>
      <w:proofErr w:type="gramStart"/>
      <w:r w:rsidRPr="007119AE">
        <w:t>zwraca</w:t>
      </w:r>
      <w:proofErr w:type="gramEnd"/>
      <w:r w:rsidRPr="007119AE">
        <w:t xml:space="preserve"> uwagę na rosnące zainteresowanie konsumentów informacjami na temat żywności</w:t>
      </w:r>
      <w:r w:rsidRPr="007119AE">
        <w:rPr>
          <w:rStyle w:val="FootnoteReference"/>
          <w:szCs w:val="24"/>
        </w:rPr>
        <w:footnoteReference w:id="21"/>
      </w:r>
      <w:r w:rsidRPr="007119AE">
        <w:t>; podkreśla potrzebę dopilnowania, by informacje o wartościach odżywczych lub zdrowotnych żywności podawane na etykietach i wykorzystywane do celów prezentacji, marketingu i reklamy były dokładne, oparte na wiedzy naukowej i zrozumiałe; wzywa do regularnego aktualizowania wykazu dozwolonych oświadczeń żywieniowych i zdrowotnych dotyczących żywności zgodnie z postępem naukowym w dziedzinie żywności i żywienia;</w:t>
      </w:r>
    </w:p>
    <w:p w:rsidR="00262939" w:rsidRPr="007119AE" w:rsidRDefault="00262939" w:rsidP="00262939">
      <w:pPr>
        <w:pStyle w:val="NormalHanging12a"/>
      </w:pPr>
      <w:r w:rsidRPr="007119AE">
        <w:t>3.</w:t>
      </w:r>
      <w:r w:rsidRPr="007119AE">
        <w:tab/>
      </w:r>
      <w:proofErr w:type="gramStart"/>
      <w:r w:rsidRPr="007119AE">
        <w:t>podkreśla</w:t>
      </w:r>
      <w:proofErr w:type="gramEnd"/>
      <w:r w:rsidRPr="007119AE">
        <w:t xml:space="preserve"> potrzebę zapewnienia zgodności oświadczeń zdrowotnych z polityką i priorytetami UE w dziedzinie zdrowia; potwierdza znaczenie swobody decyzyjnej Komisji w zakresie nieudzielania zezwoleń na oświadczenia, w przypadku gdy mogłyby one prowadzić do przekazywania konsumentom sprzecznych i mylących informacji</w:t>
      </w:r>
      <w:r w:rsidRPr="007119AE">
        <w:rPr>
          <w:vertAlign w:val="superscript"/>
        </w:rPr>
        <w:footnoteReference w:id="22"/>
      </w:r>
      <w:r w:rsidRPr="007119AE">
        <w:t>;</w:t>
      </w:r>
    </w:p>
    <w:p w:rsidR="00262939" w:rsidRPr="007119AE" w:rsidRDefault="00262939" w:rsidP="00262939">
      <w:pPr>
        <w:pStyle w:val="NormalHanging12a"/>
        <w:rPr>
          <w:b/>
          <w:i/>
        </w:rPr>
      </w:pPr>
      <w:r w:rsidRPr="007119AE">
        <w:rPr>
          <w:b/>
          <w:i/>
        </w:rPr>
        <w:t>Uwzględnienie profili składników odżywczych w ocenach oświadczeń zdrowotnych</w:t>
      </w:r>
    </w:p>
    <w:p w:rsidR="00262939" w:rsidRPr="007119AE" w:rsidRDefault="00262939" w:rsidP="00262939">
      <w:pPr>
        <w:pStyle w:val="NormalHanging12a"/>
      </w:pPr>
      <w:r w:rsidRPr="007119AE">
        <w:t>4.</w:t>
      </w:r>
      <w:r w:rsidRPr="007119AE">
        <w:tab/>
      </w:r>
      <w:proofErr w:type="gramStart"/>
      <w:r w:rsidRPr="007119AE">
        <w:t>przypomina</w:t>
      </w:r>
      <w:proofErr w:type="gramEnd"/>
      <w:r w:rsidRPr="007119AE">
        <w:t xml:space="preserve">, że na mocy art. 4 rozporządzenia w sprawie oświadczeń żywieniowych i zdrowotnych dotyczących żywności Komisja powinna była ustanowić profile składników odżywczych w celu ograniczenia stosowania oświadczeń żywieniowych i zdrowotnych w przypadku żywności o wysokiej zawartości tłuszczu, cukru lub soli do 19 stycznia 2009 r.; ubolewa, że wniosek Komisji w sprawie profili składników odżywczych nie został jeszcze przedłożony, mimo że zaplanowano go na 2022 r. w ramach przeglądu przepisów UE dotyczących przekazywania konsumentom informacji na temat żywności; podkreśla, że ustalanie profili składników odżywczych z określonymi progami składników odżywczych w celu stosowania oświadczeń zdrowotnych i żywieniowych, zgodnie z art. 4 rozporządzenia w sprawie oświadczeń żywieniowych i </w:t>
      </w:r>
      <w:proofErr w:type="gramStart"/>
      <w:r w:rsidRPr="007119AE">
        <w:t>zdrowotnych</w:t>
      </w:r>
      <w:proofErr w:type="gramEnd"/>
      <w:r w:rsidRPr="007119AE">
        <w:t xml:space="preserve"> dotyczących żywności, pozostaje aktualne i konieczne do osiągnięcia celów ww. rozporządzenia;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5.</w:t>
      </w:r>
      <w:r w:rsidRPr="007119AE">
        <w:tab/>
      </w:r>
      <w:proofErr w:type="gramStart"/>
      <w:r w:rsidRPr="007119AE">
        <w:t>przypomina</w:t>
      </w:r>
      <w:proofErr w:type="gramEnd"/>
      <w:r w:rsidRPr="007119AE">
        <w:t xml:space="preserve">, że oświadczenia nie powinny wprowadzać konsumentów w błąd co do rzeczywistej wartości odżywczej produktu; podkreśla, że w sytuacji braku profili składników odżywczych oświadczenia mogą podkreślać jeden pozytywny aspekt ogólnie niezdrowego produktu lub produktu, w przypadku którego przekroczone zostały progi zawartości określonych składników odżywczych, takich jak tłuszcz, cukier i sól; zauważa, że w przypadku wielu produktów spożywczych, w tym także adresowanych do dzieci, nadal wykorzystuje się oświadczenia zdrowotne i żywieniowe, mimo że zawierają one znaczne ilości składników odżywczych budzących obawy; podkreśla, że opracowanie specjalnych profili składników odżywczych, jak przewidziano w art. 4 rozporządzenia w sprawie oświadczeń żywieniowych i zdrowotnych dotyczących żywności </w:t>
      </w:r>
      <w:proofErr w:type="gramStart"/>
      <w:r w:rsidRPr="007119AE">
        <w:t>i</w:t>
      </w:r>
      <w:proofErr w:type="gramEnd"/>
      <w:r w:rsidRPr="007119AE">
        <w:t xml:space="preserve"> zgodnie z celami tego rozporządzenia, jest konieczne, aby ograniczyć stosowanie oświadczeń żywieniowych i zdrowotnych dotyczących żywności o wysokiej zawartości tłuszczu, cukru i/lub soli; podkreśla, że przyszłe profile składników </w:t>
      </w:r>
      <w:r w:rsidRPr="007119AE">
        <w:lastRenderedPageBreak/>
        <w:t>odżywczych, które powinny być oparte na solidnych i niezależnych dowodach naukowych, mogą pomóc konsumentom w dokonywaniu świadomych, zdrowych i zrównoważonych wyborów produktów spożywczych;</w:t>
      </w:r>
    </w:p>
    <w:p w:rsidR="00262939" w:rsidRPr="007119AE" w:rsidRDefault="00262939" w:rsidP="00262939">
      <w:pPr>
        <w:pStyle w:val="NormalHanging12a"/>
      </w:pPr>
      <w:r w:rsidRPr="007119AE">
        <w:t>6.</w:t>
      </w:r>
      <w:r w:rsidRPr="007119AE">
        <w:tab/>
      </w:r>
      <w:proofErr w:type="gramStart"/>
      <w:r w:rsidRPr="007119AE">
        <w:t>ubolewa</w:t>
      </w:r>
      <w:proofErr w:type="gramEnd"/>
      <w:r w:rsidRPr="007119AE">
        <w:t xml:space="preserve"> nad brakiem systematycznego i opartego na dowodach podejścia do tworzenia środowiska żywnościowego, które pomaga konsumentom w dokonywaniu świadomych wyborów i wspiera przejście na zdrowszą dietę, w tym zwiększone spożycie żywności pochodzenia roślinnego, takiej jak świeże owoce i warzywa, produkty pełnoziarniste i rośliny strączkowe; uważa, że oprócz prawidłowego wdrażania rozporządzenia w sprawie oświadczeń żywieniowych i zdrowotnych dotyczących żywności Komisja i państwa członkowskie powinny więcej inwestować w edukację w zakresie żywności i żywienia, np. poprzez kampanie informacyjne, za pośrednictwem różnych programów, w tym Programu UE dla zdrowia, zwłaszcza poprzez wspieranie działań w szkołach mających na celu nauczanie dzieci i młodzieży o </w:t>
      </w:r>
      <w:proofErr w:type="gramStart"/>
      <w:r w:rsidRPr="007119AE">
        <w:t>zdrowej</w:t>
      </w:r>
      <w:proofErr w:type="gramEnd"/>
      <w:r w:rsidRPr="007119AE">
        <w:t xml:space="preserve"> i zrównoważonej diecie; podkreśla wpływ uwarunkowań społecznych na umiejętność rozumienia przez konsumentów oświadczeń dotyczących żywności; wskazuje, że samo podawanie informacji, edukacja i kampanie uświadamiające nie wystarczą do uzyskania świadomych wyborów konsumenckich i muszą im towarzyszyć zasady, które poprawią środowisko żywnościowe;</w:t>
      </w:r>
    </w:p>
    <w:p w:rsidR="00262939" w:rsidRPr="007119AE" w:rsidRDefault="00262939" w:rsidP="00262939">
      <w:pPr>
        <w:pStyle w:val="NormalHanging12a"/>
        <w:rPr>
          <w:b/>
          <w:i/>
        </w:rPr>
      </w:pPr>
      <w:r w:rsidRPr="007119AE">
        <w:rPr>
          <w:b/>
          <w:i/>
        </w:rPr>
        <w:t>Informowanie konsumentów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7.</w:t>
      </w:r>
      <w:r w:rsidRPr="007119AE">
        <w:tab/>
      </w:r>
      <w:proofErr w:type="gramStart"/>
      <w:r w:rsidRPr="007119AE">
        <w:t>podkreśla</w:t>
      </w:r>
      <w:proofErr w:type="gramEnd"/>
      <w:r w:rsidRPr="007119AE">
        <w:t xml:space="preserve">, że konsumenci mają tendencję do nadmiernego spożywania produktów spożywczych opatrzonych oświadczeniami utrzymującymi, że promują one lepsze zdrowie, co jest nazywane „efektem aureoli”; opowiada się za umieszczeniem zarówno minimalnych, jak i maksymalnych progów stosowania na etykietach produktów wszelkiej żywności i suplementów diety opatrzonych oświadczeniami zdrowotnymi, a także za zaleceniem, aby przed spożyciem suplementów diety konsultować się z pracownikiem służby zdrowia, w szczególności aby uniknąć potencjalnych niepożądanych interakcji z niektórymi metodami leczenia i uniknąć wzmacniania potencjalnych zaburzeń odżywiania; podkreśla, że oczekuje się, iż w szybko zmieniającym się środowisku żywnościowym utrzyma się asymetria informacyjna, i wzywa do finansowania badań nad rozumieniem oświadczeń </w:t>
      </w:r>
      <w:proofErr w:type="gramStart"/>
      <w:r w:rsidRPr="007119AE">
        <w:t>przez</w:t>
      </w:r>
      <w:proofErr w:type="gramEnd"/>
      <w:r w:rsidRPr="007119AE">
        <w:t xml:space="preserve"> konsumentów;</w:t>
      </w:r>
    </w:p>
    <w:p w:rsidR="00262939" w:rsidRPr="007119AE" w:rsidRDefault="00262939" w:rsidP="00262939">
      <w:pPr>
        <w:pStyle w:val="NormalHanging12a"/>
      </w:pPr>
      <w:r w:rsidRPr="007119AE">
        <w:t>8.</w:t>
      </w:r>
      <w:r w:rsidRPr="007119AE">
        <w:tab/>
      </w:r>
      <w:proofErr w:type="gramStart"/>
      <w:r w:rsidRPr="007119AE">
        <w:t>wyraża</w:t>
      </w:r>
      <w:proofErr w:type="gramEnd"/>
      <w:r w:rsidRPr="007119AE">
        <w:t xml:space="preserve"> ubolewanie z powodu opóźnienia wniosku dotyczącego przeglądu rozporządzenia (UE) nr 1169/2011 w sprawie przekazywania konsumentom informacji na temat żywności w odniesieniu do opracowania etykiet z informacjami o wartościach odżywczych na przedniej stronie opakowania, które, jak wykazano, skutecznie pomagają konsumentom w wybieraniu zdrowszej żywności i napojów; zwraca się do Komisji i państw członkowskich o zachęcanie i wspieranie konsumentów w dokonywaniu świadomych, zdrowych i zrównoważonych wyborów dotyczących produktów spożywczych poprzez jak najszybsze przyjęcie obowiązkowego i zharmonizowanego w UE podawania wartości odżywczej, które będzie opracowywane na podstawie solidnych, niezależnych dowodów naukowych i wykazanym zrozumieniu konsumentów; zauważa, że badania pokazują, iż wpływu żywności na </w:t>
      </w:r>
      <w:proofErr w:type="gramStart"/>
      <w:r w:rsidRPr="007119AE">
        <w:t>zdrowie</w:t>
      </w:r>
      <w:proofErr w:type="gramEnd"/>
      <w:r w:rsidRPr="007119AE">
        <w:t xml:space="preserve"> nie można wytłumaczyć jedynie składem odżywczym, ale również poziomem przetworzenia, zwłaszcza w przypadku żywności wysoko przetworzonej; podkreśla w związku z tym, że umieszczanie informacji na temat przetwarzania żywności na etykietach interpretacyjnych dotyczących wartości odżywczej z przodu opakowania może leżeć w interesie zdrowia publicznego i konsumentów oraz może okazać się skuteczne w pomaganiu konsumentom w dokonywaniu zdrowszych wyborów </w:t>
      </w:r>
      <w:r w:rsidRPr="007119AE">
        <w:lastRenderedPageBreak/>
        <w:t>żywieniowych; wzywa do wprowadzenia środków regulacyjnych w celu zmniejszenia obciążenia, jakie wysoko przetworzona żywność stanowi dla zdrowia publicznego;</w:t>
      </w:r>
    </w:p>
    <w:p w:rsidR="00262939" w:rsidRPr="007119AE" w:rsidRDefault="00262939" w:rsidP="00262939">
      <w:pPr>
        <w:pStyle w:val="NormalHanging12a"/>
        <w:rPr>
          <w:b/>
          <w:i/>
        </w:rPr>
      </w:pPr>
      <w:r w:rsidRPr="007119AE">
        <w:rPr>
          <w:b/>
          <w:i/>
        </w:rPr>
        <w:t>Znaczenie oświadczeń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9.</w:t>
      </w:r>
      <w:r w:rsidRPr="007119AE">
        <w:tab/>
      </w:r>
      <w:proofErr w:type="gramStart"/>
      <w:r w:rsidRPr="007119AE">
        <w:t>zauważa</w:t>
      </w:r>
      <w:proofErr w:type="gramEnd"/>
      <w:r w:rsidRPr="007119AE">
        <w:t>, że wiele oświadczeń stosowanych na rynku UE dotyczy składników odżywczych, których bardzo rzadko brakuje w diecie europejskich konsumentów; wzywa Komisję do zbadania możliwości ustawodawczych rozszerzenia kompetencji EFSA o ocenę zasadności stosowania takich oświadczeń, a także o zbadanie naukowych podstaw takich oświadczeń; zdecydowanie popiera bieżące publikowanie przez EFSA szczegółowych wytycznych dotyczących stosowania oświadczeń;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10.</w:t>
      </w:r>
      <w:r w:rsidRPr="007119AE">
        <w:tab/>
      </w:r>
      <w:proofErr w:type="gramStart"/>
      <w:r w:rsidRPr="007119AE">
        <w:t>wzywa</w:t>
      </w:r>
      <w:proofErr w:type="gramEnd"/>
      <w:r w:rsidRPr="007119AE">
        <w:t xml:space="preserve"> Komisję do oceny możliwości ograniczenia stosowania dopuszczonego oświadczenia żywieniowego „bez dodatku cukru” w odniesieniu do produktów zawierających substancje słodzące lub wysoki poziom wolnych cukrów;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11.</w:t>
      </w:r>
      <w:r w:rsidRPr="007119AE">
        <w:tab/>
      </w:r>
      <w:proofErr w:type="gramStart"/>
      <w:r w:rsidRPr="007119AE">
        <w:t>podkreśla</w:t>
      </w:r>
      <w:proofErr w:type="gramEnd"/>
      <w:r w:rsidRPr="007119AE">
        <w:t>, że nawet jeżeli oświadczenia dotyczące preparatów do początkowego żywienia niemowląt są naukowo uzasadnione, takie jak oświadczenie zdrowotne „stosowanie DHA przyczynia się do prawidłowego rozwoju wzroku niemowląt w wieku do 12 miesięcy”, ich stosowanie powinno unikać wpływania na wybory dotyczące żywienia niemowląt i ograniczania ulepszeń w preparatach do początkowego żywienia niemowląt</w:t>
      </w:r>
      <w:r w:rsidRPr="007119AE">
        <w:rPr>
          <w:szCs w:val="24"/>
          <w:vertAlign w:val="superscript"/>
        </w:rPr>
        <w:footnoteReference w:id="23"/>
      </w:r>
      <w:r w:rsidRPr="007119AE">
        <w:t xml:space="preserve">; </w:t>
      </w:r>
    </w:p>
    <w:p w:rsidR="00262939" w:rsidRPr="007119AE" w:rsidRDefault="00262939" w:rsidP="00262939">
      <w:pPr>
        <w:pStyle w:val="NormalHanging12a"/>
      </w:pPr>
      <w:r w:rsidRPr="007119AE">
        <w:t>12.</w:t>
      </w:r>
      <w:r w:rsidRPr="007119AE">
        <w:tab/>
      </w:r>
      <w:proofErr w:type="gramStart"/>
      <w:r w:rsidRPr="007119AE">
        <w:t>popiera</w:t>
      </w:r>
      <w:proofErr w:type="gramEnd"/>
      <w:r w:rsidRPr="007119AE">
        <w:t xml:space="preserve"> przeprowadzenie wcześniejszych konsultacji między producentami a EFSA, aby umożliwić EFSA przedstawienie jej oczekiwań w kontekście złożenia wniosku o wydanie oświadczenia, przy jednoczesnym poszanowaniu zasady niezależności EFSA;</w:t>
      </w:r>
    </w:p>
    <w:p w:rsidR="00262939" w:rsidRPr="007119AE" w:rsidRDefault="00262939" w:rsidP="00262939">
      <w:pPr>
        <w:pStyle w:val="NormalHanging12a"/>
        <w:rPr>
          <w:b/>
          <w:i/>
        </w:rPr>
      </w:pPr>
      <w:r w:rsidRPr="007119AE">
        <w:rPr>
          <w:b/>
          <w:i/>
        </w:rPr>
        <w:t>Substancje botaniczne</w:t>
      </w:r>
    </w:p>
    <w:p w:rsidR="00262939" w:rsidRPr="007119AE" w:rsidRDefault="00262939" w:rsidP="00262939">
      <w:pPr>
        <w:pStyle w:val="NormalHanging12a"/>
        <w:rPr>
          <w:szCs w:val="22"/>
        </w:rPr>
      </w:pPr>
      <w:r w:rsidRPr="007119AE">
        <w:t>13.</w:t>
      </w:r>
      <w:r w:rsidRPr="007119AE">
        <w:tab/>
      </w:r>
      <w:proofErr w:type="gramStart"/>
      <w:r w:rsidRPr="007119AE">
        <w:t>zwraca</w:t>
      </w:r>
      <w:proofErr w:type="gramEnd"/>
      <w:r w:rsidRPr="007119AE">
        <w:t xml:space="preserve"> uwagę, że brak harmonizacji na szczeblu UE w zakresie klasyfikacji substancji botanicznych jako żywności lub leków oznacza, że ta sama substancja roślinna może być opisana jako „żywność” w jednym państwie członkowskim, a jako „lekarstwo” w innym; podkreśla, że takie niespójności stanowią wyzwanie dla producentów i organów regulacyjnych oraz mogą mieć negatywny wpływ na bezpieczeństwo i dobrostan konsumentów, ponieważ konsumentom trudno jest odróżnić tradycyjne leki ziołowe od botanicznych suplementów diety opartych na tej samej substancji roślinnej (tych samych substancjach roślinnych), co może prowadzić do nieporozumień związanych z ich stosowaniem;</w:t>
      </w:r>
    </w:p>
    <w:p w:rsidR="00262939" w:rsidRPr="007119AE" w:rsidRDefault="00262939" w:rsidP="00262939">
      <w:pPr>
        <w:pStyle w:val="NormalHanging12a"/>
      </w:pPr>
      <w:r w:rsidRPr="007119AE">
        <w:t>14</w:t>
      </w:r>
      <w:r w:rsidR="00CF255C">
        <w:t>.</w:t>
      </w:r>
      <w:bookmarkStart w:id="7" w:name="_GoBack"/>
      <w:bookmarkEnd w:id="7"/>
      <w:r w:rsidRPr="007119AE">
        <w:tab/>
      </w:r>
      <w:proofErr w:type="gramStart"/>
      <w:r w:rsidRPr="007119AE">
        <w:t>zwraca</w:t>
      </w:r>
      <w:proofErr w:type="gramEnd"/>
      <w:r w:rsidRPr="007119AE">
        <w:t xml:space="preserve"> uwagę na brak unijnego pozytywnego lub negatywnego wykazu substancji botanicznych stosowanych w żywności i suplementach diety, a także na brak wyczerpującego wykazu korzystnych lub szkodliwych skutków zdrowotnych substancji </w:t>
      </w:r>
      <w:r w:rsidRPr="007119AE">
        <w:lastRenderedPageBreak/>
        <w:t>botanicznych, co prowadzi do różnic w przepisach między państwami członkowskimi, fragmentacji rynku i potencjalnie niebezpiecznych produktów docierających do konsumentów;</w:t>
      </w:r>
    </w:p>
    <w:p w:rsidR="00262939" w:rsidRPr="007119AE" w:rsidRDefault="00262939" w:rsidP="00262939">
      <w:pPr>
        <w:pStyle w:val="NormalHanging12a"/>
      </w:pPr>
      <w:r w:rsidRPr="007119AE">
        <w:t>15.</w:t>
      </w:r>
      <w:r w:rsidRPr="007119AE">
        <w:tab/>
      </w:r>
      <w:proofErr w:type="gramStart"/>
      <w:r w:rsidRPr="007119AE">
        <w:t>nie</w:t>
      </w:r>
      <w:proofErr w:type="gramEnd"/>
      <w:r w:rsidRPr="007119AE">
        <w:t xml:space="preserve"> pochwala dalszego zawieszania oceny oświadczeń dotyczących składników roślinnych i wskazuje, że istnieją poważne obawy prawne dotyczące dalszego stosowania oświadczeń „w zawieszeniu” w ramach środków przejściowych określonych w rozporządzeniu w sprawie oświadczeń żywieniowych i zdrowotnych dotyczących żywności; podkreśla bezwzględną potrzebę zajęcia się wykazem „w zawieszeniu” oświadczeń dotyczących substancji botanicznych poprzez dalszą ocenę tych oświadczeń jako pilnie wymaganego środka ochrony konsumentów, jak stwierdzono w sprawozdaniu z oceny rozporządzenia w sprawie oświadczeń żywieniowych i zdrowotnych dotyczących żywności zleconym przez Komisję; wyraża ogromne zaniepokojenie tym, że dalsze stosowanie oświadczeń „w zawieszeniu” w ramach środków przejściowych określonych w rozporządzeniu w sprawie oświadczeń żywieniowych i </w:t>
      </w:r>
      <w:proofErr w:type="gramStart"/>
      <w:r w:rsidRPr="007119AE">
        <w:t>zdrowotnych</w:t>
      </w:r>
      <w:proofErr w:type="gramEnd"/>
      <w:r w:rsidRPr="007119AE">
        <w:t xml:space="preserve"> dotyczących żywności mogłoby wprowadzać konsumentów w błąd i stanowić zagrożenie dla ich zdrowia, ponieważ mogą oni błędnie zakładać, że oświadczenia „w zawieszeniu” zostały naukowo ocenione, a odnośne ryzyko zostało uwzględnione;</w:t>
      </w:r>
    </w:p>
    <w:p w:rsidR="00262939" w:rsidRPr="007119AE" w:rsidRDefault="00262939" w:rsidP="00262939">
      <w:pPr>
        <w:pStyle w:val="NormalHanging12a"/>
      </w:pPr>
      <w:r w:rsidRPr="007119AE">
        <w:t>16.</w:t>
      </w:r>
      <w:r w:rsidRPr="007119AE">
        <w:tab/>
      </w:r>
      <w:proofErr w:type="gramStart"/>
      <w:r w:rsidRPr="007119AE">
        <w:t>uważa</w:t>
      </w:r>
      <w:proofErr w:type="gramEnd"/>
      <w:r w:rsidRPr="007119AE">
        <w:t>, że kluczowe jest, aby EFSA i Komisja niezwłocznie dokonały, zgodnie z przepisami rozporządzenia w sprawie oświadczeń żywieniowych i zdrowotnych dotyczących żywności, przeglądu oświadczeń zdrowotnych „w zawieszeniu” dotyczących substancji botanicznych w żywności; wzywa Komisję do wyrzucenia z listy tych oświadczeń „w zawieszeniu”, które zostały już ocenione negatywnie;</w:t>
      </w:r>
    </w:p>
    <w:p w:rsidR="00262939" w:rsidRPr="007119AE" w:rsidRDefault="00262939" w:rsidP="00262939">
      <w:pPr>
        <w:pStyle w:val="NormalHanging12a"/>
      </w:pPr>
      <w:r w:rsidRPr="007119AE">
        <w:t>17.</w:t>
      </w:r>
      <w:r w:rsidRPr="007119AE">
        <w:tab/>
      </w:r>
      <w:proofErr w:type="gramStart"/>
      <w:r w:rsidRPr="007119AE">
        <w:t>wzywa</w:t>
      </w:r>
      <w:proofErr w:type="gramEnd"/>
      <w:r w:rsidRPr="007119AE">
        <w:t xml:space="preserve"> państwa członkowskie do skutecznej współpracy przy ustanawianiu skoordynowanego podejścia do botanicznych suplementów diety i wzywa Komisję do przedstawienia wytycznych w tym zakresie; wzywa Komisję i państwa członkowskie, aby bezzwłocznie ustanowiły na szczeblu UE negatywny wykaz substancji botanicznych stosowanych w żywności w oparciu o ich toksyczność lub niekorzystne skutki dla zdrowia, które zostały już zidentyfikowane w państwach członkowskich;</w:t>
      </w:r>
    </w:p>
    <w:p w:rsidR="00262939" w:rsidRPr="007119AE" w:rsidRDefault="00262939" w:rsidP="00262939">
      <w:pPr>
        <w:pStyle w:val="NormalHanging12a"/>
        <w:rPr>
          <w:b/>
        </w:rPr>
      </w:pPr>
      <w:r w:rsidRPr="007119AE">
        <w:rPr>
          <w:b/>
          <w:i/>
        </w:rPr>
        <w:t>Egzekwowanie</w:t>
      </w:r>
    </w:p>
    <w:p w:rsidR="00262939" w:rsidRPr="007119AE" w:rsidRDefault="00262939" w:rsidP="00262939">
      <w:pPr>
        <w:pStyle w:val="NormalHanging12a"/>
      </w:pPr>
      <w:r w:rsidRPr="007119AE">
        <w:t>18.</w:t>
      </w:r>
      <w:r w:rsidRPr="007119AE">
        <w:tab/>
      </w:r>
      <w:proofErr w:type="gramStart"/>
      <w:r w:rsidRPr="007119AE">
        <w:t>wzywa</w:t>
      </w:r>
      <w:proofErr w:type="gramEnd"/>
      <w:r w:rsidRPr="007119AE">
        <w:t xml:space="preserve"> Komisję do przedstawienia zaktualizowanych wytycznych dotyczących sposobu postępowania w przypadku praktyk marketingowych stosowanych w celu obchodzenia rozporządzenia w sprawie oświadczeń żywieniowych i zdrowotnych dotyczących żywności;</w:t>
      </w:r>
    </w:p>
    <w:p w:rsidR="00262939" w:rsidRPr="007119AE" w:rsidRDefault="00262939" w:rsidP="00262939">
      <w:pPr>
        <w:pStyle w:val="NormalHanging12a"/>
        <w:rPr>
          <w:b/>
          <w:i/>
        </w:rPr>
      </w:pPr>
      <w:r w:rsidRPr="007119AE">
        <w:t>19.</w:t>
      </w:r>
      <w:r w:rsidRPr="007119AE">
        <w:tab/>
      </w:r>
      <w:proofErr w:type="gramStart"/>
      <w:r w:rsidRPr="007119AE">
        <w:t>wzywa</w:t>
      </w:r>
      <w:proofErr w:type="gramEnd"/>
      <w:r w:rsidRPr="007119AE">
        <w:t xml:space="preserve"> Komisję i państwa członkowskie do utworzenia sieci wiedzy mającej na celu wspieranie grupy roboczej ds. oświadczeń żywieniowych i zdrowotnych; zwraca uwagę, że sieć ta powinna pomóc ułatwiać wymianę najlepszych praktyk, niwelować luki interpretacyjne między państwami członkowskimi i eliminować różnice w egzekwowaniu przepisów;</w:t>
      </w:r>
    </w:p>
    <w:p w:rsidR="00262939" w:rsidRPr="007119AE" w:rsidRDefault="00262939" w:rsidP="00262939">
      <w:pPr>
        <w:pStyle w:val="NormalHanging12a"/>
        <w:rPr>
          <w:b/>
        </w:rPr>
      </w:pPr>
      <w:r w:rsidRPr="007119AE">
        <w:rPr>
          <w:b/>
          <w:i/>
        </w:rPr>
        <w:t>Oświadczenia zdrowotne w komunikacji internetowej</w:t>
      </w:r>
    </w:p>
    <w:p w:rsidR="00262939" w:rsidRPr="007119AE" w:rsidRDefault="00262939" w:rsidP="00262939">
      <w:pPr>
        <w:pStyle w:val="NormalHanging12a"/>
      </w:pPr>
      <w:r w:rsidRPr="007119AE">
        <w:t>20.</w:t>
      </w:r>
      <w:r w:rsidRPr="007119AE">
        <w:tab/>
      </w:r>
      <w:proofErr w:type="gramStart"/>
      <w:r w:rsidRPr="007119AE">
        <w:t>podkreśla</w:t>
      </w:r>
      <w:proofErr w:type="gramEnd"/>
      <w:r w:rsidRPr="007119AE">
        <w:t xml:space="preserve">, że rozporządzenie w sprawie oświadczeń żywieniowych i zdrowotnych dotyczących żywności przyjęto w czasie, gdy media społecznościowe nie odgrywały jeszcze tak dużej roli w reklamie i sprzedaży żywności i suplementów diety; wyraża </w:t>
      </w:r>
      <w:r w:rsidRPr="007119AE">
        <w:lastRenderedPageBreak/>
        <w:t>zaniepokojenie, że zakres, w jakim rozporządzenie w sprawie oświadczeń żywieniowych i zdrowotnych dotyczących żywności skutecznie reguluje internetową komunikację na temat żywności związaną ze zdrowiem, pozostaje niejasny;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21.</w:t>
      </w:r>
      <w:r w:rsidRPr="007119AE">
        <w:tab/>
      </w:r>
      <w:proofErr w:type="gramStart"/>
      <w:r w:rsidRPr="007119AE">
        <w:t>jest</w:t>
      </w:r>
      <w:proofErr w:type="gramEnd"/>
      <w:r w:rsidRPr="007119AE">
        <w:t xml:space="preserve"> zaniepokojony obecnością w internecie niedopuszczonych i wprowadzających w błąd oświadczeń żywieniowych i zdrowotnych; podkreśla potrzebę zapewnienia stosowania rozporządzenia w sprawie oświadczeń żywieniowych i zdrowotnych dotyczących żywności w środowisku internetowym, zwłaszcza, że niektóre bardziej wrażliwe grupy, takie jak dzieci i nastolatki, mogą być szczególnie wrażliwe na niektóre oświadczenia zdrowotne i informacje o żywności udostępniane w mediach społecznościowych, a to stanowi zagrożenie dla ich zdrowia fizycznego i mentalnego; uważa w związku z tym, że ważne jest zdefiniowanie, czym jest informacja handlowa dotycząca żywności i suplementów diety w mediach społecznościowych;</w:t>
      </w:r>
    </w:p>
    <w:p w:rsidR="00262939" w:rsidRPr="007119AE" w:rsidRDefault="00262939" w:rsidP="00262939">
      <w:pPr>
        <w:pStyle w:val="NormalHanging12a"/>
      </w:pPr>
      <w:r w:rsidRPr="007119AE">
        <w:t>22.</w:t>
      </w:r>
      <w:r w:rsidRPr="007119AE">
        <w:tab/>
      </w:r>
      <w:proofErr w:type="gramStart"/>
      <w:r w:rsidRPr="007119AE">
        <w:t>apeluje</w:t>
      </w:r>
      <w:proofErr w:type="gramEnd"/>
      <w:r w:rsidRPr="007119AE">
        <w:t xml:space="preserve"> o ponowne podjęcie działań w celu wypracowania skutecznego oraz ogólnounijnego podejścia do problemu narażenia dzieci i nastolatków na reklamę i marketing przetworzonej żywności o wysokiej zawartości tłuszczu, cukru i soli w mediach nadawczych i cyfrowych; apeluje do Komisji o rozważenie podjęcia działań ustawodawczych w celu ochrony zdrowia tej wrażliwej grupy konsumentów;</w:t>
      </w:r>
    </w:p>
    <w:p w:rsidR="00262939" w:rsidRPr="007119AE" w:rsidRDefault="00262939" w:rsidP="00262939">
      <w:pPr>
        <w:pStyle w:val="NormalHanging12a"/>
      </w:pPr>
      <w:r w:rsidRPr="007119AE">
        <w:t>23.</w:t>
      </w:r>
      <w:r w:rsidRPr="007119AE">
        <w:tab/>
      </w:r>
      <w:proofErr w:type="gramStart"/>
      <w:r w:rsidRPr="007119AE">
        <w:t>zwraca</w:t>
      </w:r>
      <w:proofErr w:type="gramEnd"/>
      <w:r w:rsidRPr="007119AE">
        <w:t xml:space="preserve"> się do Komisji o opracowanie kompleksowych wytycznych dotyczących egzekwowania rozporządzenia w sprawie oświadczeń żywieniowych i zdrowotnych dotyczących żywności w internecie; uważa, że wytyczne te powinny określać jasne procedury i normy monitorowania oraz regulowania oświadczeń zdrowotnych w internecie, zapewniając dokładność i przejrzystość takich oświadczeń oraz chroniąc dobrostan konsumentów w ramach aktu o usługach cyfrowych; zwraca uwagę na obowiązki państw członkowskich i dostawców platform internetowych określone w akcie prawnym o usługach cyfrowych, obejmujące przeciwdziałanie rozpowszechnianiu nielegalnych treści i zapewnienie konsumentom przejrzystości w odniesieniu do reklam internetowych;</w:t>
      </w:r>
    </w:p>
    <w:p w:rsidR="00262939" w:rsidRPr="007119AE" w:rsidRDefault="00262939" w:rsidP="00262939">
      <w:pPr>
        <w:pStyle w:val="NormalHanging12a"/>
        <w:rPr>
          <w:szCs w:val="24"/>
        </w:rPr>
      </w:pPr>
      <w:r w:rsidRPr="007119AE">
        <w:t>24.</w:t>
      </w:r>
      <w:r w:rsidRPr="007119AE">
        <w:tab/>
      </w:r>
      <w:proofErr w:type="gramStart"/>
      <w:r w:rsidRPr="007119AE">
        <w:t>wzywa</w:t>
      </w:r>
      <w:proofErr w:type="gramEnd"/>
      <w:r w:rsidRPr="007119AE">
        <w:t xml:space="preserve"> Komisję i państwa członkowskie do stworzenia platformy wymiany najlepszych praktyk związanych z egzekwowaniem rozporządzenia w sprawie oświadczeń żywieniowych i zdrowotnych dotyczących żywności w internecie oraz do zachęcania do współpracy między właściwymi organami państw członkowskich;</w:t>
      </w:r>
    </w:p>
    <w:p w:rsidR="00262939" w:rsidRPr="007119AE" w:rsidRDefault="00262939" w:rsidP="00262939">
      <w:pPr>
        <w:pStyle w:val="NormalHanging12a"/>
        <w:jc w:val="center"/>
      </w:pPr>
      <w:r w:rsidRPr="007119AE">
        <w:t>°</w:t>
      </w:r>
    </w:p>
    <w:p w:rsidR="00262939" w:rsidRPr="007119AE" w:rsidRDefault="00262939" w:rsidP="00262939">
      <w:pPr>
        <w:pStyle w:val="NormalHanging12a"/>
        <w:jc w:val="center"/>
      </w:pPr>
      <w:r w:rsidRPr="007119AE">
        <w:t>°</w:t>
      </w:r>
      <w:r w:rsidRPr="007119AE">
        <w:tab/>
        <w:t>°</w:t>
      </w:r>
    </w:p>
    <w:p w:rsidR="00262939" w:rsidRPr="007119AE" w:rsidRDefault="00262939" w:rsidP="00CB0405">
      <w:pPr>
        <w:ind w:left="567" w:hanging="567"/>
      </w:pPr>
      <w:r w:rsidRPr="007119AE">
        <w:t>25.</w:t>
      </w:r>
      <w:r w:rsidRPr="007119AE">
        <w:tab/>
      </w:r>
      <w:proofErr w:type="gramStart"/>
      <w:r w:rsidRPr="007119AE">
        <w:t>zobowiązuje</w:t>
      </w:r>
      <w:proofErr w:type="gramEnd"/>
      <w:r w:rsidRPr="007119AE">
        <w:t xml:space="preserve"> swoją przewodniczącą do przekazania niniejszej rezolucji Radzie oraz Komisji.</w:t>
      </w:r>
    </w:p>
    <w:p w:rsidR="00E365E1" w:rsidRPr="007119AE" w:rsidRDefault="00E365E1" w:rsidP="00074C02">
      <w:bookmarkStart w:id="8" w:name="TextBodyEnd"/>
      <w:bookmarkEnd w:id="8"/>
    </w:p>
    <w:sectPr w:rsidR="00E365E1" w:rsidRPr="007119AE" w:rsidSect="007119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C02" w:rsidRPr="007119AE" w:rsidRDefault="00074C02">
      <w:r w:rsidRPr="007119AE">
        <w:separator/>
      </w:r>
    </w:p>
  </w:endnote>
  <w:endnote w:type="continuationSeparator" w:id="0">
    <w:p w:rsidR="00074C02" w:rsidRPr="007119AE" w:rsidRDefault="00074C02">
      <w:r w:rsidRPr="007119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9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9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9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C02" w:rsidRPr="007119AE" w:rsidRDefault="00074C02">
      <w:r w:rsidRPr="007119AE">
        <w:separator/>
      </w:r>
    </w:p>
  </w:footnote>
  <w:footnote w:type="continuationSeparator" w:id="0">
    <w:p w:rsidR="00074C02" w:rsidRPr="007119AE" w:rsidRDefault="00074C02">
      <w:r w:rsidRPr="007119AE">
        <w:continuationSeparator/>
      </w:r>
    </w:p>
  </w:footnote>
  <w:footnote w:id="1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Dz.U. L 404 z 30.12.2006, </w:t>
      </w:r>
      <w:proofErr w:type="gramStart"/>
      <w:r w:rsidRPr="007119AE">
        <w:rPr>
          <w:sz w:val="24"/>
          <w:lang w:val="pl-PL"/>
        </w:rPr>
        <w:t>s</w:t>
      </w:r>
      <w:proofErr w:type="gramEnd"/>
      <w:r w:rsidRPr="007119AE">
        <w:rPr>
          <w:sz w:val="24"/>
          <w:lang w:val="pl-PL"/>
        </w:rPr>
        <w:t>. 9.</w:t>
      </w:r>
    </w:p>
  </w:footnote>
  <w:footnote w:id="2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Dz.U. L 31 z 1.2.2002, </w:t>
      </w:r>
      <w:proofErr w:type="gramStart"/>
      <w:r w:rsidRPr="007119AE">
        <w:rPr>
          <w:sz w:val="24"/>
          <w:lang w:val="pl-PL"/>
        </w:rPr>
        <w:t>s</w:t>
      </w:r>
      <w:proofErr w:type="gramEnd"/>
      <w:r w:rsidRPr="007119AE">
        <w:rPr>
          <w:sz w:val="24"/>
          <w:lang w:val="pl-PL"/>
        </w:rPr>
        <w:t>. 1.</w:t>
      </w:r>
    </w:p>
  </w:footnote>
  <w:footnote w:id="3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Dz.U. L 304 z 22.11.2011, </w:t>
      </w:r>
      <w:proofErr w:type="gramStart"/>
      <w:r w:rsidRPr="007119AE">
        <w:rPr>
          <w:sz w:val="24"/>
          <w:lang w:val="pl-PL"/>
        </w:rPr>
        <w:t>s</w:t>
      </w:r>
      <w:proofErr w:type="gramEnd"/>
      <w:r w:rsidRPr="007119AE">
        <w:rPr>
          <w:sz w:val="24"/>
          <w:lang w:val="pl-PL"/>
        </w:rPr>
        <w:t>. 18.</w:t>
      </w:r>
    </w:p>
  </w:footnote>
  <w:footnote w:id="4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Dz.U. L 183 z 12.7.2002, </w:t>
      </w:r>
      <w:proofErr w:type="gramStart"/>
      <w:r w:rsidRPr="007119AE">
        <w:rPr>
          <w:sz w:val="24"/>
          <w:lang w:val="pl-PL"/>
        </w:rPr>
        <w:t>s</w:t>
      </w:r>
      <w:proofErr w:type="gramEnd"/>
      <w:r w:rsidRPr="007119AE">
        <w:rPr>
          <w:sz w:val="24"/>
          <w:lang w:val="pl-PL"/>
        </w:rPr>
        <w:t>. 51.</w:t>
      </w:r>
    </w:p>
  </w:footnote>
  <w:footnote w:id="5">
    <w:p w:rsidR="00262939" w:rsidRPr="00CB0405" w:rsidRDefault="00262939" w:rsidP="007119AE">
      <w:pPr>
        <w:pStyle w:val="FootnoteText"/>
        <w:ind w:left="567" w:hanging="567"/>
        <w:rPr>
          <w:i/>
          <w:sz w:val="24"/>
          <w:lang w:val="pl-PL"/>
        </w:rPr>
      </w:pPr>
      <w:r w:rsidRPr="00CB0405">
        <w:rPr>
          <w:rStyle w:val="FootnoteReference"/>
          <w:i/>
          <w:sz w:val="24"/>
          <w:lang w:val="pl-PL"/>
        </w:rPr>
        <w:footnoteRef/>
      </w:r>
      <w:r w:rsidR="007119AE" w:rsidRPr="00CB0405">
        <w:rPr>
          <w:rStyle w:val="Emphasis"/>
          <w:i w:val="0"/>
          <w:color w:val="333333"/>
          <w:sz w:val="24"/>
          <w:shd w:val="clear" w:color="auto" w:fill="FFFFFF"/>
          <w:lang w:val="pl-PL"/>
        </w:rPr>
        <w:t xml:space="preserve"> </w:t>
      </w:r>
      <w:r w:rsidR="007119AE" w:rsidRPr="00CB0405">
        <w:rPr>
          <w:rStyle w:val="Emphasis"/>
          <w:i w:val="0"/>
          <w:color w:val="333333"/>
          <w:sz w:val="24"/>
          <w:shd w:val="clear" w:color="auto" w:fill="FFFFFF"/>
          <w:lang w:val="pl-PL"/>
        </w:rPr>
        <w:tab/>
      </w:r>
      <w:r w:rsidRPr="00CB0405">
        <w:rPr>
          <w:rStyle w:val="Emphasis"/>
          <w:i w:val="0"/>
          <w:color w:val="333333"/>
          <w:sz w:val="24"/>
          <w:shd w:val="clear" w:color="auto" w:fill="FFFFFF"/>
          <w:lang w:val="pl-PL"/>
        </w:rPr>
        <w:t xml:space="preserve">Dz.U. L 404 z 30.12.2006, </w:t>
      </w:r>
      <w:proofErr w:type="gramStart"/>
      <w:r w:rsidRPr="00CB0405">
        <w:rPr>
          <w:rStyle w:val="Emphasis"/>
          <w:i w:val="0"/>
          <w:color w:val="333333"/>
          <w:sz w:val="24"/>
          <w:shd w:val="clear" w:color="auto" w:fill="FFFFFF"/>
          <w:lang w:val="pl-PL"/>
        </w:rPr>
        <w:t>s</w:t>
      </w:r>
      <w:proofErr w:type="gramEnd"/>
      <w:r w:rsidRPr="00CB0405">
        <w:rPr>
          <w:rStyle w:val="Emphasis"/>
          <w:i w:val="0"/>
          <w:color w:val="333333"/>
          <w:sz w:val="24"/>
          <w:shd w:val="clear" w:color="auto" w:fill="FFFFFF"/>
          <w:lang w:val="pl-PL"/>
        </w:rPr>
        <w:t>. 26.</w:t>
      </w:r>
    </w:p>
  </w:footnote>
  <w:footnote w:id="6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Dz.U. L 181 z 29.6.2013, </w:t>
      </w:r>
      <w:proofErr w:type="gramStart"/>
      <w:r w:rsidRPr="007119AE">
        <w:rPr>
          <w:sz w:val="24"/>
          <w:lang w:val="pl-PL"/>
        </w:rPr>
        <w:t>s</w:t>
      </w:r>
      <w:proofErr w:type="gramEnd"/>
      <w:r w:rsidRPr="007119AE">
        <w:rPr>
          <w:sz w:val="24"/>
          <w:lang w:val="pl-PL"/>
        </w:rPr>
        <w:t>. 35.</w:t>
      </w:r>
    </w:p>
  </w:footnote>
  <w:footnote w:id="7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Dz.U. L 277 z 27.10.2022, </w:t>
      </w:r>
      <w:proofErr w:type="gramStart"/>
      <w:r w:rsidRPr="007119AE">
        <w:rPr>
          <w:sz w:val="24"/>
          <w:lang w:val="pl-PL"/>
        </w:rPr>
        <w:t>s</w:t>
      </w:r>
      <w:proofErr w:type="gramEnd"/>
      <w:r w:rsidRPr="007119AE">
        <w:rPr>
          <w:sz w:val="24"/>
          <w:lang w:val="pl-PL"/>
        </w:rPr>
        <w:t>. 1.</w:t>
      </w:r>
    </w:p>
  </w:footnote>
  <w:footnote w:id="8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Dz.U. L 107 z 26.3.2021, </w:t>
      </w:r>
      <w:proofErr w:type="gramStart"/>
      <w:r w:rsidRPr="007119AE">
        <w:rPr>
          <w:sz w:val="24"/>
          <w:lang w:val="pl-PL"/>
        </w:rPr>
        <w:t>s</w:t>
      </w:r>
      <w:proofErr w:type="gramEnd"/>
      <w:r w:rsidRPr="007119AE">
        <w:rPr>
          <w:sz w:val="24"/>
          <w:lang w:val="pl-PL"/>
        </w:rPr>
        <w:t>. 1.</w:t>
      </w:r>
    </w:p>
  </w:footnote>
  <w:footnote w:id="9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Dz.U. C 184 z 5.5.2022, </w:t>
      </w:r>
      <w:proofErr w:type="gramStart"/>
      <w:r w:rsidRPr="007119AE">
        <w:rPr>
          <w:sz w:val="24"/>
          <w:lang w:val="pl-PL"/>
        </w:rPr>
        <w:t>s</w:t>
      </w:r>
      <w:proofErr w:type="gramEnd"/>
      <w:r w:rsidRPr="007119AE">
        <w:rPr>
          <w:sz w:val="24"/>
          <w:lang w:val="pl-PL"/>
        </w:rPr>
        <w:t>. 2.</w:t>
      </w:r>
    </w:p>
  </w:footnote>
  <w:footnote w:id="10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Europejski Urząd ds. Bezpieczeństwa Żywności, „Tolerable upper intake level for dietary sugars” [Dopuszczalny górny poziom spożycia cukrów w diecie], </w:t>
      </w:r>
      <w:r w:rsidRPr="007119AE">
        <w:rPr>
          <w:i/>
          <w:iCs/>
          <w:sz w:val="24"/>
          <w:lang w:val="pl-PL"/>
        </w:rPr>
        <w:t>Dziennik EFSA</w:t>
      </w:r>
      <w:r w:rsidRPr="007119AE">
        <w:rPr>
          <w:sz w:val="24"/>
          <w:lang w:val="pl-PL"/>
        </w:rPr>
        <w:t>, tom 20, wydanie 2, Europejski Urząd ds. Bezpieczeństwa Żywności, 15 grudnia 2021 r.</w:t>
      </w:r>
    </w:p>
  </w:footnote>
  <w:footnote w:id="11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Światowa Organizacja Zdrowia, </w:t>
      </w:r>
      <w:r w:rsidRPr="007119AE">
        <w:rPr>
          <w:i/>
          <w:sz w:val="24"/>
          <w:lang w:val="pl-PL"/>
        </w:rPr>
        <w:t>Nutrition labelling: policy brief</w:t>
      </w:r>
      <w:r w:rsidRPr="007119AE">
        <w:rPr>
          <w:sz w:val="24"/>
          <w:lang w:val="pl-PL"/>
        </w:rPr>
        <w:t>, Światowa Organizacja Zdrowia, Genewa, 2022.</w:t>
      </w:r>
    </w:p>
  </w:footnote>
  <w:footnote w:id="12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Światowa Organizacja Zdrowia, </w:t>
      </w:r>
      <w:r w:rsidRPr="007119AE">
        <w:rPr>
          <w:i/>
          <w:iCs/>
          <w:sz w:val="24"/>
          <w:lang w:val="pl-PL"/>
        </w:rPr>
        <w:t>„G</w:t>
      </w:r>
      <w:r w:rsidRPr="007119AE">
        <w:rPr>
          <w:i/>
          <w:sz w:val="24"/>
          <w:lang w:val="pl-PL"/>
        </w:rPr>
        <w:t>uiding principles and framework manual for front-of-pack labelling for promoting healthy diets</w:t>
      </w:r>
      <w:r w:rsidRPr="007119AE">
        <w:rPr>
          <w:i/>
          <w:iCs/>
          <w:sz w:val="24"/>
          <w:lang w:val="pl-PL"/>
        </w:rPr>
        <w:t>”</w:t>
      </w:r>
      <w:r w:rsidRPr="007119AE">
        <w:rPr>
          <w:sz w:val="24"/>
          <w:lang w:val="pl-PL"/>
        </w:rPr>
        <w:t xml:space="preserve"> [Zasady przewodnie i podręcznik ramowy dotyczący etykietowania na przodzie opakowania w celu propagowania zdrowej diety], Światowa Organizacja Zdrowia, Genewa, 2019.</w:t>
      </w:r>
    </w:p>
  </w:footnote>
  <w:footnote w:id="13">
    <w:p w:rsidR="00262939" w:rsidRPr="007119AE" w:rsidRDefault="00262939" w:rsidP="007119AE">
      <w:pPr>
        <w:pStyle w:val="FootnoteText"/>
        <w:ind w:left="567" w:hanging="567"/>
        <w:rPr>
          <w:b/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UNICEF, </w:t>
      </w:r>
      <w:r w:rsidRPr="007119AE">
        <w:rPr>
          <w:i/>
          <w:iCs/>
          <w:sz w:val="24"/>
          <w:lang w:val="pl-PL"/>
        </w:rPr>
        <w:t>„</w:t>
      </w:r>
      <w:r w:rsidRPr="007119AE">
        <w:rPr>
          <w:i/>
          <w:sz w:val="24"/>
          <w:lang w:val="pl-PL"/>
        </w:rPr>
        <w:t>Children’s rights in impact assessments – A guide for integrating children’s rights into impact assessments and taking action for children</w:t>
      </w:r>
      <w:r w:rsidRPr="007119AE">
        <w:rPr>
          <w:i/>
          <w:iCs/>
          <w:sz w:val="24"/>
          <w:lang w:val="pl-PL"/>
        </w:rPr>
        <w:t>”</w:t>
      </w:r>
      <w:r w:rsidRPr="007119AE">
        <w:rPr>
          <w:sz w:val="24"/>
          <w:lang w:val="pl-PL"/>
        </w:rPr>
        <w:t xml:space="preserve"> [Prawa dziecka w ocenach skutków: Przewodnik dotyczący włączania praw dziecka do ocen skutków i podejmowania działań na rzecz dzieci], UNICEF, Genewa, grudzień 2013 r.</w:t>
      </w:r>
    </w:p>
  </w:footnote>
  <w:footnote w:id="14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>Wyrok Trybunału Sprawiedliwości z 14 lipca 2016 r. w sprawie C-19/15, Verband Sozialer Wettbewerb eV przeciwko Innova Vital GmbH, ECLI</w:t>
      </w:r>
      <w:proofErr w:type="gramStart"/>
      <w:r w:rsidRPr="007119AE">
        <w:rPr>
          <w:sz w:val="24"/>
          <w:lang w:val="pl-PL"/>
        </w:rPr>
        <w:t>:EU</w:t>
      </w:r>
      <w:proofErr w:type="gramEnd"/>
      <w:r w:rsidRPr="007119AE">
        <w:rPr>
          <w:sz w:val="24"/>
          <w:lang w:val="pl-PL"/>
        </w:rPr>
        <w:t>:C:2016:563.</w:t>
      </w:r>
    </w:p>
  </w:footnote>
  <w:footnote w:id="15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Komisja Europejska, </w:t>
      </w:r>
      <w:r w:rsidRPr="007119AE">
        <w:rPr>
          <w:i/>
          <w:iCs/>
          <w:sz w:val="24"/>
          <w:lang w:val="pl-PL"/>
        </w:rPr>
        <w:t>„Final Report Summary - CLYMBOL (Role of health-related claims and symbols in consumer behaviour</w:t>
      </w:r>
      <w:proofErr w:type="gramStart"/>
      <w:r w:rsidRPr="007119AE">
        <w:rPr>
          <w:i/>
          <w:iCs/>
          <w:sz w:val="24"/>
          <w:lang w:val="pl-PL"/>
        </w:rPr>
        <w:t>)”</w:t>
      </w:r>
      <w:r w:rsidRPr="007119AE">
        <w:rPr>
          <w:sz w:val="24"/>
          <w:lang w:val="pl-PL"/>
        </w:rPr>
        <w:t xml:space="preserve"> [Podsumowanie</w:t>
      </w:r>
      <w:proofErr w:type="gramEnd"/>
      <w:r w:rsidRPr="007119AE">
        <w:rPr>
          <w:sz w:val="24"/>
          <w:lang w:val="pl-PL"/>
        </w:rPr>
        <w:t xml:space="preserve"> raportu końcowego – CLYMBOL (Rola oświadczeń i symboli związanych ze zdrowiem w zachowaniach konsumentów)], 8 marca 2017 r.</w:t>
      </w:r>
    </w:p>
  </w:footnote>
  <w:footnote w:id="16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Pichierri M. i in., „The interplay between health claim type and individual regulatory focus in determining consumers’ intentions toward extra-virgin olive oil” [Wzajemne oddziaływanie między rodzajem oświadczeń zdrowotnych a indywidualnym naciskiem regulacyjnym w definiowaniu intencji konsumentów w odniesieniu do oliwy z oliwek z pierwszego tłoczenia], </w:t>
      </w:r>
      <w:r w:rsidRPr="007119AE">
        <w:rPr>
          <w:i/>
          <w:iCs/>
          <w:sz w:val="24"/>
          <w:lang w:val="pl-PL"/>
        </w:rPr>
        <w:t>Food Research International</w:t>
      </w:r>
      <w:r w:rsidRPr="007119AE">
        <w:rPr>
          <w:sz w:val="24"/>
          <w:lang w:val="pl-PL"/>
        </w:rPr>
        <w:t>, tom 136, art. 109467, Elsevier, październik 2020 r.</w:t>
      </w:r>
    </w:p>
  </w:footnote>
  <w:footnote w:id="17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Światowa Organizacja Zdrowia, </w:t>
      </w:r>
      <w:hyperlink r:id="rId1" w:history="1">
        <w:r w:rsidRPr="007119AE">
          <w:rPr>
            <w:rStyle w:val="Hyperlink"/>
            <w:i/>
            <w:sz w:val="24"/>
            <w:lang w:val="pl-PL"/>
          </w:rPr>
          <w:t>„WHO European Regional Obesity Report 2022”</w:t>
        </w:r>
      </w:hyperlink>
      <w:r w:rsidRPr="007119AE">
        <w:rPr>
          <w:sz w:val="24"/>
          <w:lang w:val="pl-PL"/>
        </w:rPr>
        <w:t xml:space="preserve"> [Raport WHO dotyczący otyłości w regionie europejskim 2022], Światowa Organizacja Zdrowia, Genewa, 2022 r.</w:t>
      </w:r>
    </w:p>
  </w:footnote>
  <w:footnote w:id="18">
    <w:p w:rsidR="00262939" w:rsidRPr="007119AE" w:rsidRDefault="00262939" w:rsidP="007119AE">
      <w:pPr>
        <w:pStyle w:val="FootnoteText"/>
        <w:ind w:left="567" w:hanging="567"/>
        <w:rPr>
          <w:rFonts w:eastAsia="Arial"/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Dz.U. C 342 z 6.9.2022, </w:t>
      </w:r>
      <w:proofErr w:type="gramStart"/>
      <w:r w:rsidRPr="007119AE">
        <w:rPr>
          <w:sz w:val="24"/>
          <w:lang w:val="pl-PL"/>
        </w:rPr>
        <w:t>s</w:t>
      </w:r>
      <w:proofErr w:type="gramEnd"/>
      <w:r w:rsidRPr="007119AE">
        <w:rPr>
          <w:sz w:val="24"/>
          <w:lang w:val="pl-PL"/>
        </w:rPr>
        <w:t>. 109.</w:t>
      </w:r>
    </w:p>
  </w:footnote>
  <w:footnote w:id="19">
    <w:p w:rsidR="00262939" w:rsidRPr="00CB0405" w:rsidRDefault="00262939" w:rsidP="007119AE">
      <w:pPr>
        <w:pStyle w:val="FootnoteText"/>
        <w:ind w:left="567" w:hanging="567"/>
        <w:rPr>
          <w:sz w:val="24"/>
          <w:lang w:val="en-GB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Europejski Urząd ds. Bezpieczeństwa Żywności, </w:t>
      </w:r>
      <w:r w:rsidRPr="007119AE">
        <w:rPr>
          <w:i/>
          <w:iCs/>
          <w:sz w:val="24"/>
          <w:lang w:val="pl-PL"/>
        </w:rPr>
        <w:t>„</w:t>
      </w:r>
      <w:r w:rsidRPr="007119AE">
        <w:rPr>
          <w:i/>
          <w:sz w:val="24"/>
          <w:lang w:val="pl-PL"/>
        </w:rPr>
        <w:t xml:space="preserve">EFSA explains draft scientific opinion on a tolerable upper intake level for dietary sugars” </w:t>
      </w:r>
      <w:r w:rsidRPr="007119AE">
        <w:rPr>
          <w:sz w:val="24"/>
          <w:lang w:val="pl-PL"/>
        </w:rPr>
        <w:t xml:space="preserve">[EFSA wyjaśnia projekt opinii naukowej dotyczącej tolerowanego górnego poziomu spożycia cukrów w diecie], Europejski Urząd ds. </w:t>
      </w:r>
      <w:r w:rsidRPr="00CB0405">
        <w:rPr>
          <w:sz w:val="24"/>
          <w:lang w:val="en-GB"/>
        </w:rPr>
        <w:t>Bezpieczeństwa Żywności, 2021 r.</w:t>
      </w:r>
    </w:p>
  </w:footnote>
  <w:footnote w:id="20">
    <w:p w:rsidR="00262939" w:rsidRPr="00CB0405" w:rsidRDefault="00262939" w:rsidP="007119AE">
      <w:pPr>
        <w:pStyle w:val="FootnoteText"/>
        <w:ind w:left="567" w:hanging="567"/>
        <w:rPr>
          <w:sz w:val="24"/>
          <w:lang w:val="en-GB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CB0405">
        <w:rPr>
          <w:sz w:val="24"/>
          <w:lang w:val="en-GB"/>
        </w:rPr>
        <w:t xml:space="preserve"> </w:t>
      </w:r>
      <w:r w:rsidR="007119AE" w:rsidRPr="00CB0405">
        <w:rPr>
          <w:sz w:val="24"/>
          <w:lang w:val="en-GB"/>
        </w:rPr>
        <w:tab/>
      </w:r>
      <w:proofErr w:type="gramStart"/>
      <w:r w:rsidRPr="00CB0405">
        <w:rPr>
          <w:sz w:val="24"/>
          <w:lang w:val="en-GB"/>
        </w:rPr>
        <w:t>Ashwell, M. i in., „Nature of the evidence based and strengths, challenges and recommendations in the area of Nutrition and health Statement: a position paper from the Academy of Nutrition Sciences” [Charakter bazy dowodowej oraz mocne strony, wyzwania i zalecenia w obszarze oświadczeń żywieniowych i zdrowotnych: stanowisko Akademii Nauk o Żywieniu], British Journal of Nutrition, tom 130, wydanie 2, 28 lipca 2023 r., s. 221-238.</w:t>
      </w:r>
      <w:proofErr w:type="gramEnd"/>
    </w:p>
  </w:footnote>
  <w:footnote w:id="21">
    <w:p w:rsidR="00262939" w:rsidRPr="00CB0405" w:rsidRDefault="00262939" w:rsidP="007119AE">
      <w:pPr>
        <w:pStyle w:val="FootnoteText"/>
        <w:ind w:left="567" w:hanging="567"/>
        <w:rPr>
          <w:sz w:val="24"/>
          <w:lang w:val="en-GB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CB0405">
        <w:rPr>
          <w:sz w:val="24"/>
          <w:lang w:val="en-GB"/>
        </w:rPr>
        <w:t xml:space="preserve"> </w:t>
      </w:r>
      <w:r w:rsidR="007119AE" w:rsidRPr="00CB0405">
        <w:rPr>
          <w:sz w:val="24"/>
          <w:lang w:val="en-GB"/>
        </w:rPr>
        <w:tab/>
      </w:r>
      <w:r w:rsidRPr="00CB0405">
        <w:rPr>
          <w:sz w:val="24"/>
          <w:lang w:val="en-GB"/>
        </w:rPr>
        <w:t xml:space="preserve">European Union, „Eurobarometer – Making our food fit for the future – new trends and challenges” [Eurobarometr – Przygotowanie żywności </w:t>
      </w:r>
      <w:proofErr w:type="gramStart"/>
      <w:r w:rsidRPr="00CB0405">
        <w:rPr>
          <w:sz w:val="24"/>
          <w:lang w:val="en-GB"/>
        </w:rPr>
        <w:t>na</w:t>
      </w:r>
      <w:proofErr w:type="gramEnd"/>
      <w:r w:rsidRPr="00CB0405">
        <w:rPr>
          <w:sz w:val="24"/>
          <w:lang w:val="en-GB"/>
        </w:rPr>
        <w:t xml:space="preserve"> wyzwania przyszłości – nowe trendy i wyzwania], październik 2020 r.</w:t>
      </w:r>
    </w:p>
  </w:footnote>
  <w:footnote w:id="22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>Wyrok Trybunału Sprawiedliwości z 8 czerwca 2017 r. w sprawie C-296/16, Dextro Energy GmbH &amp; Co. KG przeciwko Komisji Europejskiej, ECLI</w:t>
      </w:r>
      <w:proofErr w:type="gramStart"/>
      <w:r w:rsidRPr="007119AE">
        <w:rPr>
          <w:sz w:val="24"/>
          <w:lang w:val="pl-PL"/>
        </w:rPr>
        <w:t>:EU</w:t>
      </w:r>
      <w:proofErr w:type="gramEnd"/>
      <w:r w:rsidRPr="007119AE">
        <w:rPr>
          <w:sz w:val="24"/>
          <w:lang w:val="pl-PL"/>
        </w:rPr>
        <w:t>:C:2017:437.</w:t>
      </w:r>
    </w:p>
  </w:footnote>
  <w:footnote w:id="23">
    <w:p w:rsidR="00262939" w:rsidRPr="007119AE" w:rsidRDefault="00262939" w:rsidP="007119AE">
      <w:pPr>
        <w:pStyle w:val="FootnoteText"/>
        <w:ind w:left="567" w:hanging="567"/>
        <w:rPr>
          <w:sz w:val="24"/>
          <w:lang w:val="pl-PL"/>
        </w:rPr>
      </w:pPr>
      <w:r w:rsidRPr="007119AE">
        <w:rPr>
          <w:rStyle w:val="FootnoteReference"/>
          <w:sz w:val="24"/>
          <w:lang w:val="pl-PL"/>
        </w:rPr>
        <w:footnoteRef/>
      </w:r>
      <w:r w:rsidR="007119AE" w:rsidRPr="007119AE">
        <w:rPr>
          <w:sz w:val="24"/>
          <w:lang w:val="pl-PL"/>
        </w:rPr>
        <w:t xml:space="preserve"> </w:t>
      </w:r>
      <w:r w:rsidR="007119AE" w:rsidRPr="007119AE">
        <w:rPr>
          <w:sz w:val="24"/>
          <w:lang w:val="pl-PL"/>
        </w:rPr>
        <w:tab/>
      </w:r>
      <w:r w:rsidRPr="007119AE">
        <w:rPr>
          <w:sz w:val="24"/>
          <w:lang w:val="pl-PL"/>
        </w:rPr>
        <w:t xml:space="preserve">Munblit, D. </w:t>
      </w:r>
      <w:proofErr w:type="gramStart"/>
      <w:r w:rsidRPr="007119AE">
        <w:rPr>
          <w:sz w:val="24"/>
          <w:lang w:val="pl-PL"/>
        </w:rPr>
        <w:t>i</w:t>
      </w:r>
      <w:proofErr w:type="gramEnd"/>
      <w:r w:rsidRPr="007119AE">
        <w:rPr>
          <w:sz w:val="24"/>
          <w:lang w:val="pl-PL"/>
        </w:rPr>
        <w:t xml:space="preserve"> in., ‘Health and nutrition claims for infant formula are poorly substantiated and potentially harmful’ [Oświadczenia zdrowotne i żywieniowe dotyczące preparatów do początkowego żywienia niemowląt są słabo uzasadnione i potencjalnie szkodliwe], </w:t>
      </w:r>
      <w:r w:rsidRPr="007119AE">
        <w:rPr>
          <w:i/>
          <w:sz w:val="24"/>
          <w:lang w:val="pl-PL"/>
        </w:rPr>
        <w:t>British Medical Journal</w:t>
      </w:r>
      <w:r w:rsidRPr="007119AE">
        <w:rPr>
          <w:sz w:val="24"/>
          <w:lang w:val="pl-PL"/>
        </w:rPr>
        <w:t>, tom 369, artykuł m875, 2020 r., oraz Cheung, K.Y. i in., ‘Health and nutrition claims for infant formula: international cross sectional survey’ [Oświadczenia zdrowotne i żywieniowe dotyczące preparatów do początkowego żywienia niemowląt</w:t>
      </w:r>
      <w:proofErr w:type="gramStart"/>
      <w:r w:rsidRPr="007119AE">
        <w:rPr>
          <w:sz w:val="24"/>
          <w:lang w:val="pl-PL"/>
        </w:rPr>
        <w:t>:</w:t>
      </w:r>
      <w:r w:rsidRPr="007119AE">
        <w:rPr>
          <w:sz w:val="24"/>
          <w:lang w:val="pl-PL"/>
        </w:rPr>
        <w:br/>
        <w:t>międzynarodowe</w:t>
      </w:r>
      <w:proofErr w:type="gramEnd"/>
      <w:r w:rsidRPr="007119AE">
        <w:rPr>
          <w:sz w:val="24"/>
          <w:lang w:val="pl-PL"/>
        </w:rPr>
        <w:t xml:space="preserve"> badanie przekrojowe], </w:t>
      </w:r>
      <w:r w:rsidRPr="007119AE">
        <w:rPr>
          <w:i/>
          <w:sz w:val="24"/>
          <w:lang w:val="pl-PL"/>
        </w:rPr>
        <w:t>British Medical Journal</w:t>
      </w:r>
      <w:r w:rsidRPr="007119AE">
        <w:rPr>
          <w:sz w:val="24"/>
          <w:lang w:val="pl-PL"/>
        </w:rPr>
        <w:t>, tom 380, wydanie 8371, 2023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9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9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9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6/2023"/>
    <w:docVar w:name="dvlangue" w:val="PL"/>
    <w:docVar w:name="dvnumam" w:val="0"/>
    <w:docVar w:name="dvpe" w:val="753.549"/>
    <w:docVar w:name="dvrapporteur" w:val="Sprawozdawca: "/>
    <w:docVar w:name="dvstar" w:val="??"/>
    <w:docVar w:name="dvtitre" w:val="Rezolucja Parlamentu Europejskiego z dnia  2024 r. w sprawie wykonania rozporządzenia (WE) nr 1924/2006 w sprawie oświadczeń żywieniowych i zdrowotnych dotyczących żywności(2023/2081(INI))"/>
  </w:docVars>
  <w:rsids>
    <w:rsidRoot w:val="00074C02"/>
    <w:rsid w:val="00002272"/>
    <w:rsid w:val="00064002"/>
    <w:rsid w:val="000677B9"/>
    <w:rsid w:val="00074C02"/>
    <w:rsid w:val="000831BA"/>
    <w:rsid w:val="000A42CC"/>
    <w:rsid w:val="000E7DD9"/>
    <w:rsid w:val="0010095E"/>
    <w:rsid w:val="00125B37"/>
    <w:rsid w:val="00187494"/>
    <w:rsid w:val="001B5DAF"/>
    <w:rsid w:val="001F32AE"/>
    <w:rsid w:val="0026293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19AE"/>
    <w:rsid w:val="00731ADD"/>
    <w:rsid w:val="00734777"/>
    <w:rsid w:val="00734C14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405"/>
    <w:rsid w:val="00CC2357"/>
    <w:rsid w:val="00CF071A"/>
    <w:rsid w:val="00CF255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96510"/>
  <w15:chartTrackingRefBased/>
  <w15:docId w15:val="{0E8B08FF-1572-466C-92E2-3EBEAE70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62939"/>
    <w:pPr>
      <w:spacing w:after="240"/>
      <w:ind w:left="567" w:hanging="567"/>
    </w:pPr>
  </w:style>
  <w:style w:type="paragraph" w:customStyle="1" w:styleId="EPComma">
    <w:name w:val="EPComma"/>
    <w:basedOn w:val="Normal"/>
    <w:rsid w:val="0026293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26293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62939"/>
    <w:rPr>
      <w:i/>
      <w:iCs/>
    </w:rPr>
  </w:style>
  <w:style w:type="character" w:customStyle="1" w:styleId="NormalHanging12aChar">
    <w:name w:val="NormalHanging12a Char"/>
    <w:basedOn w:val="DefaultParagraphFont"/>
    <w:link w:val="NormalHanging12a"/>
    <w:locked/>
    <w:rsid w:val="0026293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pps.who.int/iris/bitstream/handle/10665/353747/9789289057738-en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E2CA0-18F2-4568-B0B1-7028884D2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4249</Words>
  <Characters>28556</Characters>
  <Application>Microsoft Office Word</Application>
  <DocSecurity>0</DocSecurity>
  <Lines>237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2024-02-16T08:01:00Z</dcterms:created>
  <dcterms:modified xsi:type="dcterms:W3CDTF">2024-02-16T08:01:00Z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A9-0416/2023</vt:lpwstr>
  </property>
  <property fmtid="{D5CDD505-2E9C-101B-9397-08002B2CF9AE}" pid="4" name="&lt;Type&gt;">
    <vt:lpwstr>RR</vt:lpwstr>
  </property>
</Properties>
</file>