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86FE4" w:rsidTr="0010095E">
        <w:trPr>
          <w:trHeight w:hRule="exact" w:val="1418"/>
        </w:trPr>
        <w:tc>
          <w:tcPr>
            <w:tcW w:w="6804" w:type="dxa"/>
            <w:shd w:val="clear" w:color="auto" w:fill="auto"/>
            <w:vAlign w:val="center"/>
          </w:tcPr>
          <w:p w:rsidR="00751A4A" w:rsidRPr="00F86FE4" w:rsidRDefault="00E15970" w:rsidP="0010095E">
            <w:pPr>
              <w:pStyle w:val="EPName"/>
            </w:pPr>
            <w:r w:rsidRPr="00F86FE4">
              <w:t>Parlamentul European</w:t>
            </w:r>
          </w:p>
          <w:p w:rsidR="00751A4A" w:rsidRPr="00F86FE4" w:rsidRDefault="00817416" w:rsidP="00756632">
            <w:pPr>
              <w:pStyle w:val="EPTerm"/>
              <w:rPr>
                <w:rStyle w:val="HideTWBExt"/>
                <w:noProof w:val="0"/>
                <w:vanish w:val="0"/>
                <w:color w:val="auto"/>
              </w:rPr>
            </w:pPr>
            <w:r w:rsidRPr="00F86FE4">
              <w:t>2019-2024</w:t>
            </w:r>
          </w:p>
        </w:tc>
        <w:tc>
          <w:tcPr>
            <w:tcW w:w="2268" w:type="dxa"/>
            <w:shd w:val="clear" w:color="auto" w:fill="auto"/>
          </w:tcPr>
          <w:p w:rsidR="00751A4A" w:rsidRPr="00F86FE4" w:rsidRDefault="00187494" w:rsidP="0010095E">
            <w:pPr>
              <w:pStyle w:val="EPLogo"/>
            </w:pPr>
            <w:r w:rsidRPr="00F86FE4">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86FE4" w:rsidRDefault="00D058B8" w:rsidP="004C5D52">
      <w:pPr>
        <w:pStyle w:val="LineTop"/>
      </w:pPr>
    </w:p>
    <w:p w:rsidR="00680577" w:rsidRPr="00F86FE4" w:rsidRDefault="00E15970" w:rsidP="00680577">
      <w:pPr>
        <w:pStyle w:val="EPBodyTA1"/>
      </w:pPr>
      <w:r w:rsidRPr="00F86FE4">
        <w:t>TEXTE ADOPTATE</w:t>
      </w:r>
    </w:p>
    <w:p w:rsidR="00D058B8" w:rsidRPr="00F86FE4" w:rsidRDefault="00D058B8" w:rsidP="00D058B8">
      <w:pPr>
        <w:pStyle w:val="LineBottom"/>
      </w:pPr>
    </w:p>
    <w:p w:rsidR="00E15970" w:rsidRPr="00F86FE4" w:rsidRDefault="00E15970" w:rsidP="00E15970">
      <w:pPr>
        <w:pStyle w:val="ATHeading1"/>
      </w:pPr>
      <w:bookmarkStart w:id="0" w:name="TANumber"/>
      <w:r w:rsidRPr="00F86FE4">
        <w:t>P9_TA(2024)</w:t>
      </w:r>
      <w:bookmarkEnd w:id="0"/>
      <w:r w:rsidR="00F86FE4" w:rsidRPr="00F86FE4">
        <w:t>0040</w:t>
      </w:r>
    </w:p>
    <w:p w:rsidR="00E15970" w:rsidRPr="00F86FE4" w:rsidRDefault="00E15970" w:rsidP="00E15970">
      <w:pPr>
        <w:pStyle w:val="ATHeading2"/>
      </w:pPr>
      <w:bookmarkStart w:id="1" w:name="title"/>
      <w:r w:rsidRPr="00F86FE4">
        <w:t>Raport referitor la punerea în aplicare a Regulamentului (CE) nr. 1924/2006 privind mențiunile nutriționale și de sănătate înscrise pe produsele alimentare</w:t>
      </w:r>
      <w:bookmarkEnd w:id="1"/>
    </w:p>
    <w:p w:rsidR="00E15970" w:rsidRPr="00F86FE4" w:rsidRDefault="00E15970" w:rsidP="00E15970">
      <w:pPr>
        <w:rPr>
          <w:i/>
          <w:vanish/>
        </w:rPr>
      </w:pPr>
      <w:r w:rsidRPr="00F86FE4">
        <w:rPr>
          <w:i/>
        </w:rPr>
        <w:fldChar w:fldCharType="begin"/>
      </w:r>
      <w:r w:rsidRPr="00F86FE4">
        <w:rPr>
          <w:i/>
        </w:rPr>
        <w:instrText xml:space="preserve"> TC"(</w:instrText>
      </w:r>
      <w:bookmarkStart w:id="2" w:name="DocNumber"/>
      <w:r w:rsidRPr="00F86FE4">
        <w:rPr>
          <w:i/>
        </w:rPr>
        <w:instrText>A9-0416/2023</w:instrText>
      </w:r>
      <w:bookmarkEnd w:id="2"/>
      <w:r w:rsidRPr="00F86FE4">
        <w:rPr>
          <w:i/>
        </w:rPr>
        <w:instrText xml:space="preserve"> - Raporto</w:instrText>
      </w:r>
      <w:r w:rsidR="00D14357" w:rsidRPr="00F86FE4">
        <w:rPr>
          <w:i/>
        </w:rPr>
        <w:instrText>a</w:instrText>
      </w:r>
      <w:r w:rsidRPr="00F86FE4">
        <w:rPr>
          <w:i/>
        </w:rPr>
        <w:instrText>r</w:instrText>
      </w:r>
      <w:r w:rsidR="00D14357" w:rsidRPr="00F86FE4">
        <w:rPr>
          <w:i/>
        </w:rPr>
        <w:instrText>e</w:instrText>
      </w:r>
      <w:r w:rsidRPr="00F86FE4">
        <w:rPr>
          <w:i/>
        </w:rPr>
        <w:instrText xml:space="preserve">: Tilly Metz)"\l3 \n&gt; \* MERGEFORMAT </w:instrText>
      </w:r>
      <w:r w:rsidRPr="00F86FE4">
        <w:rPr>
          <w:i/>
        </w:rPr>
        <w:fldChar w:fldCharType="end"/>
      </w:r>
    </w:p>
    <w:p w:rsidR="00E15970" w:rsidRPr="00F86FE4" w:rsidRDefault="00E15970" w:rsidP="00E15970">
      <w:pPr>
        <w:rPr>
          <w:vanish/>
        </w:rPr>
      </w:pPr>
      <w:bookmarkStart w:id="3" w:name="Commission"/>
      <w:r w:rsidRPr="00F86FE4">
        <w:rPr>
          <w:vanish/>
        </w:rPr>
        <w:t>Document de ședință</w:t>
      </w:r>
      <w:bookmarkEnd w:id="3"/>
    </w:p>
    <w:p w:rsidR="00E15970" w:rsidRPr="00F86FE4" w:rsidRDefault="00E15970" w:rsidP="00E15970">
      <w:pPr>
        <w:rPr>
          <w:vanish/>
        </w:rPr>
      </w:pPr>
      <w:bookmarkStart w:id="4" w:name="PE"/>
      <w:r w:rsidRPr="00F86FE4">
        <w:rPr>
          <w:vanish/>
        </w:rPr>
        <w:t>PE753.549</w:t>
      </w:r>
      <w:bookmarkEnd w:id="4"/>
    </w:p>
    <w:p w:rsidR="00E15970" w:rsidRPr="00F86FE4" w:rsidRDefault="00E15970" w:rsidP="00E15970">
      <w:pPr>
        <w:pStyle w:val="ATHeading3"/>
      </w:pPr>
      <w:bookmarkStart w:id="5" w:name="Sujet"/>
      <w:r w:rsidRPr="00F86FE4">
        <w:t xml:space="preserve">Rezoluția Parlamentului European din </w:t>
      </w:r>
      <w:r w:rsidR="00F7485C" w:rsidRPr="00F86FE4">
        <w:t>18 ianuarie</w:t>
      </w:r>
      <w:r w:rsidRPr="00F86FE4">
        <w:t xml:space="preserve"> 2024 </w:t>
      </w:r>
      <w:r w:rsidR="006C1FB3" w:rsidRPr="00F86FE4">
        <w:t xml:space="preserve">referitoare </w:t>
      </w:r>
      <w:r w:rsidRPr="00F86FE4">
        <w:t>la punerea în aplicare a Regulamentului (CE) nr. 1924/2006 privind mențiunile nutriționale și de sănătate înscrise pe produsele alimentare</w:t>
      </w:r>
      <w:bookmarkEnd w:id="5"/>
      <w:r w:rsidRPr="00F86FE4">
        <w:t xml:space="preserve"> </w:t>
      </w:r>
      <w:bookmarkStart w:id="6" w:name="References"/>
      <w:r w:rsidRPr="00F86FE4">
        <w:t>(2023/2081(INI))</w:t>
      </w:r>
      <w:bookmarkEnd w:id="6"/>
    </w:p>
    <w:p w:rsidR="00E15970" w:rsidRPr="00F86FE4" w:rsidRDefault="00E15970" w:rsidP="00E15970"/>
    <w:p w:rsidR="00693238" w:rsidRPr="00F86FE4" w:rsidRDefault="00693238" w:rsidP="00693238">
      <w:pPr>
        <w:pStyle w:val="EPComma"/>
      </w:pPr>
      <w:bookmarkStart w:id="7" w:name="TextBodyBegin"/>
      <w:bookmarkEnd w:id="7"/>
      <w:r w:rsidRPr="00F86FE4">
        <w:rPr>
          <w:i/>
          <w:iCs/>
        </w:rPr>
        <w:t>Parlamentul European</w:t>
      </w:r>
      <w:r w:rsidRPr="00F86FE4">
        <w:t>,</w:t>
      </w:r>
    </w:p>
    <w:p w:rsidR="00693238" w:rsidRPr="00F86FE4" w:rsidRDefault="00693238" w:rsidP="00F7485C">
      <w:pPr>
        <w:pStyle w:val="NormalHanging12a"/>
        <w:widowControl/>
      </w:pPr>
      <w:r w:rsidRPr="00F86FE4">
        <w:t>–</w:t>
      </w:r>
      <w:r w:rsidRPr="00F86FE4">
        <w:tab/>
        <w:t>având în vedere articolele 168 și 169 din Tratatul privind funcționarea Uniunii Europene,</w:t>
      </w:r>
    </w:p>
    <w:p w:rsidR="00693238" w:rsidRPr="00F86FE4" w:rsidRDefault="00693238" w:rsidP="00F7485C">
      <w:pPr>
        <w:pStyle w:val="NormalHanging12a"/>
        <w:widowControl/>
        <w:rPr>
          <w:szCs w:val="24"/>
        </w:rPr>
      </w:pPr>
      <w:r w:rsidRPr="00F86FE4">
        <w:t>–</w:t>
      </w:r>
      <w:r w:rsidRPr="00F86FE4">
        <w:rPr>
          <w:color w:val="000000"/>
        </w:rPr>
        <w:tab/>
        <w:t>având în vedere Regulamentul (CE) nr. 1924/2006 al Parlamentului European și al Consiliului din 20 decembrie 2006 privind mențiunile nutriționale și de sănătate înscrise pe produsele alimentare</w:t>
      </w:r>
      <w:r w:rsidRPr="00F86FE4">
        <w:rPr>
          <w:rStyle w:val="FootnoteReference"/>
          <w:bCs/>
          <w:color w:val="000000"/>
          <w:szCs w:val="24"/>
        </w:rPr>
        <w:footnoteReference w:id="1"/>
      </w:r>
      <w:r w:rsidRPr="00F86FE4">
        <w:rPr>
          <w:color w:val="000000"/>
        </w:rPr>
        <w:t>,</w:t>
      </w:r>
    </w:p>
    <w:p w:rsidR="00693238" w:rsidRPr="00F86FE4" w:rsidRDefault="00693238" w:rsidP="00F7485C">
      <w:pPr>
        <w:pStyle w:val="NormalHanging12a"/>
        <w:widowControl/>
      </w:pPr>
      <w:r w:rsidRPr="00F86FE4">
        <w:t>–</w:t>
      </w:r>
      <w:r w:rsidRPr="00F86FE4">
        <w:tab/>
        <w:t>având în vedere Regulamentul (CE) nr. 178/2002 al Parlamentului European și al Consiliului din 28 ianuarie 2002 de stabilire a principiilor și a cerințelor generale ale legislației alimentare, de instituire a Autorității Europene pentru Siguranța Alimentară și de stabilire a procedurilor în domeniul siguranței produselor alimentare</w:t>
      </w:r>
      <w:r w:rsidRPr="00F86FE4">
        <w:rPr>
          <w:rStyle w:val="FootnoteReference"/>
          <w:bCs/>
          <w:color w:val="000000"/>
          <w:szCs w:val="24"/>
        </w:rPr>
        <w:footnoteReference w:id="2"/>
      </w:r>
      <w:r w:rsidRPr="00F86FE4">
        <w:t>,</w:t>
      </w:r>
    </w:p>
    <w:p w:rsidR="00693238" w:rsidRPr="00F86FE4" w:rsidRDefault="00693238" w:rsidP="00F7485C">
      <w:pPr>
        <w:pStyle w:val="NormalHanging12a"/>
        <w:widowControl/>
        <w:rPr>
          <w:szCs w:val="24"/>
        </w:rPr>
      </w:pPr>
      <w:r w:rsidRPr="00F86FE4">
        <w:t>–</w:t>
      </w:r>
      <w:r w:rsidRPr="00F86FE4">
        <w:rPr>
          <w:color w:val="000000"/>
        </w:rPr>
        <w:tab/>
        <w:t xml:space="preserve">având în vedere Regulamentul (UE) nr. 1169/2011 al Parlamentului European și al Consiliului din 25 octombrie 2011 privind informarea consumatorilor cu privire la produsele alimentare, de modificare a Regulamentelor (CE) nr. 1924/2006 și </w:t>
      </w:r>
      <w:r w:rsidR="00F727BD">
        <w:rPr>
          <w:color w:val="000000"/>
        </w:rPr>
        <w:t xml:space="preserve">(CE) </w:t>
      </w:r>
      <w:r w:rsidRPr="00F86FE4">
        <w:rPr>
          <w:color w:val="000000"/>
        </w:rPr>
        <w:t>nr. 1925/2006 ale Parlamentului European și ale Consiliului și de abrogare a Directivei 87/250/CEE a Comisiei, a Directivei 90/496/CEE a Consiliului, a Directivei 1999/10/CE a Comisiei, a Directivei 2000/13/CE a Parlamentului European și a Consiliului, a Directivelor 2002/67/CE și 2008/5/CE ale Comisiei și a Regulamentului (CE) nr. 608/2004 al Comisiei</w:t>
      </w:r>
      <w:r w:rsidRPr="00F86FE4">
        <w:rPr>
          <w:rStyle w:val="FootnoteReference"/>
          <w:bCs/>
          <w:color w:val="000000"/>
          <w:szCs w:val="24"/>
        </w:rPr>
        <w:footnoteReference w:id="3"/>
      </w:r>
      <w:r w:rsidRPr="00F86FE4">
        <w:rPr>
          <w:color w:val="000000"/>
        </w:rPr>
        <w:t>,</w:t>
      </w:r>
    </w:p>
    <w:p w:rsidR="00693238" w:rsidRPr="00F86FE4" w:rsidRDefault="00693238" w:rsidP="00F7485C">
      <w:pPr>
        <w:pStyle w:val="NormalHanging12a"/>
        <w:widowControl/>
        <w:rPr>
          <w:szCs w:val="24"/>
        </w:rPr>
      </w:pPr>
      <w:r w:rsidRPr="00F86FE4">
        <w:lastRenderedPageBreak/>
        <w:t>–</w:t>
      </w:r>
      <w:r w:rsidRPr="00F86FE4">
        <w:rPr>
          <w:color w:val="000000"/>
        </w:rPr>
        <w:tab/>
        <w:t>având în vedere Directiva 2002/46/CE a Parlamentului European și a Consiliului din 10 iunie 2002 referitoare la apropierea legislațiilor statelor membre privind suplimentele alimentare</w:t>
      </w:r>
      <w:r w:rsidRPr="00F86FE4">
        <w:rPr>
          <w:rStyle w:val="FootnoteReference"/>
          <w:bCs/>
          <w:color w:val="000000"/>
          <w:szCs w:val="24"/>
        </w:rPr>
        <w:footnoteReference w:id="4"/>
      </w:r>
      <w:r w:rsidRPr="00F86FE4">
        <w:rPr>
          <w:color w:val="000000"/>
        </w:rPr>
        <w:t>,</w:t>
      </w:r>
    </w:p>
    <w:p w:rsidR="00693238" w:rsidRPr="00F86FE4" w:rsidRDefault="00693238" w:rsidP="00F7485C">
      <w:pPr>
        <w:pStyle w:val="NormalHanging12a"/>
        <w:widowControl/>
        <w:rPr>
          <w:szCs w:val="24"/>
        </w:rPr>
      </w:pPr>
      <w:r w:rsidRPr="00F86FE4">
        <w:t>–</w:t>
      </w:r>
      <w:r w:rsidRPr="00F86FE4">
        <w:rPr>
          <w:color w:val="000000"/>
        </w:rPr>
        <w:tab/>
        <w:t>având în vedere Regulamentul (CE) nr. 1925/2006 al Parlamentului European și al Consiliului din 20 decembrie 2006 privind adaosul de vitamine și minerale, precum și de anumite substanțe de alt tip în produsele alimentare</w:t>
      </w:r>
      <w:r w:rsidRPr="00F86FE4">
        <w:rPr>
          <w:rStyle w:val="FootnoteReference"/>
          <w:bCs/>
          <w:color w:val="000000"/>
          <w:szCs w:val="24"/>
        </w:rPr>
        <w:footnoteReference w:id="5"/>
      </w:r>
      <w:r w:rsidRPr="00F86FE4">
        <w:rPr>
          <w:color w:val="000000"/>
        </w:rPr>
        <w:t>,</w:t>
      </w:r>
    </w:p>
    <w:p w:rsidR="00693238" w:rsidRPr="00F86FE4" w:rsidRDefault="00693238" w:rsidP="00F7485C">
      <w:pPr>
        <w:pStyle w:val="NormalHanging12a"/>
        <w:widowControl/>
        <w:rPr>
          <w:bCs/>
          <w:color w:val="000000"/>
          <w:szCs w:val="24"/>
        </w:rPr>
      </w:pPr>
      <w:r w:rsidRPr="00F86FE4">
        <w:t>–</w:t>
      </w:r>
      <w:r w:rsidRPr="00F86FE4">
        <w:rPr>
          <w:color w:val="000000"/>
        </w:rPr>
        <w:tab/>
        <w:t>având în vedere Regulamentul (UE) nr. 609/2013 al Parlamentului European și al Consiliului din 12 iunie 2013 privind alimentele destinate sugarilor și copiilor de vârstă mică, alimentele destinate unor scopuri medicale speciale și înlocuitorii unei diete totale pentru controlul greutății și de abrogare a Directivei 92/52/CEE a Consiliului, a Directivelor 96/8/CE, 1999/21/CE, 2006/125/CE și 2006/141/CE ale Comisiei, a Directivei 2009/39/CE a Parlamentului European și a Consiliului și a Regulamentelor (CE) nr. 41/2009 și (CE) nr. 953/2009 ale Comisiei</w:t>
      </w:r>
      <w:r w:rsidRPr="00F86FE4">
        <w:rPr>
          <w:rStyle w:val="FootnoteReference"/>
          <w:bCs/>
          <w:color w:val="000000"/>
          <w:szCs w:val="24"/>
        </w:rPr>
        <w:footnoteReference w:id="6"/>
      </w:r>
      <w:r w:rsidRPr="00F86FE4">
        <w:rPr>
          <w:color w:val="000000"/>
        </w:rPr>
        <w:t>,</w:t>
      </w:r>
    </w:p>
    <w:p w:rsidR="00693238" w:rsidRPr="00F86FE4" w:rsidRDefault="00693238" w:rsidP="00F7485C">
      <w:pPr>
        <w:pStyle w:val="NormalHanging12a"/>
        <w:widowControl/>
        <w:rPr>
          <w:szCs w:val="24"/>
        </w:rPr>
      </w:pPr>
      <w:r w:rsidRPr="00F86FE4">
        <w:t>–</w:t>
      </w:r>
      <w:r w:rsidRPr="00F86FE4">
        <w:rPr>
          <w:b/>
          <w:i/>
        </w:rPr>
        <w:tab/>
      </w:r>
      <w:r w:rsidRPr="00F86FE4">
        <w:t>având în vedere Regulamentul (UE) 2022/2065 al Parlamentului European și al Consiliului din 19 octombrie 2022 privind o piață unică pentru serviciile digitale și de modificare a Directivei 2000/31/CE (Regulamentul privind serviciile digitale)</w:t>
      </w:r>
      <w:r w:rsidRPr="00F86FE4">
        <w:rPr>
          <w:rStyle w:val="FootnoteReference"/>
          <w:szCs w:val="24"/>
        </w:rPr>
        <w:footnoteReference w:id="7"/>
      </w:r>
      <w:r w:rsidRPr="00F86FE4">
        <w:t xml:space="preserve">, </w:t>
      </w:r>
    </w:p>
    <w:p w:rsidR="00693238" w:rsidRPr="00F86FE4" w:rsidRDefault="00693238" w:rsidP="00F7485C">
      <w:pPr>
        <w:pStyle w:val="NormalHanging12a"/>
        <w:widowControl/>
        <w:rPr>
          <w:szCs w:val="24"/>
        </w:rPr>
      </w:pPr>
      <w:r w:rsidRPr="00F86FE4">
        <w:t>–</w:t>
      </w:r>
      <w:r w:rsidRPr="00F86FE4">
        <w:tab/>
        <w:t>având în vedere Regulamentul (UE) 2021/522 al Parlamentului European și al Consiliului din 24 martie 2021 de instituire a unui program de acțiune a Uniunii în domeniul sănătății („programul «UE pentru sănătate»”) pentru perioada 2021-2027 și de abrogare a Regulamentului (UE) nr. 282/2014</w:t>
      </w:r>
      <w:r w:rsidRPr="00F86FE4">
        <w:rPr>
          <w:rStyle w:val="FootnoteReference"/>
          <w:szCs w:val="24"/>
        </w:rPr>
        <w:footnoteReference w:id="8"/>
      </w:r>
      <w:r w:rsidRPr="00F86FE4">
        <w:t>,</w:t>
      </w:r>
    </w:p>
    <w:p w:rsidR="00693238" w:rsidRPr="00F86FE4" w:rsidRDefault="00693238" w:rsidP="00F7485C">
      <w:pPr>
        <w:pStyle w:val="NormalHanging12a"/>
        <w:widowControl/>
        <w:rPr>
          <w:bCs/>
          <w:color w:val="000000"/>
          <w:szCs w:val="24"/>
        </w:rPr>
      </w:pPr>
      <w:r w:rsidRPr="00F86FE4">
        <w:t>–</w:t>
      </w:r>
      <w:r w:rsidRPr="00F86FE4">
        <w:rPr>
          <w:color w:val="000000"/>
        </w:rPr>
        <w:tab/>
        <w:t>având în vedere rezoluția sa din 20 octombrie 2021 referitoare la o strategie „De la fermă la consumator” pentru un sistem alimentar echitabil, sănătos și ecologic</w:t>
      </w:r>
      <w:r w:rsidRPr="00F86FE4">
        <w:rPr>
          <w:rStyle w:val="FootnoteReference"/>
          <w:bCs/>
          <w:color w:val="000000"/>
          <w:szCs w:val="24"/>
        </w:rPr>
        <w:footnoteReference w:id="9"/>
      </w:r>
      <w:r w:rsidRPr="00F86FE4">
        <w:rPr>
          <w:color w:val="000000"/>
        </w:rPr>
        <w:t>,</w:t>
      </w:r>
    </w:p>
    <w:p w:rsidR="00693238" w:rsidRPr="00F86FE4" w:rsidRDefault="00693238" w:rsidP="00F7485C">
      <w:pPr>
        <w:pStyle w:val="NormalHanging12a"/>
        <w:widowControl/>
        <w:rPr>
          <w:szCs w:val="24"/>
        </w:rPr>
      </w:pPr>
      <w:r w:rsidRPr="00F86FE4">
        <w:t>–</w:t>
      </w:r>
      <w:r w:rsidRPr="00F86FE4">
        <w:rPr>
          <w:color w:val="000000"/>
        </w:rPr>
        <w:tab/>
        <w:t>având în vedere comunicarea Comisiei din 20 mai 2020 intitulată „O Strategie «De la fermă la consumator» pentru un sistem alimentar echitabil, sănătos și ecologic” (COM(2020)0381),</w:t>
      </w:r>
    </w:p>
    <w:p w:rsidR="00693238" w:rsidRPr="00F86FE4" w:rsidRDefault="00693238" w:rsidP="00F7485C">
      <w:pPr>
        <w:pStyle w:val="NormalHanging12a"/>
        <w:widowControl/>
        <w:rPr>
          <w:bCs/>
          <w:color w:val="000000"/>
          <w:szCs w:val="24"/>
        </w:rPr>
      </w:pPr>
      <w:r w:rsidRPr="00F86FE4">
        <w:t>–</w:t>
      </w:r>
      <w:r w:rsidRPr="00F86FE4">
        <w:rPr>
          <w:color w:val="000000"/>
        </w:rPr>
        <w:tab/>
        <w:t>având în vedere documentul de lucru al serviciilor Comisiei din 20 mai 2020 intitulat „Rezumat al evaluării Regulamentului (CE) nr. 1924/2006 privind mențiunile nutriționale și de sănătate înscrise pe produsele alimentare în ceea ce privește profilurile nutriționale și mențiunile de sănătate înscrise pe plante și pe preparatele din plante și cadrul de reglementare general pentru utilizarea acestora în produsele alimentare” (SWD(2020)0096),</w:t>
      </w:r>
    </w:p>
    <w:p w:rsidR="00693238" w:rsidRPr="00F86FE4" w:rsidRDefault="00693238" w:rsidP="00F7485C">
      <w:pPr>
        <w:pStyle w:val="NormalHanging12a"/>
        <w:widowControl/>
        <w:rPr>
          <w:szCs w:val="24"/>
        </w:rPr>
      </w:pPr>
      <w:r w:rsidRPr="00F86FE4">
        <w:lastRenderedPageBreak/>
        <w:t>–</w:t>
      </w:r>
      <w:r w:rsidRPr="00F86FE4">
        <w:rPr>
          <w:b/>
          <w:i/>
        </w:rPr>
        <w:tab/>
      </w:r>
      <w:r w:rsidRPr="00F86FE4">
        <w:t>având în vedere avizul științific al Autorității Europene pentru Siguranța Alimentară (EFSA) din 15 decembrie 2021 intitulat „Limita superioară tolerabilă a aportului de zaharuri din alimente”</w:t>
      </w:r>
      <w:r w:rsidRPr="00F86FE4">
        <w:rPr>
          <w:rStyle w:val="FootnoteReference"/>
          <w:szCs w:val="24"/>
        </w:rPr>
        <w:footnoteReference w:id="10"/>
      </w:r>
      <w:r w:rsidRPr="00F86FE4">
        <w:t>,</w:t>
      </w:r>
    </w:p>
    <w:p w:rsidR="00693238" w:rsidRPr="00F86FE4" w:rsidRDefault="00693238" w:rsidP="00F7485C">
      <w:pPr>
        <w:pStyle w:val="NormalHanging12a"/>
        <w:widowControl/>
        <w:rPr>
          <w:szCs w:val="24"/>
        </w:rPr>
      </w:pPr>
      <w:r w:rsidRPr="00F86FE4">
        <w:t>–</w:t>
      </w:r>
      <w:r w:rsidRPr="00F86FE4">
        <w:tab/>
        <w:t>având în vedere publicația OMS din 2022 intitulată: „Etichetarea nutrițională: document de politică”</w:t>
      </w:r>
      <w:r w:rsidRPr="00F86FE4">
        <w:rPr>
          <w:rStyle w:val="FootnoteReference"/>
          <w:szCs w:val="24"/>
        </w:rPr>
        <w:footnoteReference w:id="11"/>
      </w:r>
      <w:r w:rsidRPr="00F86FE4">
        <w:t>,</w:t>
      </w:r>
    </w:p>
    <w:p w:rsidR="00693238" w:rsidRPr="00F86FE4" w:rsidRDefault="00693238" w:rsidP="00F7485C">
      <w:pPr>
        <w:pStyle w:val="NormalHanging12a"/>
        <w:widowControl/>
        <w:rPr>
          <w:szCs w:val="24"/>
        </w:rPr>
      </w:pPr>
      <w:r w:rsidRPr="00F86FE4">
        <w:t>–</w:t>
      </w:r>
      <w:r w:rsidRPr="00F86FE4">
        <w:tab/>
        <w:t>având în vedere publicația OMS din 2019 intitulată „Principiile directoare și manualul cadru pentru etichetarea pe partea frontală a ambalajului pentru promovarea unei alimentații sănătoase”</w:t>
      </w:r>
      <w:r w:rsidRPr="00F86FE4">
        <w:rPr>
          <w:rStyle w:val="FootnoteReference"/>
          <w:szCs w:val="24"/>
        </w:rPr>
        <w:footnoteReference w:id="12"/>
      </w:r>
      <w:r w:rsidRPr="00F86FE4">
        <w:t>,</w:t>
      </w:r>
    </w:p>
    <w:p w:rsidR="00693238" w:rsidRPr="00F86FE4" w:rsidRDefault="00693238" w:rsidP="00F7485C">
      <w:pPr>
        <w:pStyle w:val="NormalHanging12a"/>
        <w:widowControl/>
        <w:rPr>
          <w:szCs w:val="24"/>
        </w:rPr>
      </w:pPr>
      <w:r w:rsidRPr="00F86FE4">
        <w:t>–</w:t>
      </w:r>
      <w:r w:rsidRPr="00F86FE4">
        <w:tab/>
        <w:t xml:space="preserve">având în vedere obiectivul de dezvoltare durabilă 3, și anume asigurarea unei vieți sănătoase și promovarea bunăstării tuturor, la orice vârstă, </w:t>
      </w:r>
    </w:p>
    <w:p w:rsidR="00693238" w:rsidRPr="00F86FE4" w:rsidRDefault="00693238" w:rsidP="00F7485C">
      <w:pPr>
        <w:pStyle w:val="NormalHanging12a"/>
        <w:widowControl/>
        <w:rPr>
          <w:szCs w:val="24"/>
        </w:rPr>
      </w:pPr>
      <w:r w:rsidRPr="00F86FE4">
        <w:t>–</w:t>
      </w:r>
      <w:r w:rsidRPr="00F86FE4">
        <w:tab/>
        <w:t>având în vedere publicația UNICEF din decembrie 2013 intitulată „Children’s Rights in Impact Assessments - A guide for integrating children’s rights into impact assessments and taking action for children”</w:t>
      </w:r>
      <w:r w:rsidRPr="00F86FE4">
        <w:rPr>
          <w:rStyle w:val="FootnoteReference"/>
          <w:szCs w:val="24"/>
        </w:rPr>
        <w:footnoteReference w:id="13"/>
      </w:r>
      <w:r w:rsidRPr="00F86FE4">
        <w:t xml:space="preserve"> (Drepturile copiilor în evaluările de impact: un ghid pentru integrarea drepturilor copiilor în evaluările de impact și pentru luarea de măsuri în sprijinul copiilor),</w:t>
      </w:r>
    </w:p>
    <w:p w:rsidR="00693238" w:rsidRPr="00F86FE4" w:rsidRDefault="00693238" w:rsidP="00F7485C">
      <w:pPr>
        <w:pStyle w:val="NormalHanging12a"/>
        <w:widowControl/>
        <w:rPr>
          <w:szCs w:val="24"/>
        </w:rPr>
      </w:pPr>
      <w:r w:rsidRPr="00F86FE4">
        <w:t>–</w:t>
      </w:r>
      <w:r w:rsidRPr="00F86FE4">
        <w:rPr>
          <w:color w:val="000000"/>
        </w:rPr>
        <w:tab/>
        <w:t>având în vedere articolul 54 din Regulamentul său de procedură, precum și articolul 1 alineatul (1) litera (e) din Decizia Conferinței președinților din 12 decembrie 2002 privind procedura de autorizare a rapoartelor din proprie inițiativă și anexa 3 la aceasta,</w:t>
      </w:r>
    </w:p>
    <w:p w:rsidR="00693238" w:rsidRPr="00F86FE4" w:rsidRDefault="00693238" w:rsidP="00F7485C">
      <w:pPr>
        <w:pStyle w:val="NormalHanging12a"/>
        <w:widowControl/>
        <w:rPr>
          <w:szCs w:val="24"/>
        </w:rPr>
      </w:pPr>
      <w:r w:rsidRPr="00F86FE4">
        <w:t>–</w:t>
      </w:r>
      <w:r w:rsidRPr="00F86FE4">
        <w:rPr>
          <w:color w:val="000000"/>
        </w:rPr>
        <w:tab/>
      </w:r>
      <w:r w:rsidRPr="00F86FE4">
        <w:t xml:space="preserve">având în vedere raportul Comisiei pentru mediu, sănătate publică și siguranță alimentară (A9-0416/2023), </w:t>
      </w:r>
    </w:p>
    <w:p w:rsidR="00693238" w:rsidRPr="00F86FE4" w:rsidRDefault="00693238" w:rsidP="00F7485C">
      <w:pPr>
        <w:pStyle w:val="NormalHanging12a"/>
        <w:widowControl/>
      </w:pPr>
      <w:r w:rsidRPr="00F86FE4">
        <w:rPr>
          <w:color w:val="000000"/>
        </w:rPr>
        <w:t>A.</w:t>
      </w:r>
      <w:r w:rsidRPr="00F86FE4">
        <w:rPr>
          <w:b/>
          <w:i/>
          <w:color w:val="000000"/>
        </w:rPr>
        <w:tab/>
      </w:r>
      <w:r w:rsidRPr="00F86FE4">
        <w:rPr>
          <w:color w:val="000000"/>
        </w:rPr>
        <w:t>întrucât Regulamentul (CE) nr. 1924/2006 (Regulamentul privind mențiunile nutriționale și de sănătate sau NHCR) a fost introdus cu scopul de a asigura cel mai înalt nivel posibil de protecție a consumatorilor și de a facilita alegerile consumatorilor; întrucât Regulamentul privind mențiunile nutriționale și de sănătate se aplică mențiunilor nutriționale și de sănătate voluntare de pe produsele alimentare în toate comunicările comerciale, inclusiv în etichetare și publicitate, precum și în comunicările adresate profesioniștilor din domeniul sănătății</w:t>
      </w:r>
      <w:r w:rsidRPr="00F86FE4">
        <w:rPr>
          <w:rStyle w:val="FootnoteReference"/>
          <w:color w:val="000000"/>
          <w:szCs w:val="24"/>
        </w:rPr>
        <w:footnoteReference w:id="14"/>
      </w:r>
      <w:r w:rsidRPr="00F86FE4">
        <w:rPr>
          <w:color w:val="000000"/>
        </w:rPr>
        <w:t xml:space="preserve">; întrucât Comisia aprobă mențiunile de </w:t>
      </w:r>
      <w:r w:rsidRPr="00F86FE4">
        <w:rPr>
          <w:color w:val="000000"/>
        </w:rPr>
        <w:lastRenderedPageBreak/>
        <w:t>sănătate care se bazează pe dovezi științifice și sunt inteligibile pentru consumatori, în urma unei evaluări științifice a mențiunilor de către EFSA;</w:t>
      </w:r>
    </w:p>
    <w:p w:rsidR="00693238" w:rsidRPr="00F86FE4" w:rsidRDefault="00693238" w:rsidP="00F7485C">
      <w:pPr>
        <w:pStyle w:val="NormalHanging12a"/>
        <w:widowControl/>
      </w:pPr>
      <w:r w:rsidRPr="00F86FE4">
        <w:t>B.</w:t>
      </w:r>
      <w:r w:rsidRPr="00F86FE4">
        <w:tab/>
        <w:t>întrucât mențiunile pot fi clasificate în „mențiuni privind sănătatea funcțională”, „mențiuni privind reducerea riscurilor” și „mențiuni privind dezvoltarea copiilor”; întrucât, în iulie 2023, 269 de mențiuni privind sănătatea au fost autorizate în UE; întrucât mențiunile referitoare la dezvoltarea și sănătatea copiilor în etichetarea produselor alimentare pot fi autorizate în conformitate cu procedurile și cerințele stabilite de Regulamentul privind mențiunile nutriționale și de sănătate;</w:t>
      </w:r>
    </w:p>
    <w:p w:rsidR="00693238" w:rsidRPr="00F86FE4" w:rsidRDefault="00693238" w:rsidP="00F7485C">
      <w:pPr>
        <w:pStyle w:val="NormalHanging12a"/>
        <w:widowControl/>
        <w:rPr>
          <w:color w:val="000000"/>
          <w:szCs w:val="24"/>
        </w:rPr>
      </w:pPr>
      <w:r w:rsidRPr="00F86FE4">
        <w:rPr>
          <w:color w:val="000000"/>
        </w:rPr>
        <w:t>C.</w:t>
      </w:r>
      <w:r w:rsidRPr="00F86FE4">
        <w:rPr>
          <w:color w:val="000000"/>
        </w:rPr>
        <w:tab/>
        <w:t>întrucât cel puțin 18 % din produsele noi care intră pe piața UE a alimentelor și băuturilor poartă mențiuni nutriționale sau de sănătate, estimându-se că un sfert din totalul produselor alimentare disponibile pe piața UE poartă astfel de mențiuni</w:t>
      </w:r>
      <w:r w:rsidRPr="00F86FE4">
        <w:rPr>
          <w:rStyle w:val="FootnoteReference"/>
          <w:color w:val="000000"/>
          <w:szCs w:val="24"/>
        </w:rPr>
        <w:footnoteReference w:id="15"/>
      </w:r>
      <w:r w:rsidRPr="00F86FE4">
        <w:rPr>
          <w:color w:val="000000"/>
        </w:rPr>
        <w:t>; întrucât, așa cum se prevede în considerentul 10 din Regulamentul privind mențiunile nutriționale și de sănătate, produsele alimentare promovate prin mențiuni pot fi percepute de consumatori ca având un avantaj nutrițional, fiziologic sau orice alt avantaj referitor la sănătate în raport cu produse similare sau cu alte produse în compoziția cărora nu s-au adăugat astfel de nutrienți și de alte substanțe. Consumatorii pot fi astfel încurajați să îl aleagă pe acela care influențează direct cantitatea totală de nutrienți individuali sau de alte substanțe absorbite de aceștia, contrar avizelor științifice în domeniu;</w:t>
      </w:r>
    </w:p>
    <w:p w:rsidR="00693238" w:rsidRPr="00F86FE4" w:rsidRDefault="00693238" w:rsidP="00F7485C">
      <w:pPr>
        <w:pStyle w:val="NormalHanging12a"/>
        <w:widowControl/>
      </w:pPr>
      <w:r w:rsidRPr="00F86FE4">
        <w:rPr>
          <w:color w:val="000000"/>
        </w:rPr>
        <w:t>D.</w:t>
      </w:r>
      <w:r w:rsidRPr="00F86FE4">
        <w:rPr>
          <w:color w:val="000000"/>
        </w:rPr>
        <w:tab/>
        <w:t>întrucât, în temeiul articolului 13 alineatul (3) din NHCR, Comisia trebuia să adopte o listă comunitară a mențiunilor permise până cel târziu la 31 ianuarie 2010;</w:t>
      </w:r>
    </w:p>
    <w:p w:rsidR="00693238" w:rsidRPr="00F86FE4" w:rsidRDefault="00693238" w:rsidP="00F7485C">
      <w:pPr>
        <w:pStyle w:val="NormalHanging12a"/>
        <w:widowControl/>
        <w:rPr>
          <w:szCs w:val="22"/>
        </w:rPr>
      </w:pPr>
      <w:r w:rsidRPr="00F86FE4">
        <w:rPr>
          <w:color w:val="000000"/>
        </w:rPr>
        <w:t>E.</w:t>
      </w:r>
      <w:r w:rsidRPr="00F86FE4">
        <w:rPr>
          <w:color w:val="000000"/>
        </w:rPr>
        <w:tab/>
        <w:t>întrucât prezența mențiunilor nutriționale sau de sănătate afectează alegerile alimentare ale consumatorilor, la fel ca și alte caracteristici, cum ar fi prețul, marca, culoarea și forma ambalajului; întrucât mențiunile de sănătate, în special mențiunile privind reducerea riscurilor, au un impact mai mare asupra atitudinilor consumatorilor decât asupra mențiunilor nutriționale</w:t>
      </w:r>
      <w:r w:rsidRPr="00F86FE4">
        <w:rPr>
          <w:rStyle w:val="FootnoteReference"/>
          <w:color w:val="000000"/>
          <w:szCs w:val="24"/>
        </w:rPr>
        <w:footnoteReference w:id="16"/>
      </w:r>
      <w:r w:rsidRPr="00F86FE4">
        <w:rPr>
          <w:color w:val="000000"/>
        </w:rPr>
        <w:t>; întrucât înțelegerea de către consumatori a mențiunilor nutriționale și de sănătate este influențată de diverși factori, inclusiv de cunoștințele nutriționale și de nivelurile de educație, iar acest lucru ar trebui luat în considerare pentru a facilita trecerea la o alimentație mai sănătoasă și pentru a stimula reformularea alimentelor; întrucât, cu toate acestea, doar campaniile de informare, educare și sensibilizare sunt insuficiente pentru a realiza schimbarea necesară către alegeri mai sustenabile și mai sănătoase ale consumatorilor, deoarece ele pot fi influențate de alte elemente-cheie ale mediilor alimentare, cum ar fi accesibilitatea din punct de vedere financiar, marketingul și disponibilitatea;</w:t>
      </w:r>
    </w:p>
    <w:p w:rsidR="00693238" w:rsidRPr="00F86FE4" w:rsidRDefault="00693238" w:rsidP="00F7485C">
      <w:pPr>
        <w:pStyle w:val="NormalHanging12a"/>
        <w:widowControl/>
      </w:pPr>
      <w:r w:rsidRPr="00F86FE4">
        <w:t>F.</w:t>
      </w:r>
      <w:r w:rsidRPr="00F86FE4">
        <w:tab/>
        <w:t xml:space="preserve">întrucât, în conformitate cu Regulamentul (CE) nr. 1924/2006, Comisia a fost mandatată să stabilească profiluri nutriționale pentru alimente sau categorii specifice de </w:t>
      </w:r>
      <w:r w:rsidRPr="00F86FE4">
        <w:lastRenderedPageBreak/>
        <w:t>alimente până la 19 ianuarie 2009; întrucât profilurile nutriționale nu au fost încă stabilite în practică; întrucât, în 2020, raportul de evaluare al Comisiei privind Regulamentul (CE) nr. 1924/2006 a reafirmat că este necesar să se dezvolte profiluri nutriționale ca instrument de protecție a consumatorilor împotriva expunerii la alimente cu compoziție nutrițională deficitară, care poartă declarații de sănătate; întrucât Strategia „De la fermă la consumator” a reafirmat că ar trebui stabilite profiluri nutriționale pentru a restricționa comercializarea și promovarea alimentelor nesănătoase prin intermediul mențiunilor nutriționale și de sănătate;</w:t>
      </w:r>
    </w:p>
    <w:p w:rsidR="00693238" w:rsidRPr="00F86FE4" w:rsidRDefault="00693238" w:rsidP="00F7485C">
      <w:pPr>
        <w:pStyle w:val="NormalHanging12a"/>
        <w:widowControl/>
      </w:pPr>
      <w:r w:rsidRPr="00F86FE4">
        <w:t>G.</w:t>
      </w:r>
      <w:r w:rsidRPr="00F86FE4">
        <w:tab/>
        <w:t>întrucât, în rezoluția sa din 2021 referitoare la Strategia „De la fermă la consumator”, Parlamentul a salutat în mod explicit anunțarea unei propuneri legislative de stabilire a profilurilor nutriționale pentru a interzice utilizarea mențiunilor nutriționale și de sănătate pe produsele alimentare cu un conținut ridicat de grăsimi, zahăr și/sau sare sau pe alimentele nesănătoase în general și a solicitat să se acorde o atenție deosebită alimentelor destinate copiilor și altor alimente cu destinație specială;</w:t>
      </w:r>
    </w:p>
    <w:p w:rsidR="00693238" w:rsidRPr="00F86FE4" w:rsidRDefault="00693238" w:rsidP="00F7485C">
      <w:pPr>
        <w:pStyle w:val="NormalHanging12a"/>
        <w:widowControl/>
      </w:pPr>
      <w:r w:rsidRPr="00F86FE4">
        <w:t>H.</w:t>
      </w:r>
      <w:r w:rsidRPr="00F86FE4">
        <w:tab/>
        <w:t>întrucât consumatorii continuă să fie expuși unor mențiuni nutriționale sau de sănătate pozitive pe produsele alimentare cu un conținut ridicat de grăsimi, sare sau zahăr, ceea ce este incompatibil cu obiectivul unui nivel ridicat de protecție a consumatorilor;</w:t>
      </w:r>
    </w:p>
    <w:p w:rsidR="00693238" w:rsidRPr="00F86FE4" w:rsidRDefault="00693238" w:rsidP="00F7485C">
      <w:pPr>
        <w:pStyle w:val="NormalHanging12a"/>
        <w:widowControl/>
        <w:rPr>
          <w:szCs w:val="24"/>
        </w:rPr>
      </w:pPr>
      <w:r w:rsidRPr="00F86FE4">
        <w:t>I.</w:t>
      </w:r>
      <w:r w:rsidRPr="00F86FE4">
        <w:tab/>
        <w:t>întrucât problemele legate de greutate și obezitate sunt din ce în ce mai numeroase în majoritatea statelor membre, mai mult de jumătate dintre adulții europeni și unul din trei copii fiind supraponderali sau obezi</w:t>
      </w:r>
      <w:r w:rsidRPr="00F86FE4">
        <w:rPr>
          <w:rStyle w:val="FootnoteReference"/>
          <w:szCs w:val="24"/>
        </w:rPr>
        <w:footnoteReference w:id="17"/>
      </w:r>
      <w:r w:rsidRPr="00F86FE4">
        <w:t>; întrucât supraponderalitatea și obezitatea infantilă măresc provocările globale în materie de sănătate publică; întrucât există dovezi suficiente că obezitatea infantilă este influențată de comercializarea alimentelor cu un conținut ridicat de grăsime, sare și zahăr, însă copiii continuă să fie expuși în mare măsură acestui tip de marketing, care utilizează tehnici puternice și persuasive, inclusiv din ce în ce mai mult prin mijloace digitale;</w:t>
      </w:r>
    </w:p>
    <w:p w:rsidR="00693238" w:rsidRPr="00F86FE4" w:rsidRDefault="00693238" w:rsidP="00F7485C">
      <w:pPr>
        <w:pStyle w:val="NormalHanging12a"/>
        <w:widowControl/>
        <w:rPr>
          <w:rFonts w:eastAsia="Calibri"/>
        </w:rPr>
      </w:pPr>
      <w:r w:rsidRPr="00F86FE4">
        <w:t>J.</w:t>
      </w:r>
      <w:r w:rsidRPr="00F86FE4">
        <w:tab/>
        <w:t>întrucât alimentația nesănătoasă, cu un conținut ridicat de sare, zahăr și grăsimi, inclusiv grăsimi saturate și acizi grași trans, reprezintă un factor de risc major pentru boli și mortalitate în Europa și, potrivit OMS, cauzează 8 milioane de decese premature în fiecare an; întrucât 1 din 5 decese în 2017 au fost cauzate de o alimentație nesănătoasă, în principal de bolile cardiovasculare și de cancer; întrucât trebuie să se pună un accent mult mai puternic pe prevenirea bolilor;</w:t>
      </w:r>
    </w:p>
    <w:p w:rsidR="00693238" w:rsidRPr="00F86FE4" w:rsidRDefault="00693238" w:rsidP="00F7485C">
      <w:pPr>
        <w:pStyle w:val="NormalHanging12a"/>
        <w:widowControl/>
      </w:pPr>
      <w:r w:rsidRPr="00F86FE4">
        <w:t>K.</w:t>
      </w:r>
      <w:r w:rsidRPr="00F86FE4">
        <w:tab/>
        <w:t>întrucât, în rezoluția sa din 16 februarie 2022 referitoare la consolidarea Europei în lupta împotriva cancerului - către o strategie cuprinzătoare și coordonată</w:t>
      </w:r>
      <w:r w:rsidRPr="00F86FE4">
        <w:rPr>
          <w:rStyle w:val="FootnoteReference"/>
        </w:rPr>
        <w:footnoteReference w:id="18"/>
      </w:r>
      <w:r w:rsidRPr="00F86FE4">
        <w:t>, Parlamentul European a subliniat rolul unei alimentații sănătoase în prevenirea și limitarea incidenței cancerului;</w:t>
      </w:r>
    </w:p>
    <w:p w:rsidR="00693238" w:rsidRPr="00F86FE4" w:rsidRDefault="00693238" w:rsidP="00F7485C">
      <w:pPr>
        <w:pStyle w:val="NormalHanging12a"/>
        <w:widowControl/>
        <w:rPr>
          <w:szCs w:val="24"/>
        </w:rPr>
      </w:pPr>
      <w:r w:rsidRPr="00F86FE4">
        <w:t>L.</w:t>
      </w:r>
      <w:r w:rsidRPr="00F86FE4">
        <w:tab/>
        <w:t xml:space="preserve">întrucât EFSA nu a putut stabili un nivel sigur de consum de zaharuri libere și adăugate deoarece: „riscul de efecte adverse asupra sănătății (reacții) a crescut în întreaga gamă de niveluri observate ale consumului (doze) în mod constant (liniar), adică cu cât doza </w:t>
      </w:r>
      <w:r w:rsidRPr="00F86FE4">
        <w:lastRenderedPageBreak/>
        <w:t>este mai mare, cu atât este mai mare riscul de efecte adverse”</w:t>
      </w:r>
      <w:r w:rsidRPr="00F86FE4">
        <w:rPr>
          <w:rStyle w:val="FootnoteReference"/>
          <w:szCs w:val="24"/>
        </w:rPr>
        <w:footnoteReference w:id="19"/>
      </w:r>
      <w:r w:rsidRPr="00F86FE4">
        <w:t>; întrucât Agenția OMS pentru Cercetare în Domeniul Cancerului a clasificat îndulcitorul aspartam ca fiind posibil cancerigen pentru oameni; întrucât o analiză sistematică efectuată de OMS sugerează că îndulcitorii fără zahăr ar putea fi legați de un risc crescut de diabet de tip 2, de boli cardiovasculare, de mortalitate din orice cauză și de creșterea greutății corporale; întrucât regimurile alimentare mai sănătoase, care includ un consum mai mare de alimente pe bază de plante, cum ar fi fructele și legumele proaspete, cerealele integrale și leguminoasele, și care evită consumul excesiv de carne și de produse ultra-prelucrate contribuie la îmbunătățirea sănătății, reduc mortalitatea cauzată de bolile netransmisibile legate de alimentație și aduc beneficii pentru mediu;</w:t>
      </w:r>
    </w:p>
    <w:p w:rsidR="00693238" w:rsidRPr="00F86FE4" w:rsidRDefault="00693238" w:rsidP="00F7485C">
      <w:pPr>
        <w:pStyle w:val="NormalHanging12a"/>
        <w:widowControl/>
        <w:rPr>
          <w:szCs w:val="24"/>
        </w:rPr>
      </w:pPr>
      <w:r w:rsidRPr="00F86FE4">
        <w:rPr>
          <w:color w:val="000000"/>
        </w:rPr>
        <w:t>M.</w:t>
      </w:r>
      <w:r w:rsidRPr="00F86FE4">
        <w:rPr>
          <w:color w:val="000000"/>
        </w:rPr>
        <w:tab/>
        <w:t>întrucât instrumentele de informare eficiente, cum ar fi etichetele nutriționale pe partea frontală a ambalajului, ajută cetățenii să facă alegeri alimentare mai sănătoase și să evite consumul nesănătos de alimente cu un conținut ridicat de sare, grăsimi și zahăr; întrucât Parlamentul a sprijinit adoptarea unei astfel de etichete în rezoluția sa din proprie inițiativă de la 20 octombrie 2021 referitoare la Strategia „De la fermă la consumator”, în care a solicitat Comisiei să asigure elaborarea unei etichetări nutriționale obligatorii și armonizate la nivelul UE pe partea frontală a ambalajului, bazată pe dovezi științifice și pe înțelegerea demonstrată a consumatorilor pentru a sprijini furnizarea de informații exacte privind produsele alimentare și alternativele mai sănătoase;</w:t>
      </w:r>
      <w:r w:rsidRPr="00F86FE4">
        <w:t xml:space="preserve"> </w:t>
      </w:r>
    </w:p>
    <w:p w:rsidR="00693238" w:rsidRPr="00F86FE4" w:rsidRDefault="00693238" w:rsidP="00F7485C">
      <w:pPr>
        <w:pStyle w:val="NormalHanging12a"/>
        <w:widowControl/>
        <w:rPr>
          <w:szCs w:val="24"/>
        </w:rPr>
      </w:pPr>
      <w:r w:rsidRPr="00F86FE4">
        <w:t>N.</w:t>
      </w:r>
      <w:r w:rsidRPr="00F86FE4">
        <w:tab/>
        <w:t>întrucât, în 2012, Comisia a stabilit o listă „în așteptare” de 2 078 de mențiuni de sănătate referitoare la substanțele vegetale, în principal din cauza absenței studiilor de intervenție pe subiecți umani, ceea ce a dus la suspendarea procedurii de evaluare și autorizare a EFSA în 2010; întrucât mențiunile de sănătate „în așteptare” – atât cele evaluate negativ, cât și cele care nu au fost încă revizuite - pot fi utilizate în continuare pe piața UE, în conformitate cu măsurile tranzitorii prevăzute în Regulamentul (CE) nr. 1924/2006, până la adoptarea unei decizii privind lista „în așteptare”;</w:t>
      </w:r>
    </w:p>
    <w:p w:rsidR="00693238" w:rsidRPr="00F86FE4" w:rsidRDefault="00693238" w:rsidP="00F7485C">
      <w:pPr>
        <w:pStyle w:val="NormalHanging12a"/>
        <w:widowControl/>
      </w:pPr>
      <w:r w:rsidRPr="00F86FE4">
        <w:rPr>
          <w:color w:val="000000"/>
        </w:rPr>
        <w:t>O.</w:t>
      </w:r>
      <w:r w:rsidRPr="00F86FE4">
        <w:rPr>
          <w:color w:val="000000"/>
        </w:rPr>
        <w:tab/>
        <w:t>întrucât, în 2020, Comisia a concluzionat în raportul său de evaluare privind Regulamentul (CE) nr. 1924/2006 că consumatorii continuă să fie expuși la mențiuni de sănătate privind produsele vegetale cu niveluri diferite de evaluare științifică, inclusiv la mențiuni de sănătate nefondate pentru care ar putea considera că efectele benefice declarate au fost evaluate din punct de vedere științific, atunci când nu este cazul;</w:t>
      </w:r>
    </w:p>
    <w:p w:rsidR="00693238" w:rsidRPr="00F86FE4" w:rsidRDefault="00693238" w:rsidP="00F7485C">
      <w:pPr>
        <w:pStyle w:val="NormalHanging12a"/>
        <w:widowControl/>
      </w:pPr>
      <w:r w:rsidRPr="00F86FE4">
        <w:t>P.</w:t>
      </w:r>
      <w:r w:rsidRPr="00F86FE4">
        <w:tab/>
        <w:t>întrucât o mai bună coordonare a cadrului de siguranță pentru produsele vegetale ar putea contribui la îmbunătățirea protecției consumatorilor;</w:t>
      </w:r>
    </w:p>
    <w:p w:rsidR="00693238" w:rsidRPr="00F86FE4" w:rsidRDefault="00693238" w:rsidP="00F7485C">
      <w:pPr>
        <w:pStyle w:val="NormalHanging12a"/>
        <w:widowControl/>
      </w:pPr>
      <w:r w:rsidRPr="00F86FE4">
        <w:rPr>
          <w:color w:val="000000"/>
        </w:rPr>
        <w:t>Q.</w:t>
      </w:r>
      <w:r w:rsidRPr="00F86FE4">
        <w:rPr>
          <w:color w:val="000000"/>
        </w:rPr>
        <w:tab/>
        <w:t xml:space="preserve">întrucât legislația privind produsele vegetale din alimente și din suplimentele alimentare nu este armonizată la nivelul UE; întrucât statele membre au liste pozitive sau negative sau nu au nicio listă de substanțe de origine vegetală permise în produsele alimentare; întrucât clasificarea substanțelor vegetale ca produse alimentare sau medicamente ține de competența fiecărui stat membru în parte; întrucât scopul unui medicament este tratarea sau prevenirea bolilor umane, iar suplimentele alimentare sunt destinate </w:t>
      </w:r>
      <w:r w:rsidRPr="00F86FE4">
        <w:rPr>
          <w:color w:val="000000"/>
        </w:rPr>
        <w:lastRenderedPageBreak/>
        <w:t xml:space="preserve">consumatorilor care nu au nevoi medicale imediate; </w:t>
      </w:r>
      <w:r w:rsidRPr="00F86FE4">
        <w:t>întrucât este important, prin urmare, să se mențină o distincție clară între alimente și medicamente;</w:t>
      </w:r>
    </w:p>
    <w:p w:rsidR="00693238" w:rsidRPr="00F86FE4" w:rsidRDefault="00693238" w:rsidP="00F7485C">
      <w:pPr>
        <w:pStyle w:val="NormalHanging12a"/>
        <w:widowControl/>
        <w:rPr>
          <w:color w:val="000000"/>
          <w:szCs w:val="24"/>
        </w:rPr>
      </w:pPr>
      <w:r w:rsidRPr="00F86FE4">
        <w:rPr>
          <w:color w:val="000000"/>
        </w:rPr>
        <w:t>R.</w:t>
      </w:r>
      <w:r w:rsidRPr="00F86FE4">
        <w:rPr>
          <w:color w:val="000000"/>
        </w:rPr>
        <w:tab/>
        <w:t>întrucât medicamentele pe bază de plante trebuie să facă obiectul unor proceduri de autorizare înainte de a fi introduse pe piața UE, ceea ce necesită demonstrarea siguranței și eficacității produselor și îndeplinirea unor cerințe legale suplimentare în domeniile cum ar fi evaluările calității, farmacovigilența și conformitatea cu bunele practici de fabricație; întrucât medicamentele pe bază de plante care au fost utilizate în condiții de siguranță timp de 30 de ani, inclusiv 15 ani în UE, pot utiliza o procedură de înregistrare simplificată pentru medicamentele tradiționale pe bază de plante, în cadrul căreia datele privind „utilizarea tradițională” sunt acceptate pentru a demonstra siguranța și eficacitatea produsului;</w:t>
      </w:r>
    </w:p>
    <w:p w:rsidR="00693238" w:rsidRPr="00F86FE4" w:rsidRDefault="00693238" w:rsidP="00F7485C">
      <w:pPr>
        <w:pStyle w:val="NormalHanging12a"/>
        <w:widowControl/>
      </w:pPr>
      <w:r w:rsidRPr="00F86FE4">
        <w:rPr>
          <w:color w:val="000000"/>
        </w:rPr>
        <w:t>S.</w:t>
      </w:r>
      <w:r w:rsidRPr="00F86FE4">
        <w:rPr>
          <w:color w:val="000000"/>
        </w:rPr>
        <w:tab/>
        <w:t>întrucât aplicarea Regulamentului (CE) nr. 1924/2006 în ceea ce privește mențiunile referitoare la produsele vegetale a fost întârziată considerabil; întrucât obiectivul Regulamentului (CE) nr. 1924/2006 de a asigura un nivel ridicat de protecție a consumatorilor necesită o acțiune rapidă din partea Comisiei, fie pentru a pune în aplicare pe deplin, fie pentru a revizui acest regulament, deoarece nu este adecvat scopului în anumite privințe;</w:t>
      </w:r>
    </w:p>
    <w:p w:rsidR="00693238" w:rsidRPr="00F86FE4" w:rsidRDefault="00693238" w:rsidP="00F7485C">
      <w:pPr>
        <w:pStyle w:val="NormalHanging12a"/>
        <w:widowControl/>
      </w:pPr>
      <w:r w:rsidRPr="00F86FE4">
        <w:t>T.</w:t>
      </w:r>
      <w:r w:rsidRPr="00F86FE4">
        <w:tab/>
        <w:t>întrucât statele membre sunt responsabile de aplicarea Regulamentului (CE) nr. 1924/2006 în jurisdicțiile lor; întrucât statele membre sunt obligate să aplice principiul recunoașterii reciproce; întrucât, din cauza diferențelor de interpretare și de punere în aplicare dintre statele membre, măsurile de punere în aplicare a legislației ca urmare a utilizării incorecte a mențiunilor variază de la recomandări privind modul de ajustare a mențiunilor la amenzi pentru utilizarea lor necorespunzătoare;</w:t>
      </w:r>
    </w:p>
    <w:p w:rsidR="00693238" w:rsidRPr="00F86FE4" w:rsidRDefault="00693238" w:rsidP="00F7485C">
      <w:pPr>
        <w:pStyle w:val="NormalHanging12a"/>
        <w:widowControl/>
      </w:pPr>
      <w:r w:rsidRPr="00F86FE4">
        <w:t>U.</w:t>
      </w:r>
      <w:r w:rsidRPr="00F86FE4">
        <w:tab/>
        <w:t>întrucât platformele de comunicare socială contribuie în mod semnificativ la publicitatea și vânzarea produselor alimentare și a suplimentelor alimentare, în timp ce măsura în care Regulamentul (CE) nr. 1924/2006 reglementează comunicările online legate de sănătate cu privire la produsele alimentare rămâne neclară; întrucât comunicările influențatorilor sau ale celebrităților de pe platformele de comunicare socială nu sunt întotdeauna clar comerciale sau necomerciale</w:t>
      </w:r>
      <w:r w:rsidRPr="00F86FE4">
        <w:rPr>
          <w:rStyle w:val="FootnoteReference"/>
          <w:rFonts w:eastAsia="Calibri"/>
          <w:szCs w:val="24"/>
        </w:rPr>
        <w:footnoteReference w:id="20"/>
      </w:r>
      <w:r w:rsidRPr="00F86FE4">
        <w:t xml:space="preserve"> și pot conduce la mențiuni false și înșelătoare neverificate pe produsele alimentare, de exemplu în cazul reclamelor la proteine și alte suplimente pentru a stim</w:t>
      </w:r>
      <w:r w:rsidR="00F727BD">
        <w:t>ula dezvoltarea masei musculare,</w:t>
      </w:r>
    </w:p>
    <w:p w:rsidR="00693238" w:rsidRPr="00F86FE4" w:rsidRDefault="00693238" w:rsidP="00F7485C">
      <w:pPr>
        <w:pStyle w:val="NormalHanging12a"/>
        <w:widowControl/>
      </w:pPr>
      <w:r w:rsidRPr="00F86FE4">
        <w:t>1.</w:t>
      </w:r>
      <w:r w:rsidRPr="00F86FE4">
        <w:tab/>
        <w:t>ia act de faptul că obiectivul principal al Regulamentului (CE) nr. 1924/2006 este de a se asigura că mențiunile de pe produsele alimentare se bazează pe dovezi științifice general acceptate și sunt susceptibile să fie înțelese de consumatorul mediu; subliniază că, în practică, mențiunile înșelătoare sunt în continuare raportate atât în vânzările de produse alimentare online, cât și în cele offline;</w:t>
      </w:r>
    </w:p>
    <w:p w:rsidR="00693238" w:rsidRPr="00F86FE4" w:rsidRDefault="00693238" w:rsidP="00F7485C">
      <w:pPr>
        <w:pStyle w:val="NormalHanging12a"/>
        <w:widowControl/>
      </w:pPr>
      <w:r w:rsidRPr="00F86FE4">
        <w:lastRenderedPageBreak/>
        <w:t>2.</w:t>
      </w:r>
      <w:r w:rsidRPr="00F86FE4">
        <w:tab/>
        <w:t>subliniază interesul tot mai mare al consumatorilor față de informațiile referitoare la produsele alimentare</w:t>
      </w:r>
      <w:r w:rsidRPr="00F86FE4">
        <w:rPr>
          <w:rStyle w:val="FootnoteReference"/>
          <w:szCs w:val="24"/>
        </w:rPr>
        <w:footnoteReference w:id="21"/>
      </w:r>
      <w:r w:rsidRPr="00F86FE4">
        <w:t>; subliniază că trebuie să se garanteze că informațiile privind valorile nutriționale sau sanitare ale produselor alimentare care apar pe etichete și care sunt utilizate în scopuri de prezentare, de comercializare și de publicitate sunt exacte, bazate pe date științifice și utile; solicită ca lista mențiunilor nutriționale și de sănătate autorizate de pe produsele alimentare să fie actualizată periodic, în conformitate cu evoluțiile științifice din domeniul alimentar și al nutriției;</w:t>
      </w:r>
    </w:p>
    <w:p w:rsidR="00693238" w:rsidRPr="00F86FE4" w:rsidRDefault="00693238" w:rsidP="00F7485C">
      <w:pPr>
        <w:pStyle w:val="NormalHanging12a"/>
        <w:widowControl/>
      </w:pPr>
      <w:r w:rsidRPr="00F86FE4">
        <w:t>3.</w:t>
      </w:r>
      <w:r w:rsidRPr="00F86FE4">
        <w:tab/>
        <w:t>subliniază că trebuie să se garanteze că mențiunile de sănătate rămân aliniate la politicile și prioritățile UE în domeniul sănătății; reafirmă importanța puterii discreționare a Comisiei de a nu autoriza cererile atunci când acestea ar putea duce la transmiterea către consumatori a unor mesaje contradictorii și confuze</w:t>
      </w:r>
      <w:r w:rsidRPr="00F86FE4">
        <w:rPr>
          <w:vertAlign w:val="superscript"/>
        </w:rPr>
        <w:footnoteReference w:id="22"/>
      </w:r>
      <w:r w:rsidRPr="00F86FE4">
        <w:t>;</w:t>
      </w:r>
    </w:p>
    <w:p w:rsidR="00693238" w:rsidRPr="00F86FE4" w:rsidRDefault="00693238" w:rsidP="00F7485C">
      <w:pPr>
        <w:pStyle w:val="NormalHanging12a"/>
        <w:widowControl/>
        <w:rPr>
          <w:b/>
          <w:i/>
        </w:rPr>
      </w:pPr>
      <w:r w:rsidRPr="00F86FE4">
        <w:rPr>
          <w:b/>
          <w:i/>
        </w:rPr>
        <w:t>Luarea în considerare a profilurilor nutriționale în evaluările mențiunilor de sănătate</w:t>
      </w:r>
    </w:p>
    <w:p w:rsidR="00693238" w:rsidRPr="00F86FE4" w:rsidRDefault="00693238" w:rsidP="00F7485C">
      <w:pPr>
        <w:pStyle w:val="NormalHanging12a"/>
        <w:widowControl/>
      </w:pPr>
      <w:r w:rsidRPr="00F86FE4">
        <w:t>4.</w:t>
      </w:r>
      <w:r w:rsidRPr="00F86FE4">
        <w:tab/>
        <w:t>reamintește că, în temeiul articolului 4 din Regulamentului (CE) nr. 1924/2006, Comisia ar fi trebuit să stabilească profiluri nutriționale pentru a restricționa utilizarea mențiunilor nutriționale și de sănătate pe produsele alimentare cu un conținut ridicat de grăsimi, zahăr și/sau sare până la 19 ianuarie 2009; regretă că propunerea Comisiei privind profilurile nutriționale nu a fost încă prezentată, deși este planificată pentru 2022 ca parte a unei revizuiri a legislației UE privind informarea consumatorilor cu privire la produsele alimentare; insistă asupra faptului că stabilirea unor profiluri nutriționale cu praguri nutriționale specifice pentru utilizarea mențiunilor nutriționale și de sănătate, în conformitate cu articolul 4 din Regulamentul (CE) nr. 1924/2006, rămâne pertinentă și necesară pentru îndeplinirea obiectivelor acestui regulament;</w:t>
      </w:r>
    </w:p>
    <w:p w:rsidR="00693238" w:rsidRPr="00F86FE4" w:rsidRDefault="00693238" w:rsidP="00F7485C">
      <w:pPr>
        <w:pStyle w:val="NormalHanging12a"/>
        <w:widowControl/>
        <w:rPr>
          <w:szCs w:val="24"/>
        </w:rPr>
      </w:pPr>
      <w:r w:rsidRPr="00F86FE4">
        <w:t>5.</w:t>
      </w:r>
      <w:r w:rsidRPr="00F86FE4">
        <w:tab/>
        <w:t>reamintește că mențiunile nu ar trebui să inducă în eroare consumatorii cu privire la valoarea nutritivă reală a unui produs; subliniază că, în absența profilurilor nutriționale, mențiunile pot sublinia un aspect pozitiv al unui produs în general nesănătos sau al unui produs care depășește pragurile de nutrienți specifici, cum ar fi grăsimea, zahărul și sarea; subliniază că multe produse alimentare, inclusiv unele comercializate pentru copii, folosesc în continuare mențiuni nutriționale și de sănătate, în ciuda faptului că conțin niveluri ridicate de nutrienți periculoși; subliniază că elaborarea unor profiluri nutriționale specifice, astfel cum se prevede la articolul 4 din Regulamentul (CE) nr. 1924/2006 și în conformitate cu obiectivele acestui regulament, este necesară pentru a limita folosirea mențiunilor nutriționale și de sănătate pe produsele alimentare cu un conținut ridicat de grăsimi, zahăr și/sau sare; subliniază că viitoarele profiluri nutriționale, care ar trebui bazate pe dovezi științifice solide și independente, ar putea ajuta consumatorii să facă alegeri în cunoștință de cauză, sănătoase și sustenabile cu privire la produsele alimentare;</w:t>
      </w:r>
    </w:p>
    <w:p w:rsidR="00693238" w:rsidRPr="00F86FE4" w:rsidRDefault="00693238" w:rsidP="00F7485C">
      <w:pPr>
        <w:pStyle w:val="NormalHanging12a"/>
        <w:widowControl/>
      </w:pPr>
      <w:r w:rsidRPr="00F86FE4">
        <w:t>6.</w:t>
      </w:r>
      <w:r w:rsidRPr="00F86FE4">
        <w:tab/>
        <w:t xml:space="preserve">regretă lipsa unei abordări sistematice și bazate pe dovezi în ceea ce privește crearea unor medii alimentare care să îi ajute pe consumatori să facă alegeri în cunoștință de cauză și care să stimuleze trecerea la o alimentație mai sănătoasă, inclusiv mărirea consumului de alimente pe bază de plante, cum ar fi fructele și legumele proaspete, </w:t>
      </w:r>
      <w:r w:rsidRPr="00F86FE4">
        <w:lastRenderedPageBreak/>
        <w:t>cerealele integrale și leguminoasele; consideră că, pe lângă punerea corectă în aplicare a Regulamentului (CE) nr. 1924/2006, Comisia și statele membre ar trebui să investească mai mult în educația alimentară și nutrițională, cum ar fi campaniile de informare, prin diferite programe, inclusiv EU4Health, în special prin sprijinirea acțiunilor în școli cu scopul de a învăța copiii și adolescenții ce înseamnă o alimentație sănătoasă și echilibrată; subliniază influența factorilor sociali determinanți în alfabetizarea consumatorilor în ceea ce privește mențiunile de pe produsele alimentare; accentuează că doar campaniile de informare, educare și sensibilizare sunt insuficiente pentru asigura alegeri în cunoștință de cauză ale consumatorilor și că ele trebuie să fie însoțite de politici care să îmbunătățească mediile alimentare;</w:t>
      </w:r>
    </w:p>
    <w:p w:rsidR="00693238" w:rsidRPr="00F86FE4" w:rsidRDefault="00693238" w:rsidP="00F7485C">
      <w:pPr>
        <w:pStyle w:val="NormalHanging12a"/>
        <w:widowControl/>
        <w:rPr>
          <w:b/>
          <w:i/>
        </w:rPr>
      </w:pPr>
      <w:r w:rsidRPr="00F86FE4">
        <w:rPr>
          <w:b/>
          <w:i/>
        </w:rPr>
        <w:t>Informarea consumatorilor</w:t>
      </w:r>
    </w:p>
    <w:p w:rsidR="00693238" w:rsidRPr="00F86FE4" w:rsidRDefault="00693238" w:rsidP="00F7485C">
      <w:pPr>
        <w:pStyle w:val="NormalHanging12a"/>
        <w:widowControl/>
        <w:rPr>
          <w:szCs w:val="24"/>
        </w:rPr>
      </w:pPr>
      <w:r w:rsidRPr="00F86FE4">
        <w:t>7.</w:t>
      </w:r>
      <w:r w:rsidRPr="00F86FE4">
        <w:tab/>
        <w:t>subliniază că consumatorii tind să consume excesiv produse alimentare care poartă mențiuni conform cărora ar promova o mai bună sănătate, acest fenomen fiind cunoscut sub denumirea de „efect de halo”; preconizează includerea atât a unor praguri minime, cât și a unor praguri maxime de utilizare pe etichetele tuturor produselor alimentare și suplimentelor alimentare care poartă mențiuni de sănătate, precum și a unei recomandări de a consulta un cadru medical înainte de a consuma suplimente alimentare, în special pentru a evita potențialele interacțiuni negative cu tratamente specifice și a evita stimularea potențialelor tulburări de alimentație; subliniază că se preconizează că asimetria informațiilor va persista într-un mediu alimentar în schimbare rapidă și solicită finanțarea cercetării privind înțelegerea de către consumatori a mențiunilor;</w:t>
      </w:r>
    </w:p>
    <w:p w:rsidR="00693238" w:rsidRPr="00F86FE4" w:rsidRDefault="00693238" w:rsidP="00F7485C">
      <w:pPr>
        <w:pStyle w:val="NormalHanging12a"/>
        <w:widowControl/>
      </w:pPr>
      <w:r w:rsidRPr="00F86FE4">
        <w:t>8.</w:t>
      </w:r>
      <w:r w:rsidRPr="00F86FE4">
        <w:tab/>
        <w:t xml:space="preserve">regretă întârzierea propunerii de revizuire a Regulamentului (UE) </w:t>
      </w:r>
      <w:r w:rsidR="00F727BD">
        <w:t xml:space="preserve">nr. </w:t>
      </w:r>
      <w:r w:rsidRPr="00F86FE4">
        <w:t>1169/2011 privind informarea consumatorilor cu privire la evoluția etichetelor nutriționale pe partea frontală a ambalajului, care s-au dovedit eficace în a ajuta consumatorii să facă alegeri mai sănătoase în ceea ce privește alimentele și băuturile; solicită Comisiei și statelor membre să încurajeze și să ajute consumatorii să facă alegeri în cunoștință de cauză, sănătoase și sustenabile cu privire la produsele alimentare, prin adoptarea cât mai rapidă a unui sistem obligatoriu și armonizat al UE de etichetare nutrițională pe partea frontală a ambalajului, care să fie elaborat pe baza unor dovezi științifice solide și independente și pe înțelegerea demonstrată a consumatorilor; constată că studiile arată că efectele alimentelor asupra sănătății nu pot fi explicate numai prin compoziția nutrițională, ci și prin nivelul de prelucrare, în special în cazul alimentelor ultra-procesate; subliniază, prin urmare, că includerea informațiilor ușor de înțeles cu privire la prelucrarea alimentelor pe etichetele nutriționale de pe partea frontală a ambalajului ar putea fi în interesul sănătății publice și al consumatorilor și s-ar putea dovedi eficace în a-i ajuta pe consumatori să facă alegeri alimentare mai sănătoase; solicită să se adopte măsuri de reglementare pentru a reduce povara pe care o reprezintă alimentele cu grad înalt de prelucrare pentru sănătatea publică;</w:t>
      </w:r>
    </w:p>
    <w:p w:rsidR="00693238" w:rsidRPr="00F86FE4" w:rsidRDefault="00693238" w:rsidP="00F7485C">
      <w:pPr>
        <w:pStyle w:val="NormalHanging12a"/>
        <w:widowControl/>
        <w:rPr>
          <w:b/>
          <w:i/>
        </w:rPr>
      </w:pPr>
      <w:r w:rsidRPr="00F86FE4">
        <w:rPr>
          <w:b/>
          <w:i/>
        </w:rPr>
        <w:t>Relevanța mențiunilor</w:t>
      </w:r>
    </w:p>
    <w:p w:rsidR="00693238" w:rsidRPr="00F86FE4" w:rsidRDefault="00693238" w:rsidP="00F7485C">
      <w:pPr>
        <w:pStyle w:val="NormalHanging12a"/>
        <w:widowControl/>
        <w:rPr>
          <w:szCs w:val="24"/>
        </w:rPr>
      </w:pPr>
      <w:r w:rsidRPr="00F86FE4">
        <w:t>9.</w:t>
      </w:r>
      <w:r w:rsidRPr="00F86FE4">
        <w:tab/>
        <w:t>constată că multe dintre mențiunile utilizate pe piața UE se referă la nutrienți de care foarte puțini consumatori europeni duc lipsă în alimentația lor; invită Comisia să examineze posibilitatea din punct de vedere legislativ a extinderii mandatului EFSA pentru a include evaluarea relevanței utilizării unor astfel de mențiuni, pe lângă examinarea bazei științifice a acestor mențiuni; sprijină ferm publicarea în curs de către EFSA a unor orientări specifice pentru utilizarea unei mențiuni;</w:t>
      </w:r>
    </w:p>
    <w:p w:rsidR="00693238" w:rsidRPr="00F86FE4" w:rsidRDefault="00693238" w:rsidP="00F7485C">
      <w:pPr>
        <w:pStyle w:val="NormalHanging12a"/>
        <w:widowControl/>
        <w:rPr>
          <w:szCs w:val="24"/>
        </w:rPr>
      </w:pPr>
      <w:r w:rsidRPr="00F86FE4">
        <w:lastRenderedPageBreak/>
        <w:t>10.</w:t>
      </w:r>
      <w:r w:rsidRPr="00F86FE4">
        <w:tab/>
        <w:t>invită Comisia să evalueze posibilitatea de a restricționa utilizarea mențiunii nutriționale permise „fără adaos de zahăr” pentru produsele care conțin îndulcitori sau niveluri ridicate de zaharuri libere;</w:t>
      </w:r>
    </w:p>
    <w:p w:rsidR="00693238" w:rsidRPr="00F86FE4" w:rsidRDefault="00693238" w:rsidP="00F7485C">
      <w:pPr>
        <w:pStyle w:val="NormalHanging12a"/>
        <w:widowControl/>
        <w:rPr>
          <w:szCs w:val="24"/>
        </w:rPr>
      </w:pPr>
      <w:r w:rsidRPr="00F86FE4">
        <w:t>11.</w:t>
      </w:r>
      <w:r w:rsidRPr="00F86FE4">
        <w:tab/>
        <w:t>subliniază că, chiar și atunci când mențiunile privind formulele de început sunt justificate științific, cum ar fi mențiunea de sănătate „aportul de DHA contribuie la dezvoltarea vizuală normală a sugarilor cu vârsta de până la 12 luni”, utilizarea acestora ar trebui să evite influențarea opțiunilor de hrănire a sugarilor și limitarea îmbunătățirilor în formulele de început</w:t>
      </w:r>
      <w:r w:rsidRPr="00F86FE4">
        <w:rPr>
          <w:szCs w:val="24"/>
          <w:vertAlign w:val="superscript"/>
        </w:rPr>
        <w:footnoteReference w:id="23"/>
      </w:r>
      <w:r w:rsidRPr="00F86FE4">
        <w:t xml:space="preserve">; </w:t>
      </w:r>
    </w:p>
    <w:p w:rsidR="00693238" w:rsidRPr="00F86FE4" w:rsidRDefault="00693238" w:rsidP="00F7485C">
      <w:pPr>
        <w:pStyle w:val="NormalHanging12a"/>
        <w:widowControl/>
      </w:pPr>
      <w:r w:rsidRPr="00F86FE4">
        <w:t>12.</w:t>
      </w:r>
      <w:r w:rsidRPr="00F86FE4">
        <w:tab/>
        <w:t>sprijină instituirea unor consultări prealabile între producători și EFSA pentru a permite EFSA să își prezinte așteptările în contextul depunerii cererii lor de solicitare, respectând, în același timp, principiul independenței EFSA;</w:t>
      </w:r>
    </w:p>
    <w:p w:rsidR="00693238" w:rsidRPr="00F86FE4" w:rsidRDefault="00693238" w:rsidP="00F7485C">
      <w:pPr>
        <w:pStyle w:val="NormalHanging12a"/>
        <w:widowControl/>
        <w:rPr>
          <w:b/>
          <w:i/>
        </w:rPr>
      </w:pPr>
      <w:r w:rsidRPr="00F86FE4">
        <w:rPr>
          <w:b/>
          <w:i/>
        </w:rPr>
        <w:t>Produsele vegetale</w:t>
      </w:r>
    </w:p>
    <w:p w:rsidR="00693238" w:rsidRPr="00F86FE4" w:rsidRDefault="00693238" w:rsidP="00F7485C">
      <w:pPr>
        <w:pStyle w:val="NormalHanging12a"/>
        <w:widowControl/>
        <w:rPr>
          <w:szCs w:val="22"/>
        </w:rPr>
      </w:pPr>
      <w:r w:rsidRPr="00F86FE4">
        <w:t>13.</w:t>
      </w:r>
      <w:r w:rsidRPr="00F86FE4">
        <w:tab/>
        <w:t>subliniază că lipsa de armonizare la nivelul UE în ceea ce privește clasificarea substanțelor vegetale ca produse alimentare sau ca medicamente înseamnă că o substanță vegetală poate fi etichetată ca „produs alimentar” într-un stat membru și ca „medicament” în alt stat membru; subliniază că astfel de inconsecvențe creează dificultăți pentru producători și autoritățile de reglementare și au potențialul de a afecta negativ siguranța și bunăstarea consumatorilor, deoarece este dificil pentru consumatori să facă distincția între medicamentele tradiționale din plante și suplimentele alimentare botanice pe baza aceleiași (acelorași) substanțe vegetale, ceea ce poate duce la neînțelegeri cu privire la utilizarea lor;</w:t>
      </w:r>
    </w:p>
    <w:p w:rsidR="00693238" w:rsidRPr="00F86FE4" w:rsidRDefault="00693238" w:rsidP="00F7485C">
      <w:pPr>
        <w:pStyle w:val="NormalHanging12a"/>
        <w:widowControl/>
      </w:pPr>
      <w:r w:rsidRPr="00F86FE4">
        <w:t>14</w:t>
      </w:r>
      <w:r w:rsidR="00F727BD">
        <w:t>.</w:t>
      </w:r>
      <w:r w:rsidRPr="00F86FE4">
        <w:tab/>
        <w:t>subliniază absența unei liste pozitive sau negative a UE de substanțe vegetale utilizate în produsele alimentare și suplimentele alimentare, precum și absența unei liste cuprinzătoare a efectelor benefice sau negative ale produselor vegetale asupra sănătății, ceea ce duce la disparități legislative între statele membre, la fragmentarea pieței și la produse potențial nesigure pentru consumatori;</w:t>
      </w:r>
    </w:p>
    <w:p w:rsidR="00693238" w:rsidRPr="00F86FE4" w:rsidRDefault="00693238" w:rsidP="00F7485C">
      <w:pPr>
        <w:pStyle w:val="NormalHanging12a"/>
        <w:widowControl/>
      </w:pPr>
      <w:r w:rsidRPr="00F86FE4">
        <w:t>15.</w:t>
      </w:r>
      <w:r w:rsidRPr="00F86FE4">
        <w:tab/>
        <w:t xml:space="preserve">nu este de acord cu suspendarea prelungită a evaluării mențiunilor privind produsele vegetale și subliniază că există preocupări de ordin juridic semnificative cu privire la utilizarea în continuare a cererilor „în așteptare” în temeiul măsurilor tranzitorii prevăzute în Regulamentul (CE) nr. 1924/2006; subliniază că este imperativ să ne ocupăm de lista „în așteptare” a mențiunilor referitoare la produsele vegetale printr-o evaluare suplimentară a acestor mențiuni, ca măsură urgentă de protecție a consumatorilor, după cum s-a identificat în raportul de evaluare din 2020 al Regulamentului (CE) nr. 1924/2006 efectuat de Comisie; este foarte preocupat de faptul că utilizarea în continuare a mențiunilor „în așteptare”, în temeiul măsurilor tranzitorii din Regulamentul (CE) nr. 1924/2006, ar putea induce în eroare consumatorii și constitui un risc pentru sănătatea lor, întrucât ei ar putea presupune în mod eronat că </w:t>
      </w:r>
      <w:r w:rsidRPr="00F86FE4">
        <w:lastRenderedPageBreak/>
        <w:t>mențiunile „în așteptare” au făcut obiectul unei evaluări științifice și a unei gestionări a riscurilor;</w:t>
      </w:r>
    </w:p>
    <w:p w:rsidR="00693238" w:rsidRPr="00F86FE4" w:rsidRDefault="00693238" w:rsidP="00F7485C">
      <w:pPr>
        <w:pStyle w:val="NormalHanging12a"/>
        <w:widowControl/>
      </w:pPr>
      <w:r w:rsidRPr="00F86FE4">
        <w:t>16.</w:t>
      </w:r>
      <w:r w:rsidRPr="00F86FE4">
        <w:tab/>
        <w:t>consideră că este esențial ca EFSA și Comisia să revizuiască cu promptitudine, în conformitate cu dispozițiile NHCR, mențiunile de sănătate „în așteptare” referitoare la produsele vegetale din produsele alimentare; invită Comisia să respingă mențiunile de pe lista „în așteptare” care au fost deja evaluate negativ;</w:t>
      </w:r>
    </w:p>
    <w:p w:rsidR="00693238" w:rsidRPr="00F86FE4" w:rsidRDefault="00693238" w:rsidP="00F7485C">
      <w:pPr>
        <w:pStyle w:val="NormalHanging12a"/>
        <w:widowControl/>
      </w:pPr>
      <w:r w:rsidRPr="00F86FE4">
        <w:t>17.</w:t>
      </w:r>
      <w:r w:rsidRPr="00F86FE4">
        <w:tab/>
        <w:t>îndeamnă statele membre să colaboreze în mod eficace la stabilirea unei abordări coordonate privind suplimentele alimentare vegetale și invită Comisia să ofere orientări în acest sens; invită Comisia și statele membre să stabilească fără întârziere o listă negativă la nivelul UE a produselor vegetale utilizate pentru alimente, pe baza toxicității lor sau a efectelor adverse asupra sănătății deja identificate în statele membre;</w:t>
      </w:r>
    </w:p>
    <w:p w:rsidR="00693238" w:rsidRPr="00F86FE4" w:rsidRDefault="00693238" w:rsidP="00F7485C">
      <w:pPr>
        <w:pStyle w:val="NormalHanging12a"/>
        <w:widowControl/>
        <w:rPr>
          <w:b/>
        </w:rPr>
      </w:pPr>
      <w:r w:rsidRPr="00F86FE4">
        <w:rPr>
          <w:b/>
          <w:i/>
        </w:rPr>
        <w:t>Punerea în aplicare</w:t>
      </w:r>
    </w:p>
    <w:p w:rsidR="00693238" w:rsidRPr="00F86FE4" w:rsidRDefault="00693238" w:rsidP="00F7485C">
      <w:pPr>
        <w:pStyle w:val="NormalHanging12a"/>
        <w:widowControl/>
      </w:pPr>
      <w:r w:rsidRPr="00F86FE4">
        <w:t>18.</w:t>
      </w:r>
      <w:r w:rsidRPr="00F86FE4">
        <w:tab/>
        <w:t>invită Comisia să furnizeze orientări actualizate cu privire la modul în care pot fi abordate practicile comerciale utilizate pentru a eluda Regulamentul (CE) nr. 1924/2006;</w:t>
      </w:r>
    </w:p>
    <w:p w:rsidR="00693238" w:rsidRPr="00F86FE4" w:rsidRDefault="00693238" w:rsidP="00F7485C">
      <w:pPr>
        <w:pStyle w:val="NormalHanging12a"/>
        <w:widowControl/>
        <w:rPr>
          <w:b/>
          <w:i/>
        </w:rPr>
      </w:pPr>
      <w:r w:rsidRPr="00F86FE4">
        <w:t>19.</w:t>
      </w:r>
      <w:r w:rsidRPr="00F86FE4">
        <w:tab/>
        <w:t>solicită Comisiei și statelor membre să creeze o rețea de cunoștințe care să vizeze sprijinirea grupului de lucru privind mențiunile nutriționale și de sănătate; subliniază că această rețea ar trebui să contribuie la facilitarea schimbului de bune practici, să elimine lacunele în materie de interpretare dintre statele membre și să abordeze disparitățile în materie de aplicare a legii;</w:t>
      </w:r>
    </w:p>
    <w:p w:rsidR="00693238" w:rsidRPr="00F86FE4" w:rsidRDefault="00693238" w:rsidP="00F7485C">
      <w:pPr>
        <w:pStyle w:val="NormalHanging12a"/>
        <w:widowControl/>
        <w:rPr>
          <w:b/>
        </w:rPr>
      </w:pPr>
      <w:r w:rsidRPr="00F86FE4">
        <w:rPr>
          <w:b/>
          <w:i/>
        </w:rPr>
        <w:t>Mențiunile de sănătate în comunicările online</w:t>
      </w:r>
    </w:p>
    <w:p w:rsidR="00693238" w:rsidRPr="00F86FE4" w:rsidRDefault="00693238" w:rsidP="00F7485C">
      <w:pPr>
        <w:pStyle w:val="NormalHanging12a"/>
        <w:widowControl/>
      </w:pPr>
      <w:r w:rsidRPr="00F86FE4">
        <w:t>20.</w:t>
      </w:r>
      <w:r w:rsidRPr="00F86FE4">
        <w:tab/>
        <w:t>subliniază că Regulamentul (CE) nr. 1924/2006 a fost adoptat într-un moment în care platformele de comunicare socială nu jucau încă un rol atât de important în publicitatea și vânzarea de produse alimentare și suplimente alimentare; este preocupat de faptul că rămâne neclar în ce măsură Regulamentul (CE) nr. 1924/2006 reglementează în mod eficace comunicările online legate de sănătate cu privire la produsele alimentare;</w:t>
      </w:r>
    </w:p>
    <w:p w:rsidR="00693238" w:rsidRPr="00F86FE4" w:rsidRDefault="00693238" w:rsidP="00F7485C">
      <w:pPr>
        <w:pStyle w:val="NormalHanging12a"/>
        <w:widowControl/>
        <w:rPr>
          <w:szCs w:val="24"/>
        </w:rPr>
      </w:pPr>
      <w:r w:rsidRPr="00F86FE4">
        <w:t>21.</w:t>
      </w:r>
      <w:r w:rsidRPr="00F86FE4">
        <w:tab/>
        <w:t>este preocupat de prezența online a unor mențiuni nutriționale și de sănătate neautorizate și înșelătoare; subliniază că trebuie să se garanteze că Regulamentul (CE) nr. 1924/2006 rămâne relevant în mediul online, în special deoarece anumite grupuri vulnerabile, cum ar fi copiii și adolescenții, pot fi deosebit de sensibile la anumite mențiuni de sănătate și informații referitoare la produsele alimentare partajate prin intermediul platformelor de comunicare socială, iar acest lucru reprezintă un risc pentru sănătatea lor fizică și mintală; consideră că este important, în acest sens, să se definească ce anume constituie o comunicare comercială privind produsele alimentare și suplimentele alimentare pe platformele de comunicare socială;</w:t>
      </w:r>
    </w:p>
    <w:p w:rsidR="00693238" w:rsidRPr="00F86FE4" w:rsidRDefault="00693238" w:rsidP="00F7485C">
      <w:pPr>
        <w:pStyle w:val="NormalHanging12a"/>
        <w:widowControl/>
      </w:pPr>
      <w:r w:rsidRPr="00F86FE4">
        <w:t>22.</w:t>
      </w:r>
      <w:r w:rsidRPr="00F86FE4">
        <w:tab/>
        <w:t>solicită să se acorde o atenție reînnoită adoptării unei abordări eficace la nivelul UE, menită să soluționeze expunerea copiilor și a adolescenților la publicitatea și marketingul pentru alimente prelucrate cu un conținut ridicat de grăsimi, zahăr și sare în mediile audiovizuale și digitale; invită Comisia să ia în considerare adoptarea unor măsuri legislative pentru a proteja sănătatea acestui grup vulnerabil de consumatori;</w:t>
      </w:r>
    </w:p>
    <w:p w:rsidR="00693238" w:rsidRPr="00F86FE4" w:rsidRDefault="00693238" w:rsidP="00F7485C">
      <w:pPr>
        <w:pStyle w:val="NormalHanging12a"/>
        <w:widowControl/>
      </w:pPr>
      <w:r w:rsidRPr="00F86FE4">
        <w:t>23.</w:t>
      </w:r>
      <w:r w:rsidRPr="00F86FE4">
        <w:tab/>
        <w:t xml:space="preserve">invită Comisia să elaboreze orientări cuprinzătoare pentru a pune în aplicare Regulamentul (CE) nr. 1924/2006 online; consideră că aceste orientări ar trebui să </w:t>
      </w:r>
      <w:r w:rsidRPr="00F86FE4">
        <w:lastRenderedPageBreak/>
        <w:t>prezinte proceduri și standarde clare pentru monitorizarea și reglementarea mențiunilor de sănătate online, asigurând acuratețea și transparența acestor mențiuni și protejând bunăstarea consumatorilor, în cadrul Regulamentului privind serviciile digitale; atrage atenția asupra responsabilităților statelor membre și ale furnizorilor de platforme online instituite prin Regulamentul privind serviciile digitale, și anume de a acționa împotriva diseminării conținutului ilegal și de a asigura transparența pentru consumatori în ceea ce privește publicitatea online;</w:t>
      </w:r>
    </w:p>
    <w:p w:rsidR="00693238" w:rsidRPr="00F86FE4" w:rsidRDefault="00693238" w:rsidP="00F7485C">
      <w:pPr>
        <w:pStyle w:val="NormalHanging12a"/>
        <w:widowControl/>
        <w:rPr>
          <w:szCs w:val="24"/>
        </w:rPr>
      </w:pPr>
      <w:r w:rsidRPr="00F86FE4">
        <w:t>24.</w:t>
      </w:r>
      <w:r w:rsidRPr="00F86FE4">
        <w:tab/>
        <w:t>invită Comisia și statele membre să creeze o platformă pentru a face schimb de bune practici privind aplicarea online a Regulamentului (CE) nr. 1924/2006 și pentru a încuraja colaborarea între autoritățile competente ale statelor membre;</w:t>
      </w:r>
    </w:p>
    <w:p w:rsidR="00693238" w:rsidRPr="00F86FE4" w:rsidRDefault="00693238" w:rsidP="00F7485C">
      <w:pPr>
        <w:pStyle w:val="NormalHanging12a"/>
        <w:widowControl/>
        <w:jc w:val="center"/>
      </w:pPr>
      <w:r w:rsidRPr="00F86FE4">
        <w:t>°</w:t>
      </w:r>
    </w:p>
    <w:p w:rsidR="00693238" w:rsidRPr="00F86FE4" w:rsidRDefault="00693238" w:rsidP="00F7485C">
      <w:pPr>
        <w:pStyle w:val="NormalHanging12a"/>
        <w:widowControl/>
        <w:jc w:val="center"/>
      </w:pPr>
      <w:r w:rsidRPr="00F86FE4">
        <w:t>°</w:t>
      </w:r>
      <w:r w:rsidRPr="00F86FE4">
        <w:tab/>
        <w:t>°</w:t>
      </w:r>
    </w:p>
    <w:p w:rsidR="00693238" w:rsidRPr="00F86FE4" w:rsidRDefault="00693238" w:rsidP="00F7485C">
      <w:pPr>
        <w:widowControl/>
        <w:spacing w:after="240"/>
        <w:ind w:left="567" w:hanging="567"/>
      </w:pPr>
      <w:r w:rsidRPr="00F86FE4">
        <w:t>25.</w:t>
      </w:r>
      <w:r w:rsidRPr="00F86FE4">
        <w:tab/>
        <w:t xml:space="preserve">încredințează Președintei sarcina de a transmite </w:t>
      </w:r>
      <w:bookmarkStart w:id="8" w:name="_GoBack"/>
      <w:bookmarkEnd w:id="8"/>
      <w:r w:rsidRPr="00F86FE4">
        <w:t>prezenta rezoluție Consiliului și Comisiei.</w:t>
      </w:r>
    </w:p>
    <w:p w:rsidR="00E365E1" w:rsidRPr="00F86FE4" w:rsidRDefault="00E365E1" w:rsidP="00F7485C">
      <w:pPr>
        <w:widowControl/>
        <w:spacing w:after="240"/>
        <w:ind w:left="567" w:hanging="567"/>
      </w:pPr>
      <w:bookmarkStart w:id="9" w:name="TextBodyEnd"/>
      <w:bookmarkEnd w:id="9"/>
    </w:p>
    <w:sectPr w:rsidR="00E365E1" w:rsidRPr="00F86FE4" w:rsidSect="00030EF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5970" w:rsidRPr="00030EFE" w:rsidRDefault="00E15970">
      <w:r w:rsidRPr="00030EFE">
        <w:separator/>
      </w:r>
    </w:p>
  </w:endnote>
  <w:endnote w:type="continuationSeparator" w:id="0">
    <w:p w:rsidR="00E15970" w:rsidRPr="00030EFE" w:rsidRDefault="00E15970">
      <w:r w:rsidRPr="00030E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0EF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0EF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0EF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5970" w:rsidRPr="00030EFE" w:rsidRDefault="00E15970">
      <w:r w:rsidRPr="00030EFE">
        <w:separator/>
      </w:r>
    </w:p>
  </w:footnote>
  <w:footnote w:type="continuationSeparator" w:id="0">
    <w:p w:rsidR="00E15970" w:rsidRPr="00030EFE" w:rsidRDefault="00E15970">
      <w:r w:rsidRPr="00030EFE">
        <w:continuationSeparator/>
      </w:r>
    </w:p>
  </w:footnote>
  <w:footnote w:id="1">
    <w:p w:rsidR="00693238" w:rsidRPr="00030EFE" w:rsidRDefault="00693238" w:rsidP="00030EFE">
      <w:pPr>
        <w:pStyle w:val="FootnoteText"/>
        <w:ind w:left="567" w:hanging="567"/>
        <w:rPr>
          <w:sz w:val="24"/>
          <w:lang w:val="ro-RO"/>
        </w:rPr>
      </w:pPr>
      <w:r w:rsidRPr="00030EFE">
        <w:rPr>
          <w:rStyle w:val="FootnoteReference"/>
          <w:sz w:val="24"/>
          <w:lang w:val="ro-RO"/>
        </w:rPr>
        <w:footnoteRef/>
      </w:r>
      <w:r w:rsidR="00030EFE" w:rsidRPr="00030EFE">
        <w:rPr>
          <w:sz w:val="24"/>
          <w:lang w:val="ro-RO"/>
        </w:rPr>
        <w:t xml:space="preserve"> </w:t>
      </w:r>
      <w:r w:rsidR="00030EFE" w:rsidRPr="00030EFE">
        <w:rPr>
          <w:sz w:val="24"/>
          <w:lang w:val="ro-RO"/>
        </w:rPr>
        <w:tab/>
      </w:r>
      <w:r w:rsidRPr="00030EFE">
        <w:rPr>
          <w:sz w:val="24"/>
          <w:lang w:val="ro-RO"/>
        </w:rPr>
        <w:t>JO L 404, 30.12.2006, p. 9.</w:t>
      </w:r>
    </w:p>
  </w:footnote>
  <w:footnote w:id="2">
    <w:p w:rsidR="00693238" w:rsidRPr="00030EFE" w:rsidRDefault="00693238" w:rsidP="00030EFE">
      <w:pPr>
        <w:pStyle w:val="FootnoteText"/>
        <w:ind w:left="567" w:hanging="567"/>
        <w:rPr>
          <w:sz w:val="24"/>
          <w:lang w:val="ro-RO"/>
        </w:rPr>
      </w:pPr>
      <w:r w:rsidRPr="00030EFE">
        <w:rPr>
          <w:rStyle w:val="FootnoteReference"/>
          <w:sz w:val="24"/>
          <w:lang w:val="ro-RO"/>
        </w:rPr>
        <w:footnoteRef/>
      </w:r>
      <w:r w:rsidR="00030EFE" w:rsidRPr="00030EFE">
        <w:rPr>
          <w:sz w:val="24"/>
          <w:lang w:val="ro-RO"/>
        </w:rPr>
        <w:t xml:space="preserve"> </w:t>
      </w:r>
      <w:r w:rsidR="00030EFE" w:rsidRPr="00030EFE">
        <w:rPr>
          <w:sz w:val="24"/>
          <w:lang w:val="ro-RO"/>
        </w:rPr>
        <w:tab/>
      </w:r>
      <w:r w:rsidRPr="00030EFE">
        <w:rPr>
          <w:sz w:val="24"/>
          <w:lang w:val="ro-RO"/>
        </w:rPr>
        <w:t>JO L 31, 1.2.2002, p. 1.</w:t>
      </w:r>
    </w:p>
  </w:footnote>
  <w:footnote w:id="3">
    <w:p w:rsidR="00693238" w:rsidRPr="00030EFE" w:rsidRDefault="00693238" w:rsidP="00030EFE">
      <w:pPr>
        <w:pStyle w:val="FootnoteText"/>
        <w:ind w:left="567" w:hanging="567"/>
        <w:rPr>
          <w:sz w:val="24"/>
          <w:lang w:val="ro-RO"/>
        </w:rPr>
      </w:pPr>
      <w:r w:rsidRPr="00030EFE">
        <w:rPr>
          <w:rStyle w:val="FootnoteReference"/>
          <w:sz w:val="24"/>
          <w:lang w:val="ro-RO"/>
        </w:rPr>
        <w:footnoteRef/>
      </w:r>
      <w:r w:rsidR="00030EFE" w:rsidRPr="00030EFE">
        <w:rPr>
          <w:sz w:val="24"/>
          <w:lang w:val="ro-RO"/>
        </w:rPr>
        <w:t xml:space="preserve"> </w:t>
      </w:r>
      <w:r w:rsidR="00030EFE" w:rsidRPr="00030EFE">
        <w:rPr>
          <w:sz w:val="24"/>
          <w:lang w:val="ro-RO"/>
        </w:rPr>
        <w:tab/>
      </w:r>
      <w:r w:rsidRPr="00030EFE">
        <w:rPr>
          <w:sz w:val="24"/>
          <w:lang w:val="ro-RO"/>
        </w:rPr>
        <w:t>JO L 304, 22.11.2011, p. 18.</w:t>
      </w:r>
    </w:p>
  </w:footnote>
  <w:footnote w:id="4">
    <w:p w:rsidR="00693238" w:rsidRPr="00030EFE" w:rsidRDefault="00693238" w:rsidP="00030EFE">
      <w:pPr>
        <w:pStyle w:val="FootnoteText"/>
        <w:ind w:left="567" w:hanging="567"/>
        <w:rPr>
          <w:sz w:val="24"/>
          <w:lang w:val="ro-RO"/>
        </w:rPr>
      </w:pPr>
      <w:r w:rsidRPr="00030EFE">
        <w:rPr>
          <w:rStyle w:val="FootnoteReference"/>
          <w:sz w:val="24"/>
          <w:lang w:val="ro-RO"/>
        </w:rPr>
        <w:footnoteRef/>
      </w:r>
      <w:r w:rsidR="00030EFE" w:rsidRPr="00030EFE">
        <w:rPr>
          <w:sz w:val="24"/>
          <w:lang w:val="ro-RO"/>
        </w:rPr>
        <w:t xml:space="preserve"> </w:t>
      </w:r>
      <w:r w:rsidR="00030EFE" w:rsidRPr="00030EFE">
        <w:rPr>
          <w:sz w:val="24"/>
          <w:lang w:val="ro-RO"/>
        </w:rPr>
        <w:tab/>
      </w:r>
      <w:r w:rsidRPr="00030EFE">
        <w:rPr>
          <w:sz w:val="24"/>
          <w:lang w:val="ro-RO"/>
        </w:rPr>
        <w:t>JO L 183, 12.7.2002, p. 51.</w:t>
      </w:r>
    </w:p>
  </w:footnote>
  <w:footnote w:id="5">
    <w:p w:rsidR="00693238" w:rsidRPr="00F86FE4" w:rsidRDefault="00693238" w:rsidP="00030EFE">
      <w:pPr>
        <w:pStyle w:val="FootnoteText"/>
        <w:ind w:left="567" w:hanging="567"/>
        <w:rPr>
          <w:i/>
          <w:sz w:val="24"/>
          <w:lang w:val="ro-RO"/>
        </w:rPr>
      </w:pPr>
      <w:r w:rsidRPr="00030EFE">
        <w:rPr>
          <w:rStyle w:val="FootnoteReference"/>
          <w:sz w:val="24"/>
          <w:lang w:val="ro-RO"/>
        </w:rPr>
        <w:footnoteRef/>
      </w:r>
      <w:r w:rsidR="00030EFE" w:rsidRPr="00030EFE">
        <w:rPr>
          <w:rStyle w:val="Emphasis"/>
          <w:color w:val="333333"/>
          <w:sz w:val="24"/>
          <w:shd w:val="clear" w:color="auto" w:fill="FFFFFF"/>
          <w:lang w:val="ro-RO"/>
        </w:rPr>
        <w:t xml:space="preserve"> </w:t>
      </w:r>
      <w:r w:rsidR="00030EFE" w:rsidRPr="00030EFE">
        <w:rPr>
          <w:rStyle w:val="Emphasis"/>
          <w:color w:val="333333"/>
          <w:sz w:val="24"/>
          <w:shd w:val="clear" w:color="auto" w:fill="FFFFFF"/>
          <w:lang w:val="ro-RO"/>
        </w:rPr>
        <w:tab/>
      </w:r>
      <w:r w:rsidRPr="00F86FE4">
        <w:rPr>
          <w:rStyle w:val="Emphasis"/>
          <w:i w:val="0"/>
          <w:color w:val="333333"/>
          <w:sz w:val="24"/>
          <w:shd w:val="clear" w:color="auto" w:fill="FFFFFF"/>
          <w:lang w:val="ro-RO"/>
        </w:rPr>
        <w:t>JO L 404, 30.12.2006, p. 26.</w:t>
      </w:r>
    </w:p>
  </w:footnote>
  <w:footnote w:id="6">
    <w:p w:rsidR="00693238" w:rsidRPr="00030EFE" w:rsidRDefault="00693238" w:rsidP="00030EFE">
      <w:pPr>
        <w:pStyle w:val="FootnoteText"/>
        <w:ind w:left="567" w:hanging="567"/>
        <w:rPr>
          <w:sz w:val="24"/>
          <w:lang w:val="ro-RO"/>
        </w:rPr>
      </w:pPr>
      <w:r w:rsidRPr="00030EFE">
        <w:rPr>
          <w:rStyle w:val="FootnoteReference"/>
          <w:sz w:val="24"/>
          <w:lang w:val="ro-RO"/>
        </w:rPr>
        <w:footnoteRef/>
      </w:r>
      <w:r w:rsidR="00030EFE" w:rsidRPr="00030EFE">
        <w:rPr>
          <w:sz w:val="24"/>
          <w:lang w:val="ro-RO"/>
        </w:rPr>
        <w:t xml:space="preserve"> </w:t>
      </w:r>
      <w:r w:rsidR="00030EFE" w:rsidRPr="00030EFE">
        <w:rPr>
          <w:sz w:val="24"/>
          <w:lang w:val="ro-RO"/>
        </w:rPr>
        <w:tab/>
      </w:r>
      <w:r w:rsidRPr="00030EFE">
        <w:rPr>
          <w:sz w:val="24"/>
          <w:lang w:val="ro-RO"/>
        </w:rPr>
        <w:t>JO L 181, 29.6.2013, p. 35.</w:t>
      </w:r>
    </w:p>
  </w:footnote>
  <w:footnote w:id="7">
    <w:p w:rsidR="00693238" w:rsidRPr="00030EFE" w:rsidRDefault="00693238" w:rsidP="00030EFE">
      <w:pPr>
        <w:pStyle w:val="FootnoteText"/>
        <w:ind w:left="567" w:hanging="567"/>
        <w:rPr>
          <w:sz w:val="24"/>
          <w:lang w:val="ro-RO"/>
        </w:rPr>
      </w:pPr>
      <w:r w:rsidRPr="00030EFE">
        <w:rPr>
          <w:rStyle w:val="FootnoteReference"/>
          <w:sz w:val="24"/>
          <w:lang w:val="ro-RO"/>
        </w:rPr>
        <w:footnoteRef/>
      </w:r>
      <w:r w:rsidR="00030EFE" w:rsidRPr="00030EFE">
        <w:rPr>
          <w:sz w:val="24"/>
          <w:lang w:val="ro-RO"/>
        </w:rPr>
        <w:t xml:space="preserve"> </w:t>
      </w:r>
      <w:r w:rsidR="00030EFE" w:rsidRPr="00030EFE">
        <w:rPr>
          <w:sz w:val="24"/>
          <w:lang w:val="ro-RO"/>
        </w:rPr>
        <w:tab/>
      </w:r>
      <w:r w:rsidRPr="00030EFE">
        <w:rPr>
          <w:sz w:val="24"/>
          <w:lang w:val="ro-RO"/>
        </w:rPr>
        <w:t>JO L 277, 27.10.2022, p. 1.</w:t>
      </w:r>
    </w:p>
  </w:footnote>
  <w:footnote w:id="8">
    <w:p w:rsidR="00693238" w:rsidRPr="00030EFE" w:rsidRDefault="00693238" w:rsidP="00030EFE">
      <w:pPr>
        <w:pStyle w:val="FootnoteText"/>
        <w:ind w:left="567" w:hanging="567"/>
        <w:rPr>
          <w:sz w:val="24"/>
          <w:lang w:val="ro-RO"/>
        </w:rPr>
      </w:pPr>
      <w:r w:rsidRPr="00030EFE">
        <w:rPr>
          <w:rStyle w:val="FootnoteReference"/>
          <w:sz w:val="24"/>
          <w:lang w:val="ro-RO"/>
        </w:rPr>
        <w:footnoteRef/>
      </w:r>
      <w:r w:rsidR="00030EFE" w:rsidRPr="00030EFE">
        <w:rPr>
          <w:sz w:val="24"/>
          <w:lang w:val="ro-RO"/>
        </w:rPr>
        <w:t xml:space="preserve"> </w:t>
      </w:r>
      <w:r w:rsidR="00030EFE" w:rsidRPr="00030EFE">
        <w:rPr>
          <w:sz w:val="24"/>
          <w:lang w:val="ro-RO"/>
        </w:rPr>
        <w:tab/>
      </w:r>
      <w:r w:rsidRPr="00030EFE">
        <w:rPr>
          <w:sz w:val="24"/>
          <w:lang w:val="ro-RO"/>
        </w:rPr>
        <w:t>JO L 107, 26.3.2021, p. 1.</w:t>
      </w:r>
    </w:p>
  </w:footnote>
  <w:footnote w:id="9">
    <w:p w:rsidR="00693238" w:rsidRPr="00030EFE" w:rsidRDefault="00693238" w:rsidP="00030EFE">
      <w:pPr>
        <w:pStyle w:val="FootnoteText"/>
        <w:ind w:left="567" w:hanging="567"/>
        <w:rPr>
          <w:sz w:val="24"/>
          <w:lang w:val="ro-RO"/>
        </w:rPr>
      </w:pPr>
      <w:r w:rsidRPr="00030EFE">
        <w:rPr>
          <w:rStyle w:val="FootnoteReference"/>
          <w:sz w:val="24"/>
          <w:lang w:val="ro-RO"/>
        </w:rPr>
        <w:footnoteRef/>
      </w:r>
      <w:r w:rsidR="00030EFE" w:rsidRPr="00030EFE">
        <w:rPr>
          <w:sz w:val="24"/>
          <w:lang w:val="ro-RO"/>
        </w:rPr>
        <w:t xml:space="preserve"> </w:t>
      </w:r>
      <w:r w:rsidR="00030EFE" w:rsidRPr="00030EFE">
        <w:rPr>
          <w:sz w:val="24"/>
          <w:lang w:val="ro-RO"/>
        </w:rPr>
        <w:tab/>
      </w:r>
      <w:r w:rsidRPr="00030EFE">
        <w:rPr>
          <w:sz w:val="24"/>
          <w:lang w:val="ro-RO"/>
        </w:rPr>
        <w:t>JO C 184, 5.5.2022, p. 2.</w:t>
      </w:r>
    </w:p>
  </w:footnote>
  <w:footnote w:id="10">
    <w:p w:rsidR="00693238" w:rsidRPr="00030EFE" w:rsidRDefault="00693238" w:rsidP="00030EFE">
      <w:pPr>
        <w:pStyle w:val="FootnoteText"/>
        <w:ind w:left="567" w:hanging="567"/>
        <w:rPr>
          <w:sz w:val="24"/>
          <w:lang w:val="ro-RO"/>
        </w:rPr>
      </w:pPr>
      <w:r w:rsidRPr="00030EFE">
        <w:rPr>
          <w:rStyle w:val="FootnoteReference"/>
          <w:sz w:val="24"/>
          <w:lang w:val="ro-RO"/>
        </w:rPr>
        <w:footnoteRef/>
      </w:r>
      <w:r w:rsidR="00030EFE" w:rsidRPr="00030EFE">
        <w:rPr>
          <w:sz w:val="24"/>
          <w:lang w:val="ro-RO"/>
        </w:rPr>
        <w:t xml:space="preserve"> </w:t>
      </w:r>
      <w:r w:rsidR="00030EFE" w:rsidRPr="00030EFE">
        <w:rPr>
          <w:sz w:val="24"/>
          <w:lang w:val="ro-RO"/>
        </w:rPr>
        <w:tab/>
      </w:r>
      <w:r w:rsidRPr="00030EFE">
        <w:rPr>
          <w:sz w:val="24"/>
          <w:lang w:val="ro-RO"/>
        </w:rPr>
        <w:t>Autoritatea Europeană pentru Siguranța Alimentară, „Tolerable upper intake level for dietary sugars” (Limita superioară tolerabilă a aportului de zaharuri din alimente), EFSA Journal, volumul 20, numărul 2, Autoritatea Europeană pentru Siguranța Alimentară, 15 decembrie 2021.</w:t>
      </w:r>
    </w:p>
  </w:footnote>
  <w:footnote w:id="11">
    <w:p w:rsidR="00693238" w:rsidRPr="00030EFE" w:rsidRDefault="00693238" w:rsidP="00030EFE">
      <w:pPr>
        <w:pStyle w:val="FootnoteText"/>
        <w:ind w:left="567" w:hanging="567"/>
        <w:rPr>
          <w:sz w:val="24"/>
          <w:lang w:val="ro-RO"/>
        </w:rPr>
      </w:pPr>
      <w:r w:rsidRPr="00030EFE">
        <w:rPr>
          <w:rStyle w:val="FootnoteReference"/>
          <w:sz w:val="24"/>
          <w:lang w:val="ro-RO"/>
        </w:rPr>
        <w:footnoteRef/>
      </w:r>
      <w:r w:rsidR="00030EFE" w:rsidRPr="00030EFE">
        <w:rPr>
          <w:sz w:val="24"/>
          <w:lang w:val="ro-RO"/>
        </w:rPr>
        <w:t xml:space="preserve"> </w:t>
      </w:r>
      <w:r w:rsidR="00030EFE" w:rsidRPr="00030EFE">
        <w:rPr>
          <w:sz w:val="24"/>
          <w:lang w:val="ro-RO"/>
        </w:rPr>
        <w:tab/>
      </w:r>
      <w:r w:rsidRPr="00030EFE">
        <w:rPr>
          <w:sz w:val="24"/>
          <w:lang w:val="ro-RO"/>
        </w:rPr>
        <w:t>Organizația Mondială a Sănătății, „Nutrition labelling: policy brief” (Etichetarea nutrițională: document de politică), Organizația Mondială a Sănătății, Geneva, 2022.</w:t>
      </w:r>
    </w:p>
  </w:footnote>
  <w:footnote w:id="12">
    <w:p w:rsidR="00693238" w:rsidRPr="00030EFE" w:rsidRDefault="00693238" w:rsidP="00030EFE">
      <w:pPr>
        <w:pStyle w:val="FootnoteText"/>
        <w:ind w:left="567" w:hanging="567"/>
        <w:rPr>
          <w:sz w:val="24"/>
          <w:lang w:val="ro-RO"/>
        </w:rPr>
      </w:pPr>
      <w:r w:rsidRPr="00030EFE">
        <w:rPr>
          <w:rStyle w:val="FootnoteReference"/>
          <w:sz w:val="24"/>
          <w:lang w:val="ro-RO"/>
        </w:rPr>
        <w:footnoteRef/>
      </w:r>
      <w:r w:rsidR="00030EFE" w:rsidRPr="00030EFE">
        <w:rPr>
          <w:sz w:val="24"/>
          <w:lang w:val="ro-RO"/>
        </w:rPr>
        <w:t xml:space="preserve"> </w:t>
      </w:r>
      <w:r w:rsidR="00030EFE" w:rsidRPr="00030EFE">
        <w:rPr>
          <w:sz w:val="24"/>
          <w:lang w:val="ro-RO"/>
        </w:rPr>
        <w:tab/>
      </w:r>
      <w:r w:rsidRPr="00030EFE">
        <w:rPr>
          <w:sz w:val="24"/>
          <w:lang w:val="ro-RO"/>
        </w:rPr>
        <w:t>Organizația Mondială a Sănătății, „Guiding principles and framework manual for front-of-pack labelling for promoting healthy diets” (Principiile directoare și manualul cadru pentru etichetarea pe partea frontală a ambalajului pentru promovarea unei alimentații sănătoase), Organizația Mondială a Sănătății, Geneva, 2019.</w:t>
      </w:r>
    </w:p>
  </w:footnote>
  <w:footnote w:id="13">
    <w:p w:rsidR="00693238" w:rsidRPr="00030EFE" w:rsidRDefault="00693238" w:rsidP="00030EFE">
      <w:pPr>
        <w:pStyle w:val="FootnoteText"/>
        <w:ind w:left="567" w:hanging="567"/>
        <w:rPr>
          <w:sz w:val="24"/>
          <w:lang w:val="ro-RO"/>
        </w:rPr>
      </w:pPr>
      <w:r w:rsidRPr="00030EFE">
        <w:rPr>
          <w:rStyle w:val="FootnoteReference"/>
          <w:sz w:val="24"/>
          <w:lang w:val="ro-RO"/>
        </w:rPr>
        <w:footnoteRef/>
      </w:r>
      <w:r w:rsidR="00030EFE" w:rsidRPr="00030EFE">
        <w:rPr>
          <w:sz w:val="24"/>
          <w:lang w:val="ro-RO"/>
        </w:rPr>
        <w:t xml:space="preserve"> </w:t>
      </w:r>
      <w:r w:rsidR="00030EFE" w:rsidRPr="00030EFE">
        <w:rPr>
          <w:sz w:val="24"/>
          <w:lang w:val="ro-RO"/>
        </w:rPr>
        <w:tab/>
      </w:r>
      <w:r w:rsidRPr="00030EFE">
        <w:rPr>
          <w:sz w:val="24"/>
          <w:lang w:val="ro-RO"/>
        </w:rPr>
        <w:t>UNICEF, „Children’s Rights in Impact Assessments: A guide for integrating children’s rights into impact assessments and taking action for children” („Drepturile copiilor în evaluările de impact: un ghid pentru integrarea drepturilor copiilor în evaluările de impact și pentru luarea de măsuri în sprijinul copiilor”), UNICEF, Geneva, decembrie 2013.</w:t>
      </w:r>
    </w:p>
  </w:footnote>
  <w:footnote w:id="14">
    <w:p w:rsidR="00693238" w:rsidRPr="00030EFE" w:rsidRDefault="00693238" w:rsidP="00030EFE">
      <w:pPr>
        <w:pStyle w:val="FootnoteText"/>
        <w:ind w:left="567" w:hanging="567"/>
        <w:rPr>
          <w:sz w:val="24"/>
          <w:lang w:val="ro-RO"/>
        </w:rPr>
      </w:pPr>
      <w:r w:rsidRPr="00030EFE">
        <w:rPr>
          <w:rStyle w:val="FootnoteReference"/>
          <w:sz w:val="24"/>
          <w:lang w:val="ro-RO"/>
        </w:rPr>
        <w:footnoteRef/>
      </w:r>
      <w:r w:rsidR="00030EFE" w:rsidRPr="00030EFE">
        <w:rPr>
          <w:sz w:val="24"/>
          <w:lang w:val="ro-RO"/>
        </w:rPr>
        <w:t xml:space="preserve"> </w:t>
      </w:r>
      <w:r w:rsidR="00030EFE" w:rsidRPr="00030EFE">
        <w:rPr>
          <w:sz w:val="24"/>
          <w:lang w:val="ro-RO"/>
        </w:rPr>
        <w:tab/>
      </w:r>
      <w:r w:rsidRPr="00030EFE">
        <w:rPr>
          <w:sz w:val="24"/>
          <w:lang w:val="ro-RO"/>
        </w:rPr>
        <w:t>Hotărârea Curții de Justiție din 14 iulie 2016, Verband Sozialer Wettbewerb eV/Innova Vital GmbH, C-19/15, ECLI:EU:C:2016:563.</w:t>
      </w:r>
    </w:p>
  </w:footnote>
  <w:footnote w:id="15">
    <w:p w:rsidR="00693238" w:rsidRPr="00030EFE" w:rsidRDefault="00693238" w:rsidP="00030EFE">
      <w:pPr>
        <w:pStyle w:val="FootnoteText"/>
        <w:ind w:left="567" w:hanging="567"/>
        <w:rPr>
          <w:sz w:val="24"/>
          <w:lang w:val="ro-RO"/>
        </w:rPr>
      </w:pPr>
      <w:r w:rsidRPr="00030EFE">
        <w:rPr>
          <w:rStyle w:val="FootnoteReference"/>
          <w:sz w:val="24"/>
          <w:lang w:val="ro-RO"/>
        </w:rPr>
        <w:footnoteRef/>
      </w:r>
      <w:r w:rsidR="00030EFE" w:rsidRPr="00030EFE">
        <w:rPr>
          <w:sz w:val="24"/>
          <w:lang w:val="ro-RO"/>
        </w:rPr>
        <w:t xml:space="preserve"> </w:t>
      </w:r>
      <w:r w:rsidR="00030EFE" w:rsidRPr="00030EFE">
        <w:rPr>
          <w:sz w:val="24"/>
          <w:lang w:val="ro-RO"/>
        </w:rPr>
        <w:tab/>
      </w:r>
      <w:r w:rsidRPr="00030EFE">
        <w:rPr>
          <w:sz w:val="24"/>
          <w:lang w:val="ro-RO"/>
        </w:rPr>
        <w:t>Comisia Europeană, „Final Report Summary - CLYMBOL (Role of health-related claims and symbols in consumer behaviour)” [Rezumat al raportului final CLYMBOL (Rolul mențiunilor și simbolurilor legate de sănătate în comportamentul consumatorilor)], 8 martie 2017.</w:t>
      </w:r>
    </w:p>
  </w:footnote>
  <w:footnote w:id="16">
    <w:p w:rsidR="00693238" w:rsidRPr="00030EFE" w:rsidRDefault="00693238" w:rsidP="00030EFE">
      <w:pPr>
        <w:pStyle w:val="FootnoteText"/>
        <w:ind w:left="567" w:hanging="567"/>
        <w:rPr>
          <w:sz w:val="24"/>
          <w:lang w:val="ro-RO"/>
        </w:rPr>
      </w:pPr>
      <w:r w:rsidRPr="00030EFE">
        <w:rPr>
          <w:rStyle w:val="FootnoteReference"/>
          <w:sz w:val="24"/>
          <w:lang w:val="ro-RO"/>
        </w:rPr>
        <w:footnoteRef/>
      </w:r>
      <w:r w:rsidR="00030EFE" w:rsidRPr="00030EFE">
        <w:rPr>
          <w:sz w:val="24"/>
          <w:lang w:val="ro-RO"/>
        </w:rPr>
        <w:t xml:space="preserve"> </w:t>
      </w:r>
      <w:r w:rsidR="00030EFE" w:rsidRPr="00030EFE">
        <w:rPr>
          <w:sz w:val="24"/>
          <w:lang w:val="ro-RO"/>
        </w:rPr>
        <w:tab/>
      </w:r>
      <w:r w:rsidRPr="00030EFE">
        <w:rPr>
          <w:sz w:val="24"/>
          <w:lang w:val="ro-RO"/>
        </w:rPr>
        <w:t>Pichierri M. et al., „The interplay between health claim type and individual regulatory focus in determining consumers’ intentions toward extra-virgin olive oil” (Interacțiunea dintre tipul de mențiuni de sănătate și obiectivele individuale de reglementare în determinarea intențiilor consumatorilor față de uleiul de măsline extravirgin), Food Research International, volumul 136, articolul 109467, Elsevier, octombrie 2020.</w:t>
      </w:r>
    </w:p>
  </w:footnote>
  <w:footnote w:id="17">
    <w:p w:rsidR="00693238" w:rsidRPr="00030EFE" w:rsidRDefault="00693238" w:rsidP="00030EFE">
      <w:pPr>
        <w:pStyle w:val="FootnoteText"/>
        <w:ind w:left="567" w:hanging="567"/>
        <w:rPr>
          <w:sz w:val="24"/>
          <w:lang w:val="ro-RO"/>
        </w:rPr>
      </w:pPr>
      <w:r w:rsidRPr="00030EFE">
        <w:rPr>
          <w:rStyle w:val="FootnoteReference"/>
          <w:sz w:val="24"/>
          <w:lang w:val="ro-RO"/>
        </w:rPr>
        <w:footnoteRef/>
      </w:r>
      <w:r w:rsidR="00030EFE" w:rsidRPr="00030EFE">
        <w:rPr>
          <w:sz w:val="24"/>
          <w:lang w:val="ro-RO"/>
        </w:rPr>
        <w:t xml:space="preserve"> </w:t>
      </w:r>
      <w:r w:rsidR="00030EFE" w:rsidRPr="00030EFE">
        <w:rPr>
          <w:sz w:val="24"/>
          <w:lang w:val="ro-RO"/>
        </w:rPr>
        <w:tab/>
      </w:r>
      <w:r w:rsidRPr="00030EFE">
        <w:rPr>
          <w:sz w:val="24"/>
          <w:lang w:val="ro-RO"/>
        </w:rPr>
        <w:t xml:space="preserve">Organizația Mondială a Sănătății, </w:t>
      </w:r>
      <w:r w:rsidRPr="00F7485C">
        <w:rPr>
          <w:sz w:val="24"/>
          <w:lang w:val="ro-RO"/>
        </w:rPr>
        <w:t>„</w:t>
      </w:r>
      <w:hyperlink r:id="rId1" w:history="1">
        <w:r w:rsidRPr="00F86FE4">
          <w:rPr>
            <w:rStyle w:val="Hyperlink"/>
            <w:i/>
            <w:color w:val="auto"/>
            <w:sz w:val="24"/>
            <w:u w:val="none"/>
            <w:lang w:val="ro-RO"/>
          </w:rPr>
          <w:t>WHO European Regional Obesity Report 2022</w:t>
        </w:r>
      </w:hyperlink>
      <w:r w:rsidRPr="00F7485C">
        <w:rPr>
          <w:sz w:val="24"/>
          <w:lang w:val="ro-RO"/>
        </w:rPr>
        <w:t xml:space="preserve">” </w:t>
      </w:r>
      <w:r w:rsidRPr="00030EFE">
        <w:rPr>
          <w:sz w:val="24"/>
          <w:lang w:val="ro-RO"/>
        </w:rPr>
        <w:t>(Raportul regional european al OMS privind obezitatea 2022), Organizația Mondială a Sănătății, Geneva, 2022.</w:t>
      </w:r>
    </w:p>
  </w:footnote>
  <w:footnote w:id="18">
    <w:p w:rsidR="00693238" w:rsidRPr="00030EFE" w:rsidRDefault="00693238" w:rsidP="00030EFE">
      <w:pPr>
        <w:pStyle w:val="FootnoteText"/>
        <w:ind w:left="567" w:hanging="567"/>
        <w:rPr>
          <w:rFonts w:eastAsia="Arial"/>
          <w:sz w:val="24"/>
          <w:lang w:val="ro-RO"/>
        </w:rPr>
      </w:pPr>
      <w:r w:rsidRPr="00030EFE">
        <w:rPr>
          <w:rStyle w:val="FootnoteReference"/>
          <w:sz w:val="24"/>
          <w:lang w:val="ro-RO"/>
        </w:rPr>
        <w:footnoteRef/>
      </w:r>
      <w:r w:rsidR="00030EFE" w:rsidRPr="00030EFE">
        <w:rPr>
          <w:sz w:val="24"/>
          <w:lang w:val="ro-RO"/>
        </w:rPr>
        <w:t xml:space="preserve"> </w:t>
      </w:r>
      <w:r w:rsidR="00030EFE" w:rsidRPr="00030EFE">
        <w:rPr>
          <w:sz w:val="24"/>
          <w:lang w:val="ro-RO"/>
        </w:rPr>
        <w:tab/>
      </w:r>
      <w:r w:rsidRPr="00030EFE">
        <w:rPr>
          <w:sz w:val="24"/>
          <w:lang w:val="ro-RO"/>
        </w:rPr>
        <w:t>JO C 342, 6.9.2022, p. 109.</w:t>
      </w:r>
    </w:p>
  </w:footnote>
  <w:footnote w:id="19">
    <w:p w:rsidR="00693238" w:rsidRPr="00030EFE" w:rsidRDefault="00693238" w:rsidP="00030EFE">
      <w:pPr>
        <w:pStyle w:val="FootnoteText"/>
        <w:ind w:left="567" w:hanging="567"/>
        <w:rPr>
          <w:sz w:val="24"/>
          <w:lang w:val="ro-RO"/>
        </w:rPr>
      </w:pPr>
      <w:r w:rsidRPr="00030EFE">
        <w:rPr>
          <w:rStyle w:val="FootnoteReference"/>
          <w:sz w:val="24"/>
          <w:lang w:val="ro-RO"/>
        </w:rPr>
        <w:footnoteRef/>
      </w:r>
      <w:r w:rsidR="00030EFE" w:rsidRPr="00030EFE">
        <w:rPr>
          <w:sz w:val="24"/>
          <w:lang w:val="ro-RO"/>
        </w:rPr>
        <w:t xml:space="preserve"> </w:t>
      </w:r>
      <w:r w:rsidR="00030EFE" w:rsidRPr="00030EFE">
        <w:rPr>
          <w:sz w:val="24"/>
          <w:lang w:val="ro-RO"/>
        </w:rPr>
        <w:tab/>
      </w:r>
      <w:r w:rsidRPr="00030EFE">
        <w:rPr>
          <w:sz w:val="24"/>
          <w:lang w:val="ro-RO"/>
        </w:rPr>
        <w:t>Autoritatea Europeană pentru Siguranța Alimentară, „EFSA explains draft scientific opinion on a tolerable upper intake level for dietary sugars” (EFSA explică proiectul de aviz științific privind limita superioară tolerabilă a aportului de zaharuri din alimente, Autoritatea Europeană pentru Siguranța Alimentară, 2021.</w:t>
      </w:r>
    </w:p>
  </w:footnote>
  <w:footnote w:id="20">
    <w:p w:rsidR="00693238" w:rsidRPr="00030EFE" w:rsidRDefault="00693238" w:rsidP="00030EFE">
      <w:pPr>
        <w:pStyle w:val="FootnoteText"/>
        <w:ind w:left="567" w:hanging="567"/>
        <w:rPr>
          <w:sz w:val="24"/>
          <w:lang w:val="ro-RO"/>
        </w:rPr>
      </w:pPr>
      <w:r w:rsidRPr="00030EFE">
        <w:rPr>
          <w:rStyle w:val="FootnoteReference"/>
          <w:sz w:val="24"/>
          <w:lang w:val="ro-RO"/>
        </w:rPr>
        <w:footnoteRef/>
      </w:r>
      <w:r w:rsidR="00030EFE" w:rsidRPr="00030EFE">
        <w:rPr>
          <w:sz w:val="24"/>
          <w:lang w:val="ro-RO"/>
        </w:rPr>
        <w:t xml:space="preserve"> </w:t>
      </w:r>
      <w:r w:rsidR="00030EFE" w:rsidRPr="00030EFE">
        <w:rPr>
          <w:sz w:val="24"/>
          <w:lang w:val="ro-RO"/>
        </w:rPr>
        <w:tab/>
      </w:r>
      <w:r w:rsidRPr="00030EFE">
        <w:rPr>
          <w:sz w:val="24"/>
          <w:lang w:val="ro-RO"/>
        </w:rPr>
        <w:t>Ashwell, M. și alții, „Nature of the evidence base and strengths, challenges and recommendations in the area of nutrition and health claims: a position paper from the Academy of Nutrition Sciences” (Natura bazei de dovezi și puncte forte, dificultăți și recomandări în domeniul nutriției și al mențiunilor de sănătate: un document de poziție al Academiei de științe ale nutriției), British Journal of Nutrition, 130(2), 28 iulie 2023, p. 231-238.</w:t>
      </w:r>
    </w:p>
  </w:footnote>
  <w:footnote w:id="21">
    <w:p w:rsidR="00693238" w:rsidRPr="00030EFE" w:rsidRDefault="00693238" w:rsidP="00030EFE">
      <w:pPr>
        <w:pStyle w:val="FootnoteText"/>
        <w:ind w:left="567" w:hanging="567"/>
        <w:rPr>
          <w:sz w:val="24"/>
          <w:lang w:val="ro-RO"/>
        </w:rPr>
      </w:pPr>
      <w:r w:rsidRPr="00030EFE">
        <w:rPr>
          <w:rStyle w:val="FootnoteReference"/>
          <w:sz w:val="24"/>
          <w:lang w:val="ro-RO"/>
        </w:rPr>
        <w:footnoteRef/>
      </w:r>
      <w:r w:rsidR="00030EFE" w:rsidRPr="00030EFE">
        <w:rPr>
          <w:sz w:val="24"/>
          <w:lang w:val="ro-RO"/>
        </w:rPr>
        <w:t xml:space="preserve"> </w:t>
      </w:r>
      <w:r w:rsidR="00030EFE" w:rsidRPr="00030EFE">
        <w:rPr>
          <w:sz w:val="24"/>
          <w:lang w:val="ro-RO"/>
        </w:rPr>
        <w:tab/>
      </w:r>
      <w:r w:rsidRPr="00030EFE">
        <w:rPr>
          <w:sz w:val="24"/>
          <w:lang w:val="ro-RO"/>
        </w:rPr>
        <w:t>Uniunea Europeană, „Eurobarometer - Making our food fit for the future - new trends and challenges” (Pregătirea alimentelor noastre pentru viitor - noi tendințe și probleme), octombrie 2020.</w:t>
      </w:r>
    </w:p>
  </w:footnote>
  <w:footnote w:id="22">
    <w:p w:rsidR="00693238" w:rsidRPr="00030EFE" w:rsidRDefault="00693238" w:rsidP="00030EFE">
      <w:pPr>
        <w:pStyle w:val="FootnoteText"/>
        <w:ind w:left="567" w:hanging="567"/>
        <w:rPr>
          <w:sz w:val="24"/>
          <w:lang w:val="ro-RO"/>
        </w:rPr>
      </w:pPr>
      <w:r w:rsidRPr="00030EFE">
        <w:rPr>
          <w:rStyle w:val="FootnoteReference"/>
          <w:sz w:val="24"/>
          <w:lang w:val="ro-RO"/>
        </w:rPr>
        <w:footnoteRef/>
      </w:r>
      <w:r w:rsidR="00030EFE" w:rsidRPr="00030EFE">
        <w:rPr>
          <w:sz w:val="24"/>
          <w:lang w:val="ro-RO"/>
        </w:rPr>
        <w:t xml:space="preserve"> </w:t>
      </w:r>
      <w:r w:rsidR="00030EFE" w:rsidRPr="00030EFE">
        <w:rPr>
          <w:sz w:val="24"/>
          <w:lang w:val="ro-RO"/>
        </w:rPr>
        <w:tab/>
      </w:r>
      <w:r w:rsidRPr="00030EFE">
        <w:rPr>
          <w:sz w:val="24"/>
          <w:lang w:val="ro-RO"/>
        </w:rPr>
        <w:t>Hotărârea Curții de Justiție din 8 iunie 2017, Dextro Energy GmbH &amp; Co. KG/European Commission, C-296/16, ECLI:EU:C:2017:437.</w:t>
      </w:r>
    </w:p>
  </w:footnote>
  <w:footnote w:id="23">
    <w:p w:rsidR="00693238" w:rsidRPr="00030EFE" w:rsidRDefault="00693238" w:rsidP="00030EFE">
      <w:pPr>
        <w:pStyle w:val="FootnoteText"/>
        <w:ind w:left="567" w:hanging="567"/>
        <w:rPr>
          <w:sz w:val="24"/>
          <w:lang w:val="ro-RO"/>
        </w:rPr>
      </w:pPr>
      <w:r w:rsidRPr="00030EFE">
        <w:rPr>
          <w:rStyle w:val="FootnoteReference"/>
          <w:sz w:val="24"/>
          <w:lang w:val="ro-RO"/>
        </w:rPr>
        <w:footnoteRef/>
      </w:r>
      <w:r w:rsidR="00030EFE" w:rsidRPr="00030EFE">
        <w:rPr>
          <w:sz w:val="24"/>
          <w:lang w:val="ro-RO"/>
        </w:rPr>
        <w:t xml:space="preserve"> </w:t>
      </w:r>
      <w:r w:rsidR="00030EFE" w:rsidRPr="00030EFE">
        <w:rPr>
          <w:sz w:val="24"/>
          <w:lang w:val="ro-RO"/>
        </w:rPr>
        <w:tab/>
      </w:r>
      <w:r w:rsidR="00F727BD">
        <w:rPr>
          <w:sz w:val="24"/>
          <w:lang w:val="ro-RO"/>
        </w:rPr>
        <w:t>Munblit, D. et al., „</w:t>
      </w:r>
      <w:r w:rsidRPr="00030EFE">
        <w:rPr>
          <w:sz w:val="24"/>
          <w:lang w:val="ro-RO"/>
        </w:rPr>
        <w:t>Health and nutrition claims for infant formula are poorly substa</w:t>
      </w:r>
      <w:r w:rsidR="00F727BD">
        <w:rPr>
          <w:sz w:val="24"/>
          <w:lang w:val="ro-RO"/>
        </w:rPr>
        <w:t>ntiated and potentially harmful”</w:t>
      </w:r>
      <w:r w:rsidRPr="00030EFE">
        <w:rPr>
          <w:sz w:val="24"/>
          <w:lang w:val="ro-RO"/>
        </w:rPr>
        <w:t xml:space="preserve"> (Mențiunile privind sănătatea și nutriția de pe formulele de început sunt prost documentate și pot fi dăunătoare), </w:t>
      </w:r>
      <w:r w:rsidRPr="00030EFE">
        <w:rPr>
          <w:i/>
          <w:sz w:val="24"/>
          <w:lang w:val="ro-RO"/>
        </w:rPr>
        <w:t>British Medical Journal</w:t>
      </w:r>
      <w:r w:rsidRPr="00030EFE">
        <w:rPr>
          <w:sz w:val="24"/>
          <w:lang w:val="ro-RO"/>
        </w:rPr>
        <w:t xml:space="preserve">, volumul 369, articolul m875, </w:t>
      </w:r>
      <w:r w:rsidR="00F727BD">
        <w:rPr>
          <w:sz w:val="24"/>
          <w:lang w:val="ro-RO"/>
        </w:rPr>
        <w:t>2020, și Cheung, K.Y., et al., „</w:t>
      </w:r>
      <w:r w:rsidRPr="00030EFE">
        <w:rPr>
          <w:sz w:val="24"/>
          <w:lang w:val="ro-RO"/>
        </w:rPr>
        <w:t>Health and nutrition claims for infant formula: international cross sectional survey</w:t>
      </w:r>
      <w:r w:rsidR="00F727BD">
        <w:rPr>
          <w:sz w:val="24"/>
          <w:lang w:val="ro-RO"/>
        </w:rPr>
        <w:t>”</w:t>
      </w:r>
      <w:r w:rsidRPr="00030EFE">
        <w:rPr>
          <w:sz w:val="24"/>
          <w:lang w:val="ro-RO"/>
        </w:rPr>
        <w:t xml:space="preserve"> (Mențiunile privind sănătatea și nutriția de pe formulele de început: studiu internațional transversal), </w:t>
      </w:r>
      <w:r w:rsidRPr="00030EFE">
        <w:rPr>
          <w:i/>
          <w:sz w:val="24"/>
          <w:lang w:val="ro-RO"/>
        </w:rPr>
        <w:t>British Medical Journal</w:t>
      </w:r>
      <w:r w:rsidRPr="00030EFE">
        <w:rPr>
          <w:sz w:val="24"/>
          <w:lang w:val="ro-RO"/>
        </w:rPr>
        <w:t>, volumul 380, numărul 8371, 2023.</w:t>
      </w:r>
      <w:r w:rsidR="00030EFE" w:rsidRPr="00030EFE">
        <w:rPr>
          <w:sz w:val="24"/>
          <w:lang w:val="ro-RO"/>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0EF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0EF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0EF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6/2023"/>
    <w:docVar w:name="dvlangue" w:val="RO"/>
    <w:docVar w:name="dvnumam" w:val="0"/>
    <w:docVar w:name="dvpe" w:val="753.549"/>
    <w:docVar w:name="dvrapporteur" w:val="Raportor: "/>
    <w:docVar w:name="dvtitre" w:val="Rezoluția Parlamentului European din ... 2024 referitor la punerea în aplicare a Regulamentului (CE) nr. 1924/2006 privind mențiunile nutriționale și de sănătate înscrise pe produsele alimentare(2023/2081(INI))"/>
  </w:docVars>
  <w:rsids>
    <w:rsidRoot w:val="00E15970"/>
    <w:rsid w:val="00002272"/>
    <w:rsid w:val="00030EFE"/>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93238"/>
    <w:rsid w:val="006C1FB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4357"/>
    <w:rsid w:val="00D56C11"/>
    <w:rsid w:val="00D834A0"/>
    <w:rsid w:val="00D872DF"/>
    <w:rsid w:val="00D91E21"/>
    <w:rsid w:val="00DA7FCD"/>
    <w:rsid w:val="00E15970"/>
    <w:rsid w:val="00E365E1"/>
    <w:rsid w:val="00E820A4"/>
    <w:rsid w:val="00EB006A"/>
    <w:rsid w:val="00EB4772"/>
    <w:rsid w:val="00ED169E"/>
    <w:rsid w:val="00ED4235"/>
    <w:rsid w:val="00F04346"/>
    <w:rsid w:val="00F075DC"/>
    <w:rsid w:val="00F149E9"/>
    <w:rsid w:val="00F5134D"/>
    <w:rsid w:val="00F727BD"/>
    <w:rsid w:val="00F74202"/>
    <w:rsid w:val="00F7485C"/>
    <w:rsid w:val="00F86FE4"/>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197AB8"/>
  <w15:chartTrackingRefBased/>
  <w15:docId w15:val="{03AB145D-137A-41CA-B556-02DA8D012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93238"/>
    <w:pPr>
      <w:spacing w:after="240"/>
      <w:ind w:left="567" w:hanging="567"/>
    </w:pPr>
  </w:style>
  <w:style w:type="paragraph" w:customStyle="1" w:styleId="EPComma">
    <w:name w:val="EPComma"/>
    <w:basedOn w:val="Normal"/>
    <w:rsid w:val="00693238"/>
    <w:pPr>
      <w:spacing w:before="480" w:after="240"/>
    </w:pPr>
  </w:style>
  <w:style w:type="character" w:styleId="Hyperlink">
    <w:name w:val="Hyperlink"/>
    <w:basedOn w:val="DefaultParagraphFont"/>
    <w:uiPriority w:val="99"/>
    <w:unhideWhenUsed/>
    <w:rsid w:val="00693238"/>
    <w:rPr>
      <w:color w:val="0563C1" w:themeColor="hyperlink"/>
      <w:u w:val="single"/>
    </w:rPr>
  </w:style>
  <w:style w:type="character" w:styleId="Emphasis">
    <w:name w:val="Emphasis"/>
    <w:basedOn w:val="DefaultParagraphFont"/>
    <w:uiPriority w:val="20"/>
    <w:qFormat/>
    <w:rsid w:val="00693238"/>
    <w:rPr>
      <w:i/>
      <w:iCs/>
    </w:rPr>
  </w:style>
  <w:style w:type="character" w:customStyle="1" w:styleId="NormalHanging12aChar">
    <w:name w:val="NormalHanging12a Char"/>
    <w:basedOn w:val="DefaultParagraphFont"/>
    <w:link w:val="NormalHanging12a"/>
    <w:locked/>
    <w:rsid w:val="00693238"/>
    <w:rPr>
      <w:sz w:val="24"/>
      <w:lang w:val="ro-RO"/>
    </w:rPr>
  </w:style>
  <w:style w:type="paragraph" w:styleId="BalloonText">
    <w:name w:val="Balloon Text"/>
    <w:basedOn w:val="Normal"/>
    <w:link w:val="BalloonTextChar"/>
    <w:rsid w:val="00D14357"/>
    <w:rPr>
      <w:rFonts w:ascii="Segoe UI" w:hAnsi="Segoe UI" w:cs="Segoe UI"/>
      <w:sz w:val="18"/>
      <w:szCs w:val="18"/>
    </w:rPr>
  </w:style>
  <w:style w:type="character" w:customStyle="1" w:styleId="BalloonTextChar">
    <w:name w:val="Balloon Text Char"/>
    <w:basedOn w:val="DefaultParagraphFont"/>
    <w:link w:val="BalloonText"/>
    <w:rsid w:val="00D14357"/>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apps.who.int/iris/bitstream/handle/10665/353747/9789289057738-en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CA9C3C-7FC0-4121-BD39-E5960CA67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4641</Words>
  <Characters>28021</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OBADA Liliana</cp:lastModifiedBy>
  <cp:revision>2</cp:revision>
  <cp:lastPrinted>2004-11-19T15:42:00Z</cp:lastPrinted>
  <dcterms:created xsi:type="dcterms:W3CDTF">2024-02-11T18:26:00Z</dcterms:created>
  <dcterms:modified xsi:type="dcterms:W3CDTF">2024-02-11T18:26:00Z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A9-0416/2023</vt:lpwstr>
  </property>
  <property fmtid="{D5CDD505-2E9C-101B-9397-08002B2CF9AE}" pid="4" name="&lt;Type&gt;">
    <vt:lpwstr>RR</vt:lpwstr>
  </property>
</Properties>
</file>