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0FA9" w14:paraId="07ACB0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8DF972" w14:textId="77777777" w:rsidR="00751A4A" w:rsidRPr="00120FA9" w:rsidRDefault="00482D21" w:rsidP="0010095E">
            <w:pPr>
              <w:pStyle w:val="EPName"/>
            </w:pPr>
            <w:r w:rsidRPr="00120FA9">
              <w:t>Evropský parlament</w:t>
            </w:r>
          </w:p>
          <w:p w14:paraId="73A769F2" w14:textId="77777777" w:rsidR="00751A4A" w:rsidRPr="00120FA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0FA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985974" w14:textId="77777777" w:rsidR="00751A4A" w:rsidRPr="00120FA9" w:rsidRDefault="00187494" w:rsidP="0010095E">
            <w:pPr>
              <w:pStyle w:val="EPLogo"/>
            </w:pPr>
            <w:r w:rsidRPr="00120FA9">
              <w:rPr>
                <w:noProof/>
                <w:lang w:eastAsia="cs-CZ"/>
              </w:rPr>
              <w:drawing>
                <wp:inline distT="0" distB="0" distL="0" distR="0" wp14:anchorId="68CAAB68" wp14:editId="421EAB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05881A" w14:textId="77777777" w:rsidR="00D058B8" w:rsidRPr="00120FA9" w:rsidRDefault="00D058B8" w:rsidP="004C5D52">
      <w:pPr>
        <w:pStyle w:val="LineTop"/>
      </w:pPr>
    </w:p>
    <w:p w14:paraId="7A42F275" w14:textId="77777777" w:rsidR="00680577" w:rsidRPr="00120FA9" w:rsidRDefault="00482D21" w:rsidP="00680577">
      <w:pPr>
        <w:pStyle w:val="EPBodyTA1"/>
      </w:pPr>
      <w:r w:rsidRPr="00120FA9">
        <w:t>PŘIJATÉ TEXTY</w:t>
      </w:r>
    </w:p>
    <w:p w14:paraId="755C685D" w14:textId="77777777" w:rsidR="00D058B8" w:rsidRPr="00120FA9" w:rsidRDefault="00D058B8" w:rsidP="00D058B8">
      <w:pPr>
        <w:pStyle w:val="LineBottom"/>
      </w:pPr>
    </w:p>
    <w:p w14:paraId="751CAD58" w14:textId="25CA5F37" w:rsidR="00482D21" w:rsidRPr="00120FA9" w:rsidRDefault="00482D21" w:rsidP="00482D21">
      <w:pPr>
        <w:pStyle w:val="ATHeading1"/>
      </w:pPr>
      <w:bookmarkStart w:id="0" w:name="TANumber"/>
      <w:r w:rsidRPr="00120FA9">
        <w:t>P9_TA(2024)00</w:t>
      </w:r>
      <w:r w:rsidR="000726E0">
        <w:t>41</w:t>
      </w:r>
      <w:bookmarkEnd w:id="0"/>
    </w:p>
    <w:p w14:paraId="68330905" w14:textId="77777777" w:rsidR="00482D21" w:rsidRPr="00120FA9" w:rsidRDefault="00482D21" w:rsidP="00482D21">
      <w:pPr>
        <w:pStyle w:val="ATHeading2"/>
      </w:pPr>
      <w:bookmarkStart w:id="1" w:name="title"/>
      <w:r w:rsidRPr="00120FA9">
        <w:t xml:space="preserve">Ochrana finančních zájmů Evropské unie – boj proti podvodům – výroční zpráva </w:t>
      </w:r>
      <w:r w:rsidR="00B04477">
        <w:t xml:space="preserve">za rok </w:t>
      </w:r>
      <w:r w:rsidRPr="00120FA9">
        <w:t>2022</w:t>
      </w:r>
      <w:bookmarkEnd w:id="1"/>
    </w:p>
    <w:p w14:paraId="08EDEEFE" w14:textId="77777777" w:rsidR="00482D21" w:rsidRPr="00120FA9" w:rsidRDefault="00482D21" w:rsidP="00482D21">
      <w:pPr>
        <w:rPr>
          <w:i/>
          <w:vanish/>
        </w:rPr>
      </w:pPr>
      <w:r w:rsidRPr="00120FA9">
        <w:rPr>
          <w:i/>
        </w:rPr>
        <w:fldChar w:fldCharType="begin"/>
      </w:r>
      <w:r w:rsidRPr="00120FA9">
        <w:rPr>
          <w:i/>
        </w:rPr>
        <w:instrText xml:space="preserve"> TC"(</w:instrText>
      </w:r>
      <w:bookmarkStart w:id="2" w:name="DocNumber"/>
      <w:r w:rsidRPr="00120FA9">
        <w:rPr>
          <w:i/>
        </w:rPr>
        <w:instrText>A9-0434/2023</w:instrText>
      </w:r>
      <w:bookmarkEnd w:id="2"/>
      <w:r w:rsidRPr="00120FA9">
        <w:rPr>
          <w:i/>
        </w:rPr>
        <w:instrText xml:space="preserve"> - Zpravodajka: Maria Grapini)"\l3 \n&gt; \* MERGEFORMAT </w:instrText>
      </w:r>
      <w:r w:rsidRPr="00120FA9">
        <w:rPr>
          <w:i/>
        </w:rPr>
        <w:fldChar w:fldCharType="end"/>
      </w:r>
    </w:p>
    <w:p w14:paraId="2AF64883" w14:textId="77777777" w:rsidR="00482D21" w:rsidRPr="00120FA9" w:rsidRDefault="00482D21" w:rsidP="00482D21">
      <w:pPr>
        <w:rPr>
          <w:vanish/>
        </w:rPr>
      </w:pPr>
      <w:bookmarkStart w:id="3" w:name="Commission"/>
      <w:r w:rsidRPr="00120FA9">
        <w:rPr>
          <w:vanish/>
        </w:rPr>
        <w:t>Výbor pro rozpočtovou kontrolu</w:t>
      </w:r>
      <w:bookmarkEnd w:id="3"/>
    </w:p>
    <w:p w14:paraId="454892F2" w14:textId="77777777" w:rsidR="00482D21" w:rsidRPr="00120FA9" w:rsidRDefault="00482D21" w:rsidP="00482D21">
      <w:pPr>
        <w:rPr>
          <w:vanish/>
        </w:rPr>
      </w:pPr>
      <w:bookmarkStart w:id="4" w:name="PE"/>
      <w:r w:rsidRPr="00120FA9">
        <w:rPr>
          <w:vanish/>
        </w:rPr>
        <w:t>PE753.468</w:t>
      </w:r>
      <w:bookmarkEnd w:id="4"/>
    </w:p>
    <w:p w14:paraId="0C3A2117" w14:textId="77777777" w:rsidR="00482D21" w:rsidRPr="00120FA9" w:rsidRDefault="00482D21" w:rsidP="00482D21">
      <w:pPr>
        <w:pStyle w:val="ATHeading3"/>
      </w:pPr>
      <w:bookmarkStart w:id="5" w:name="Sujet"/>
      <w:r w:rsidRPr="00120FA9">
        <w:t>Usnesení Evropského parlamentu ze dne 18. ledna 2024 o ochraně finančních zájmů Evropské unie – boji proti podvodům – výroční zprávě za rok 2022</w:t>
      </w:r>
      <w:bookmarkEnd w:id="5"/>
      <w:r w:rsidRPr="00120FA9">
        <w:t xml:space="preserve"> </w:t>
      </w:r>
      <w:bookmarkStart w:id="6" w:name="References"/>
      <w:r w:rsidRPr="00120FA9">
        <w:t>(2023/2045(INI))</w:t>
      </w:r>
      <w:bookmarkEnd w:id="6"/>
    </w:p>
    <w:p w14:paraId="2D14144C" w14:textId="77777777" w:rsidR="001458BC" w:rsidRPr="00120FA9" w:rsidRDefault="001458BC" w:rsidP="001458BC">
      <w:pPr>
        <w:pStyle w:val="EPComma"/>
      </w:pPr>
      <w:bookmarkStart w:id="7" w:name="TextBodyBegin"/>
      <w:bookmarkEnd w:id="7"/>
      <w:r w:rsidRPr="00120FA9">
        <w:rPr>
          <w:rStyle w:val="Italic"/>
        </w:rPr>
        <w:t>Evropský parlament</w:t>
      </w:r>
      <w:r w:rsidRPr="00120FA9">
        <w:t>,</w:t>
      </w:r>
    </w:p>
    <w:p w14:paraId="765B7023" w14:textId="770B44F7" w:rsidR="001458BC" w:rsidRPr="00B04477" w:rsidRDefault="001458BC" w:rsidP="00B04477">
      <w:pPr>
        <w:pStyle w:val="NormalHanging12a"/>
        <w:rPr>
          <w:szCs w:val="24"/>
        </w:rPr>
      </w:pPr>
      <w:r w:rsidRPr="00120FA9">
        <w:t>–</w:t>
      </w:r>
      <w:r w:rsidRPr="00120FA9">
        <w:tab/>
        <w:t xml:space="preserve">s ohledem </w:t>
      </w:r>
      <w:r w:rsidRPr="00B04477">
        <w:rPr>
          <w:szCs w:val="24"/>
        </w:rPr>
        <w:t>na čl. 310 odst. 6 a čl. 325 odst. 5 Smlouvy o fungování Evropské unie (</w:t>
      </w:r>
      <w:r w:rsidR="00F64164">
        <w:rPr>
          <w:szCs w:val="24"/>
        </w:rPr>
        <w:t>dále jen „</w:t>
      </w:r>
      <w:r w:rsidRPr="00B04477">
        <w:rPr>
          <w:szCs w:val="24"/>
        </w:rPr>
        <w:t>S</w:t>
      </w:r>
      <w:r w:rsidR="00F64164">
        <w:rPr>
          <w:szCs w:val="24"/>
        </w:rPr>
        <w:t xml:space="preserve">mlouva o fungování </w:t>
      </w:r>
      <w:r w:rsidRPr="00B04477">
        <w:rPr>
          <w:szCs w:val="24"/>
        </w:rPr>
        <w:t>EU</w:t>
      </w:r>
      <w:r w:rsidR="00F64164">
        <w:rPr>
          <w:szCs w:val="24"/>
        </w:rPr>
        <w:t>“</w:t>
      </w:r>
      <w:r w:rsidRPr="00B04477">
        <w:rPr>
          <w:szCs w:val="24"/>
        </w:rPr>
        <w:t>),</w:t>
      </w:r>
    </w:p>
    <w:p w14:paraId="2CE9E85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zprávu Komise ze dne 27. července 2023 nazvanou 34. výroční zpráva o ochraně finančních zájmů Evropské unie a boji proti podvodům – 2022 (</w:t>
      </w:r>
      <w:proofErr w:type="gramStart"/>
      <w:r w:rsidRPr="00B04477">
        <w:rPr>
          <w:szCs w:val="24"/>
        </w:rPr>
        <w:t>COM(2023</w:t>
      </w:r>
      <w:proofErr w:type="gramEnd"/>
      <w:r w:rsidRPr="00B04477">
        <w:rPr>
          <w:szCs w:val="24"/>
        </w:rPr>
        <w:t>)0464) (zpráva o ochraně finančních zájmů Evropské unie za rok 2022),</w:t>
      </w:r>
    </w:p>
    <w:p w14:paraId="24828A80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zprávu Evropského úřadu pro boj proti podvodům (OLAF) za rok 2022</w:t>
      </w:r>
      <w:r w:rsidRPr="00B04477">
        <w:rPr>
          <w:rStyle w:val="FootnoteReference"/>
          <w:szCs w:val="24"/>
        </w:rPr>
        <w:footnoteReference w:id="1"/>
      </w:r>
      <w:r w:rsidRPr="00B04477">
        <w:rPr>
          <w:szCs w:val="24"/>
        </w:rPr>
        <w:t xml:space="preserve"> a výroční zprávu dozorčího výboru úřadu OLAF za rok 2022</w:t>
      </w:r>
      <w:r w:rsidRPr="00B04477">
        <w:rPr>
          <w:rStyle w:val="FootnoteReference"/>
          <w:szCs w:val="24"/>
        </w:rPr>
        <w:footnoteReference w:id="2"/>
      </w:r>
      <w:r w:rsidRPr="00B04477">
        <w:rPr>
          <w:szCs w:val="24"/>
        </w:rPr>
        <w:t>,</w:t>
      </w:r>
    </w:p>
    <w:p w14:paraId="3F081BE1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výroční zprávu Úřadu evropského veřejného žalobce (EPPO) za rok 2022 zveřejněnou dne 1. března 2023,</w:t>
      </w:r>
    </w:p>
    <w:p w14:paraId="3522563D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nařízení Evropského parlamentu a Rady (EU, Euratom) 2020/2092 ze dne 16. prosince 2020 o obecném režimu podmíněnosti na ochranu rozpočtu Unie (nařízení o podmíněnosti)</w:t>
      </w:r>
      <w:r w:rsidRPr="00B04477">
        <w:rPr>
          <w:rStyle w:val="FootnoteReference"/>
          <w:szCs w:val="24"/>
        </w:rPr>
        <w:footnoteReference w:id="3"/>
      </w:r>
      <w:r w:rsidRPr="00B04477">
        <w:rPr>
          <w:szCs w:val="24"/>
        </w:rPr>
        <w:t>,</w:t>
      </w:r>
    </w:p>
    <w:p w14:paraId="0153314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rozsudky Soudního dvora Evropské unie ze dne 16. února 2022 ve věcech C-156/21</w:t>
      </w:r>
      <w:r w:rsidRPr="00B04477">
        <w:rPr>
          <w:rStyle w:val="FootnoteReference"/>
          <w:szCs w:val="24"/>
        </w:rPr>
        <w:footnoteReference w:id="4"/>
      </w:r>
      <w:r w:rsidRPr="00B04477">
        <w:rPr>
          <w:szCs w:val="24"/>
        </w:rPr>
        <w:t xml:space="preserve"> a C-157/21</w:t>
      </w:r>
      <w:r w:rsidRPr="00B04477">
        <w:rPr>
          <w:rStyle w:val="FootnoteReference"/>
          <w:szCs w:val="24"/>
        </w:rPr>
        <w:footnoteReference w:id="5"/>
      </w:r>
      <w:r w:rsidRPr="00B04477">
        <w:rPr>
          <w:szCs w:val="24"/>
        </w:rPr>
        <w:t xml:space="preserve"> a na závěry Soudního dvora Evropské unie, že mechanismus podmíněnosti dodržováním zásad právního státu je v souladu s právem EU,</w:t>
      </w:r>
    </w:p>
    <w:p w14:paraId="6F96902A" w14:textId="77777777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b/>
          <w:i/>
          <w:szCs w:val="24"/>
        </w:rPr>
        <w:lastRenderedPageBreak/>
        <w:t>–</w:t>
      </w:r>
      <w:r w:rsidRPr="00B04477">
        <w:rPr>
          <w:b/>
          <w:i/>
          <w:szCs w:val="24"/>
        </w:rPr>
        <w:tab/>
      </w:r>
      <w:r w:rsidRPr="00B04477">
        <w:rPr>
          <w:szCs w:val="24"/>
        </w:rPr>
        <w:t>s ohledem na návrh Komise ze dne 18. září 2022 na prováděcí rozhodnutí Rady o opatřeních na ochranu rozpočtu Unie před porušováním zásad právního státu v Maďarsku (</w:t>
      </w:r>
      <w:proofErr w:type="gramStart"/>
      <w:r w:rsidRPr="00B04477">
        <w:rPr>
          <w:szCs w:val="24"/>
        </w:rPr>
        <w:t>COM(2022</w:t>
      </w:r>
      <w:proofErr w:type="gramEnd"/>
      <w:r w:rsidRPr="00B04477">
        <w:rPr>
          <w:szCs w:val="24"/>
        </w:rPr>
        <w:t>)0485),</w:t>
      </w:r>
    </w:p>
    <w:p w14:paraId="7E258282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nařízení Evropského parlamentu a Rady (EU) 2021/1060 ze dne 24. června 2021 o společných ustanoveních pro Evropský fond pro regionální rozvoj, Evropský sociální fond plus, Fond soudržnosti, Fond pro spravedlivou transformaci a Evropský námořní, rybářský a akvakulturní fond a o finančních pravidlech pro tyto fondy a pro Azylový, migrační a integrační fond, Fond pro vnitřní bezpečnost a Nástroj pro finanční podporu správy hranic a vízové politiky</w:t>
      </w:r>
      <w:r w:rsidRPr="00B04477">
        <w:rPr>
          <w:rStyle w:val="FootnoteReference"/>
          <w:szCs w:val="24"/>
        </w:rPr>
        <w:footnoteReference w:id="6"/>
      </w:r>
      <w:r w:rsidRPr="00B04477">
        <w:rPr>
          <w:szCs w:val="24"/>
        </w:rPr>
        <w:t xml:space="preserve"> (nařízení o společných ustanoveních),</w:t>
      </w:r>
    </w:p>
    <w:p w14:paraId="000CA626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návrh nařízení Evropského parlamentu a Rady, kterým se stanoví finanční pravidla pro souhrnný rozpočet Unie, který předložila Komise dne 16. května 2022 (finanční nařízení – přepracované znění) (</w:t>
      </w:r>
      <w:proofErr w:type="gramStart"/>
      <w:r w:rsidRPr="00B04477">
        <w:rPr>
          <w:szCs w:val="24"/>
        </w:rPr>
        <w:t>COM(2022</w:t>
      </w:r>
      <w:proofErr w:type="gramEnd"/>
      <w:r w:rsidRPr="00B04477">
        <w:rPr>
          <w:szCs w:val="24"/>
        </w:rPr>
        <w:t>)0223),</w:t>
      </w:r>
    </w:p>
    <w:p w14:paraId="004EA918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směrnici Evropského parlamentu a Rady (EU) 2017/1371 ze dne 5. července 2017 o boji vedeném trestněprávní cestou proti podvodům poškozujícím finanční zájmy Unie</w:t>
      </w:r>
      <w:r w:rsidRPr="00B04477">
        <w:rPr>
          <w:rStyle w:val="FootnoteReference"/>
          <w:szCs w:val="24"/>
        </w:rPr>
        <w:footnoteReference w:id="7"/>
      </w:r>
      <w:r w:rsidRPr="00B04477">
        <w:rPr>
          <w:szCs w:val="24"/>
        </w:rPr>
        <w:t xml:space="preserve"> (směrnice o ochraně finančních zájmů Unie),</w:t>
      </w:r>
    </w:p>
    <w:p w14:paraId="64B9B46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zprávu Komise Evropskému parlamentu a Radě ze dne 16. září 2022 nazvanou Druhá zpráva o provádění směrnice Evropského parlamentu a Rady (EU) 2017/1371 ze dne 5. července 2017 o boji vedeném trestněprávní cestou proti podvodům poškozujícím finanční zájmy Unie (</w:t>
      </w:r>
      <w:proofErr w:type="gramStart"/>
      <w:r w:rsidRPr="00B04477">
        <w:rPr>
          <w:szCs w:val="24"/>
        </w:rPr>
        <w:t>COM(2022</w:t>
      </w:r>
      <w:proofErr w:type="gramEnd"/>
      <w:r w:rsidRPr="00B04477">
        <w:rPr>
          <w:szCs w:val="24"/>
        </w:rPr>
        <w:t>)0466),</w:t>
      </w:r>
    </w:p>
    <w:p w14:paraId="434B44EE" w14:textId="77777777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b/>
          <w:i/>
          <w:szCs w:val="24"/>
        </w:rPr>
        <w:t>–</w:t>
      </w:r>
      <w:r w:rsidRPr="00B04477">
        <w:rPr>
          <w:b/>
          <w:i/>
          <w:szCs w:val="24"/>
        </w:rPr>
        <w:tab/>
      </w:r>
      <w:r w:rsidRPr="00B04477">
        <w:rPr>
          <w:szCs w:val="24"/>
        </w:rPr>
        <w:t>s ohledem na směrnici Evropského parlamentu a Rady (EU) 2019/1937 ze dne 23. října 2019 o ochraně osob, které oznamují porušení práva Unie</w:t>
      </w:r>
      <w:r w:rsidRPr="00B04477">
        <w:rPr>
          <w:rStyle w:val="FootnoteReference"/>
          <w:szCs w:val="24"/>
        </w:rPr>
        <w:footnoteReference w:id="8"/>
      </w:r>
      <w:r w:rsidRPr="00B04477">
        <w:rPr>
          <w:szCs w:val="24"/>
        </w:rPr>
        <w:t>,</w:t>
      </w:r>
    </w:p>
    <w:p w14:paraId="39A03DFF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sdělení Komise ze dne 13. července 2022 nazvané Zpráva o právním státu 2022 (</w:t>
      </w:r>
      <w:proofErr w:type="gramStart"/>
      <w:r w:rsidRPr="00B04477">
        <w:rPr>
          <w:szCs w:val="24"/>
        </w:rPr>
        <w:t>COM(2022</w:t>
      </w:r>
      <w:proofErr w:type="gramEnd"/>
      <w:r w:rsidRPr="00B04477">
        <w:rPr>
          <w:szCs w:val="24"/>
        </w:rPr>
        <w:t>)0500),</w:t>
      </w:r>
    </w:p>
    <w:p w14:paraId="537729D1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ohledem na studii nazvanou Posílení boje proti organizované trestné činnosti: hodnocení legislativního rámce, zveřejněnou v prosinci 2022</w:t>
      </w:r>
      <w:r w:rsidRPr="00B04477">
        <w:rPr>
          <w:rStyle w:val="FootnoteReference"/>
          <w:szCs w:val="24"/>
        </w:rPr>
        <w:footnoteReference w:id="9"/>
      </w:r>
      <w:r w:rsidRPr="00B04477">
        <w:rPr>
          <w:szCs w:val="24"/>
        </w:rPr>
        <w:t>,</w:t>
      </w:r>
    </w:p>
    <w:p w14:paraId="1D8C0A06" w14:textId="719FF9C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 xml:space="preserve">s ohledem na zprávu nazvanou Posouzení hrozeb pro fond </w:t>
      </w:r>
      <w:proofErr w:type="spellStart"/>
      <w:r w:rsidRPr="00B04477">
        <w:rPr>
          <w:szCs w:val="24"/>
        </w:rPr>
        <w:t>NextGenerationEU</w:t>
      </w:r>
      <w:proofErr w:type="spellEnd"/>
      <w:r w:rsidRPr="00B04477">
        <w:rPr>
          <w:szCs w:val="24"/>
        </w:rPr>
        <w:t xml:space="preserve"> – Společná zpráva </w:t>
      </w:r>
      <w:proofErr w:type="spellStart"/>
      <w:r w:rsidRPr="00B04477">
        <w:rPr>
          <w:szCs w:val="24"/>
        </w:rPr>
        <w:t>Europolu</w:t>
      </w:r>
      <w:proofErr w:type="spellEnd"/>
      <w:r w:rsidRPr="00B04477">
        <w:rPr>
          <w:szCs w:val="24"/>
        </w:rPr>
        <w:t xml:space="preserve"> a úřadu OLAF, která byla zveřejněna dne 6. června 2023,</w:t>
      </w:r>
    </w:p>
    <w:p w14:paraId="20694C84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závěrečnou zprávu evropské veřejné ochránkyně práv o strategické iniciativě týkající se transparentnosti a odpovědnosti Nástroje pro oživení a odolnost ze dne 12. září 2023 v souvislosti s případem SI/6/2021/PVV, který byl zahájen dne 24. února 2022,</w:t>
      </w:r>
    </w:p>
    <w:p w14:paraId="02A9309C" w14:textId="213E4A15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b/>
          <w:i/>
          <w:szCs w:val="24"/>
        </w:rPr>
        <w:lastRenderedPageBreak/>
        <w:t>–</w:t>
      </w:r>
      <w:r w:rsidRPr="00B04477">
        <w:rPr>
          <w:b/>
          <w:i/>
          <w:szCs w:val="24"/>
        </w:rPr>
        <w:tab/>
      </w:r>
      <w:r w:rsidRPr="00B04477">
        <w:rPr>
          <w:szCs w:val="24"/>
        </w:rPr>
        <w:t>s ohledem na výroční zprávu o činnosti Evropského účetního dvora (</w:t>
      </w:r>
      <w:r w:rsidR="00775EF4">
        <w:rPr>
          <w:szCs w:val="24"/>
        </w:rPr>
        <w:t>dále jen „Účetní dvůr“</w:t>
      </w:r>
      <w:r w:rsidRPr="00B04477">
        <w:rPr>
          <w:szCs w:val="24"/>
        </w:rPr>
        <w:t>) za rok 2022 zveřejněnou dne 4. května 2023,</w:t>
      </w:r>
    </w:p>
    <w:p w14:paraId="2FBA7D2E" w14:textId="5DA0A4A4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přezkum Ú</w:t>
      </w:r>
      <w:r w:rsidR="001E36F6">
        <w:rPr>
          <w:szCs w:val="24"/>
        </w:rPr>
        <w:t>četního dvora</w:t>
      </w:r>
      <w:r w:rsidRPr="00B04477">
        <w:rPr>
          <w:szCs w:val="24"/>
        </w:rPr>
        <w:t xml:space="preserve"> </w:t>
      </w:r>
      <w:r w:rsidR="00327DB7">
        <w:rPr>
          <w:szCs w:val="24"/>
        </w:rPr>
        <w:t xml:space="preserve">č. </w:t>
      </w:r>
      <w:r w:rsidRPr="00B04477">
        <w:rPr>
          <w:szCs w:val="24"/>
        </w:rPr>
        <w:t>04/2023 ze dne 6. července 2023 nazvaný Digitalizace hospodaření s fondy EU,</w:t>
      </w:r>
    </w:p>
    <w:p w14:paraId="20612382" w14:textId="317102CE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zvláštní zprávu Ú</w:t>
      </w:r>
      <w:r w:rsidR="001E36F6">
        <w:rPr>
          <w:szCs w:val="24"/>
        </w:rPr>
        <w:t>četního dvora</w:t>
      </w:r>
      <w:r w:rsidR="00327DB7">
        <w:rPr>
          <w:szCs w:val="24"/>
        </w:rPr>
        <w:t xml:space="preserve"> č.</w:t>
      </w:r>
      <w:r w:rsidR="00A63D00">
        <w:rPr>
          <w:szCs w:val="24"/>
        </w:rPr>
        <w:t xml:space="preserve"> </w:t>
      </w:r>
      <w:r w:rsidRPr="00B04477">
        <w:rPr>
          <w:szCs w:val="24"/>
        </w:rPr>
        <w:t>06/2023 ze dne 13. března 2023 nazvanou Střet zájmů ve výdajích EU na soudržnost a zemědělství – Rámec je zaveden, ale opatření v oblasti transparentnosti a odhalování nesrovnalostí jsou nedostatečná,</w:t>
      </w:r>
    </w:p>
    <w:p w14:paraId="499BFBE1" w14:textId="51BEB560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nařízení Evrop</w:t>
      </w:r>
      <w:r w:rsidR="00807A43">
        <w:rPr>
          <w:szCs w:val="24"/>
        </w:rPr>
        <w:t xml:space="preserve">ského parlamentu a Rady (EU) </w:t>
      </w:r>
      <w:r w:rsidRPr="00B04477">
        <w:rPr>
          <w:szCs w:val="24"/>
        </w:rPr>
        <w:t>2021/785 ze dne 29. dubna 2021, kterým se zavádí Program Unie pro boj proti podvodům a zrušuje nařízení (EU) č. 250/2014</w:t>
      </w:r>
      <w:r w:rsidRPr="00B04477">
        <w:rPr>
          <w:rStyle w:val="FootnoteReference"/>
          <w:szCs w:val="24"/>
        </w:rPr>
        <w:footnoteReference w:id="10"/>
      </w:r>
      <w:r w:rsidRPr="00B04477">
        <w:rPr>
          <w:szCs w:val="24"/>
        </w:rPr>
        <w:t>,</w:t>
      </w:r>
    </w:p>
    <w:p w14:paraId="001AD5C9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své usnesení ze dne 23. listopadu 2021 obsahující doporučení Komisi k digitalizaci evropského podávání zpráv, monitorování a auditu</w:t>
      </w:r>
      <w:r w:rsidRPr="00B04477">
        <w:rPr>
          <w:rStyle w:val="FootnoteReference"/>
          <w:szCs w:val="24"/>
        </w:rPr>
        <w:footnoteReference w:id="11"/>
      </w:r>
      <w:r w:rsidRPr="00B04477">
        <w:rPr>
          <w:szCs w:val="24"/>
        </w:rPr>
        <w:t>,</w:t>
      </w:r>
    </w:p>
    <w:p w14:paraId="20883AD7" w14:textId="77777777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b/>
          <w:i/>
          <w:szCs w:val="24"/>
        </w:rPr>
        <w:t>–</w:t>
      </w:r>
      <w:r w:rsidRPr="00B04477">
        <w:rPr>
          <w:b/>
          <w:i/>
          <w:szCs w:val="24"/>
        </w:rPr>
        <w:tab/>
      </w:r>
      <w:r w:rsidRPr="00B04477">
        <w:rPr>
          <w:szCs w:val="24"/>
        </w:rPr>
        <w:t>s ohledem na sdělení Komise ze dne 14. prosince 2020 o přezkumu Evropské unie v rámci mechanismu pro přezkum provádění Úmluvy Organizace spojených národů proti korupci (UNCAC) (</w:t>
      </w:r>
      <w:proofErr w:type="gramStart"/>
      <w:r w:rsidRPr="00B04477">
        <w:rPr>
          <w:szCs w:val="24"/>
        </w:rPr>
        <w:t>COM(2020</w:t>
      </w:r>
      <w:proofErr w:type="gramEnd"/>
      <w:r w:rsidRPr="00B04477">
        <w:rPr>
          <w:szCs w:val="24"/>
        </w:rPr>
        <w:t>)0793),</w:t>
      </w:r>
    </w:p>
    <w:p w14:paraId="2546142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b/>
          <w:i/>
          <w:szCs w:val="24"/>
        </w:rPr>
        <w:t>–</w:t>
      </w:r>
      <w:r w:rsidRPr="00B04477">
        <w:rPr>
          <w:b/>
          <w:i/>
          <w:szCs w:val="24"/>
        </w:rPr>
        <w:tab/>
      </w:r>
      <w:r w:rsidRPr="00B04477">
        <w:rPr>
          <w:szCs w:val="24"/>
        </w:rPr>
        <w:t>s ohledem na své doporučení Radě a místopředsedovi Komise, vysokému představiteli Unie pro zahraniční věci a bezpečnostní politiku ze dne 17. února 2022 týkající se korupce a lidských práv</w:t>
      </w:r>
      <w:r w:rsidRPr="00B04477">
        <w:rPr>
          <w:rStyle w:val="FootnoteReference"/>
          <w:szCs w:val="24"/>
        </w:rPr>
        <w:footnoteReference w:id="12"/>
      </w:r>
      <w:r w:rsidRPr="00B04477">
        <w:rPr>
          <w:szCs w:val="24"/>
        </w:rPr>
        <w:t>,</w:t>
      </w:r>
    </w:p>
    <w:p w14:paraId="0C7F564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 ohledem na své usnesení ze dne 19. ledna 2023 o ochraně finančních zájmů Evropské unie – boj proti podvodům – výroční zprávě za rok 2021</w:t>
      </w:r>
      <w:r w:rsidRPr="00B04477">
        <w:rPr>
          <w:rStyle w:val="FootnoteReference"/>
          <w:szCs w:val="24"/>
        </w:rPr>
        <w:footnoteReference w:id="13"/>
      </w:r>
      <w:r w:rsidRPr="00B04477">
        <w:rPr>
          <w:szCs w:val="24"/>
        </w:rPr>
        <w:t>,</w:t>
      </w:r>
    </w:p>
    <w:p w14:paraId="0C1D1020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článek 54 jednacího řádu,</w:t>
      </w:r>
    </w:p>
    <w:p w14:paraId="52004F8D" w14:textId="597CAD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–</w:t>
      </w:r>
      <w:r w:rsidRPr="00B04477">
        <w:rPr>
          <w:szCs w:val="24"/>
        </w:rPr>
        <w:tab/>
        <w:t>s ohledem na zprávu Výboru pro rozpočtovou kontrolu (A9-0434/202</w:t>
      </w:r>
      <w:r w:rsidR="00D241B9">
        <w:rPr>
          <w:szCs w:val="24"/>
        </w:rPr>
        <w:t>3</w:t>
      </w:r>
      <w:r w:rsidRPr="00B04477">
        <w:rPr>
          <w:szCs w:val="24"/>
        </w:rPr>
        <w:t>),</w:t>
      </w:r>
    </w:p>
    <w:p w14:paraId="70F8A957" w14:textId="1F179A94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A.</w:t>
      </w:r>
      <w:r w:rsidRPr="00B04477">
        <w:rPr>
          <w:szCs w:val="24"/>
        </w:rPr>
        <w:tab/>
        <w:t>vzhledem k tomu, že v souladu s povinností stanovenou v čl. 325 odst. 5 S</w:t>
      </w:r>
      <w:r w:rsidR="00F64164">
        <w:rPr>
          <w:szCs w:val="24"/>
        </w:rPr>
        <w:t xml:space="preserve">mlouvy o fungování </w:t>
      </w:r>
      <w:r w:rsidRPr="00B04477">
        <w:rPr>
          <w:szCs w:val="24"/>
        </w:rPr>
        <w:t>EU Komise ve spolupráci s členskými státy EU každoročně předkládá Evropskému parlamentu a Radě zprávu o opatřeních přijatých k provádění tohoto článku (tzv. zpráva o ochraně finančních zájmů Evropské unie);</w:t>
      </w:r>
    </w:p>
    <w:p w14:paraId="0E8555A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B.</w:t>
      </w:r>
      <w:r w:rsidRPr="00B04477">
        <w:rPr>
          <w:szCs w:val="24"/>
        </w:rPr>
        <w:tab/>
        <w:t>vzhledem k tomu, že zdravé veřejné výdaje a ochrana finančních zájmů EU by měly být klíčovými prvky politiky EU, aby se zvýšila důvěra občanů tím, že se zajistí řádné a účinné využívání peněz daňových poplatníků;</w:t>
      </w:r>
    </w:p>
    <w:p w14:paraId="2C32F867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C.</w:t>
      </w:r>
      <w:r w:rsidRPr="00B04477">
        <w:rPr>
          <w:szCs w:val="24"/>
        </w:rPr>
        <w:tab/>
        <w:t>vzhledem k tomu, že zpráva o ochraně finančních zájmů Evropské unie vychází z informací poskytnutých členskými státy, včetně údajů o zjištěných nesrovnalostech a podvodech; vzhledem k tomu, že zpráva o ochraně finančních zájmů musí zohledňovat finanční specifika každého členského státu a poskytovat v tomto ohledu nezbytnou flexibilitu;</w:t>
      </w:r>
    </w:p>
    <w:p w14:paraId="3A704502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lastRenderedPageBreak/>
        <w:t>D.</w:t>
      </w:r>
      <w:r w:rsidRPr="00B04477">
        <w:rPr>
          <w:szCs w:val="24"/>
        </w:rPr>
        <w:tab/>
        <w:t>vzhledem k tomu, že počet odhalených a nahlášených nesrovnalostí podvodného charakteru svědčí o výsledcích úsilí členských států v boji proti podvodům a jiné nezákonné činnosti a neměl by být vykládán jako ukazatel míry podvodů v členských státech;</w:t>
      </w:r>
    </w:p>
    <w:p w14:paraId="00144369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E.</w:t>
      </w:r>
      <w:r w:rsidRPr="00B04477">
        <w:rPr>
          <w:szCs w:val="24"/>
        </w:rPr>
        <w:tab/>
        <w:t>vzhledem k tomu, že se všemi členskými státy by se mělo zacházet správným a objektivním způsobem;</w:t>
      </w:r>
    </w:p>
    <w:p w14:paraId="246AB2EB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F.</w:t>
      </w:r>
      <w:r w:rsidRPr="00B04477">
        <w:rPr>
          <w:szCs w:val="24"/>
        </w:rPr>
        <w:tab/>
        <w:t>vzhledem k tomu, že na ochraně rozpočtu EU se podílejí různé úrovně a subjekty prostřednictvím prevence (přerušení a pozastavení plateb), odhalování, finančních oprav a vymáhání neoprávněně vyplacených prostředků;</w:t>
      </w:r>
    </w:p>
    <w:p w14:paraId="2C5E957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G.</w:t>
      </w:r>
      <w:r w:rsidRPr="00B04477">
        <w:rPr>
          <w:szCs w:val="24"/>
        </w:rPr>
        <w:tab/>
        <w:t>vzhledem k tomu, že systém včasného odhalování rizik a vylučování hospodářských subjektů chrání rozpočet EU před riziky platební neschopnosti, nedbalosti, podvodu nebo nesrovnalostí ze strany soukromých subjektů;</w:t>
      </w:r>
    </w:p>
    <w:p w14:paraId="4398271B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H.</w:t>
      </w:r>
      <w:r w:rsidRPr="00B04477">
        <w:rPr>
          <w:szCs w:val="24"/>
        </w:rPr>
        <w:tab/>
        <w:t>vzhledem k tomu, že mechanismus podmíněnosti právního státu se uplatňuje na celý rozpočet EU a umožňuje v případě porušení zásad právního státu, které ovlivňuje nebo vážně ohrožuje řádné finanční řízení rozpočtu EU nebo finanční zájmy EU, přijmout opatření;</w:t>
      </w:r>
    </w:p>
    <w:p w14:paraId="3F2117D7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I.</w:t>
      </w:r>
      <w:r w:rsidRPr="00B04477">
        <w:rPr>
          <w:szCs w:val="24"/>
        </w:rPr>
        <w:tab/>
        <w:t>vzhledem k tomu, že předpokladem pro přístup k finančním prostředkům EU je dodržování hodnot, na nichž je Unie založena, a základních práv, jakož i dodržování Listiny základních práv Evropské unie;</w:t>
      </w:r>
    </w:p>
    <w:p w14:paraId="739C758F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J.</w:t>
      </w:r>
      <w:r w:rsidRPr="00B04477">
        <w:rPr>
          <w:szCs w:val="24"/>
        </w:rPr>
        <w:tab/>
        <w:t>vzhledem k tomu, že podvody a korupce představují stálé nebezpečí pro integritu přijímání rozhodnutí;</w:t>
      </w:r>
    </w:p>
    <w:p w14:paraId="5456E2B6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K.</w:t>
      </w:r>
      <w:r w:rsidRPr="00B04477">
        <w:rPr>
          <w:szCs w:val="24"/>
        </w:rPr>
        <w:tab/>
        <w:t>vzhledem k tomu, že článek 22 nařízení Evropského parlamentu a Rady (EU) 2021/241 ze dne 12. února 2021, kterým se zřizuje Nástroj pro oživení a odolnost</w:t>
      </w:r>
      <w:r w:rsidRPr="00B04477">
        <w:rPr>
          <w:rStyle w:val="FootnoteReference"/>
          <w:szCs w:val="24"/>
        </w:rPr>
        <w:footnoteReference w:id="14"/>
      </w:r>
      <w:r w:rsidRPr="00B04477">
        <w:rPr>
          <w:szCs w:val="24"/>
        </w:rPr>
        <w:t xml:space="preserve"> (nařízení o Nástroji pro oživení a odolnost), obsahuje ustanovení týkající se ochrany finančních zájmů EU;</w:t>
      </w:r>
    </w:p>
    <w:p w14:paraId="24445263" w14:textId="77777777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szCs w:val="24"/>
        </w:rPr>
        <w:t>L.</w:t>
      </w:r>
      <w:r w:rsidRPr="00B04477">
        <w:rPr>
          <w:szCs w:val="24"/>
        </w:rPr>
        <w:tab/>
        <w:t xml:space="preserve">vzhledem k tomu, že rozdílnou úroveň digitalizace v členských státech je třeba řešit vytvořením jednotnějších, interoperabilních a srovnatelných systémů správy a podávání zpráv v EU, které jsou funkční a nezbytné pro důkladnou komplexní analýzu a pro účinné předcházení nesrovnalostem a potírání podvodů a korupce; vzhledem k tomu, že členské státy musí být vybízeny k tomu, aby souběžně využívaly </w:t>
      </w:r>
      <w:proofErr w:type="spellStart"/>
      <w:r w:rsidRPr="00B04477">
        <w:rPr>
          <w:szCs w:val="24"/>
        </w:rPr>
        <w:t>celounijní</w:t>
      </w:r>
      <w:proofErr w:type="spellEnd"/>
      <w:r w:rsidRPr="00B04477">
        <w:rPr>
          <w:szCs w:val="24"/>
        </w:rPr>
        <w:t xml:space="preserve"> nástroje pro vytěžování dat, jako je </w:t>
      </w:r>
      <w:proofErr w:type="spellStart"/>
      <w:r w:rsidRPr="00B04477">
        <w:rPr>
          <w:szCs w:val="24"/>
        </w:rPr>
        <w:t>Arachne</w:t>
      </w:r>
      <w:proofErr w:type="spellEnd"/>
      <w:r w:rsidRPr="00B04477">
        <w:rPr>
          <w:szCs w:val="24"/>
        </w:rPr>
        <w:t xml:space="preserve"> nebo systém včasného odhalování rizik a vylučování hospodářských subjektů (EDES);</w:t>
      </w:r>
    </w:p>
    <w:p w14:paraId="6C195383" w14:textId="77777777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szCs w:val="24"/>
        </w:rPr>
        <w:t>M.</w:t>
      </w:r>
      <w:r w:rsidRPr="00B04477">
        <w:rPr>
          <w:szCs w:val="24"/>
        </w:rPr>
        <w:tab/>
        <w:t xml:space="preserve">vzhledem k tomu, že </w:t>
      </w:r>
      <w:proofErr w:type="spellStart"/>
      <w:r w:rsidRPr="00B04477">
        <w:rPr>
          <w:szCs w:val="24"/>
        </w:rPr>
        <w:t>Arachne</w:t>
      </w:r>
      <w:proofErr w:type="spellEnd"/>
      <w:r w:rsidRPr="00B04477">
        <w:rPr>
          <w:szCs w:val="24"/>
        </w:rPr>
        <w:t xml:space="preserve"> je dobrovolný nástroj a že ačkoli je již ve velké míře využíván v rámci politiky soudržnosti a je zaváděn pro zemědělské výdaje, pokud by byl povinný, jak opakovaně požadoval Parlament, bylo by to významným krokem vpřed;</w:t>
      </w:r>
    </w:p>
    <w:p w14:paraId="22A5C798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N.</w:t>
      </w:r>
      <w:r w:rsidRPr="00B04477">
        <w:rPr>
          <w:szCs w:val="24"/>
        </w:rPr>
        <w:tab/>
        <w:t xml:space="preserve">vzhledem k tomu, že rozmanitost právních a správních systémů v členských státech je nevýhodou, a vzhledem k tomu, že je třeba ji odpovídajícím způsobem řešit, aby bylo možné v EU vytvořit jednotnější, interoperabilní a srovnatelnější administrativní </w:t>
      </w:r>
      <w:r w:rsidRPr="00B04477">
        <w:rPr>
          <w:szCs w:val="24"/>
        </w:rPr>
        <w:lastRenderedPageBreak/>
        <w:t>systémy a systémy podávání zpráv s cílem účinně předcházet podvodům a korupci a bojovat proti nim a rovněž odstraňovat nesrovnalosti;</w:t>
      </w:r>
    </w:p>
    <w:p w14:paraId="4CE6E790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O.</w:t>
      </w:r>
      <w:r w:rsidRPr="00B04477">
        <w:rPr>
          <w:szCs w:val="24"/>
        </w:rPr>
        <w:tab/>
        <w:t>vzhledem k tomu, že spolupráce s mezinárodními partnery a celosvětovými finančními institucemi má zásadní význam pro ochranu finančních prostředků EU vynaložených mimo Evropu a na příjmové straně rozpočtu EU;</w:t>
      </w:r>
    </w:p>
    <w:p w14:paraId="514E54E1" w14:textId="77777777" w:rsidR="001458BC" w:rsidRPr="00B04477" w:rsidRDefault="001458BC" w:rsidP="00B04477">
      <w:pPr>
        <w:pStyle w:val="Normal12a24b"/>
        <w:spacing w:before="0"/>
        <w:rPr>
          <w:szCs w:val="24"/>
        </w:rPr>
      </w:pPr>
      <w:r w:rsidRPr="00B04477">
        <w:rPr>
          <w:rStyle w:val="BoldItalic"/>
          <w:szCs w:val="24"/>
        </w:rPr>
        <w:t xml:space="preserve">Obecné připomínky </w:t>
      </w:r>
    </w:p>
    <w:p w14:paraId="451B2636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1.</w:t>
      </w:r>
      <w:r w:rsidRPr="00B04477">
        <w:rPr>
          <w:szCs w:val="24"/>
        </w:rPr>
        <w:tab/>
        <w:t>vítá zprávu o ochraně finančních zájmů Evropské unie za rok 2022 a analýzy v ní uvedené;</w:t>
      </w:r>
    </w:p>
    <w:p w14:paraId="3D95C3B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2.</w:t>
      </w:r>
      <w:r w:rsidRPr="00B04477">
        <w:rPr>
          <w:szCs w:val="24"/>
        </w:rPr>
        <w:tab/>
        <w:t>sdílí názor Komise, že prevence a odhalování podvodů a sledování mechanismů navracení zpronevěřených finančních prostředků se musí opírat o další digitalizaci a využívání špičkových technologií založených na strojovém učení, aby se zvýšila dostupnost, interoperabilita, využití a správa dat týkajících se potenciálních podvodů; poukazuje na to, že musí být zavedeno účinné řízení boje proti podvodům a účinné procesy zaměřené na výsledky, jakož i dostatečně vybavené struktury, které zajistí spolupráci a koordinaci mezi všemi složkami struktury boje proti podvodům a příslušnými aktéry; domnívá se, že za tímto účelem musí být úředníkům odpovědným za různé složky struktury boje proti podvodům poskytnuty nezbytné digitální a procesní znalosti;</w:t>
      </w:r>
    </w:p>
    <w:p w14:paraId="358295CE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3.</w:t>
      </w:r>
      <w:r w:rsidRPr="00B04477">
        <w:rPr>
          <w:szCs w:val="24"/>
        </w:rPr>
        <w:tab/>
        <w:t>připomíná, že pro zajištění vysoké úrovně ochrany finančních zájmů EU je nezbytná důsledná spolupráce mezi orgány provádějícími správní vyšetřování a orgány, které vedou trestní vyšetřování na úrovni EU i členských států;</w:t>
      </w:r>
    </w:p>
    <w:p w14:paraId="6DB9D481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4.</w:t>
      </w:r>
      <w:r w:rsidRPr="00B04477">
        <w:rPr>
          <w:szCs w:val="24"/>
        </w:rPr>
        <w:tab/>
        <w:t>oceňuje snahu Komise zveřejňovat výroční zprávy o ochraně finančních zájmů Evropské unie v předstihu, což Parlamentu umožňuje přijmout usnesení během roku n+1 a zvyšuje aktuálnost připomínek a doporučení v ní obsažených;</w:t>
      </w:r>
    </w:p>
    <w:p w14:paraId="0D1A3C72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5.</w:t>
      </w:r>
      <w:r w:rsidRPr="00B04477">
        <w:rPr>
          <w:szCs w:val="24"/>
        </w:rPr>
        <w:tab/>
        <w:t>oceňuje celkově lepší soudržnost právních předpisů v oblasti boje proti podvodům v celé EU, jež vzešla z opatření přijatých členskými státy za účelem správného provedení pravidel EU ve vnitrostátních systémech; vyjadřuje znepokojení nad tím, že v některých ohledech není situace stále zcela vyhovující, zejména pokud jde o odhalování podvodů a nesrovnalostí a hlášení podezření na ně či následná opatření, v nichž jsou rozdíly mezi členskými státy stále velmi výrazné;</w:t>
      </w:r>
    </w:p>
    <w:p w14:paraId="428DA45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6.</w:t>
      </w:r>
      <w:r w:rsidRPr="00B04477">
        <w:rPr>
          <w:szCs w:val="24"/>
        </w:rPr>
        <w:tab/>
        <w:t>zdůrazňuje, že prevence a komunikace jsou klíčové pro boj proti podvodům a korupci a že Komise by měla podporovat členské státy při provádění účinných opatření v těchto oblastech;</w:t>
      </w:r>
    </w:p>
    <w:p w14:paraId="4EE5E5DC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7.</w:t>
      </w:r>
      <w:r w:rsidRPr="00B04477">
        <w:rPr>
          <w:szCs w:val="24"/>
        </w:rPr>
        <w:tab/>
        <w:t>sdílí názor Komise, že je třeba posílit analýzu rizika podvodů, aby bylo možné posoudit, zda je hlášení nízké úrovně podvodů důsledkem skutečně nízkého výskytu pochybení, nebo důsledkem nedostatečného odhalování;</w:t>
      </w:r>
    </w:p>
    <w:p w14:paraId="64AFFD5D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8.</w:t>
      </w:r>
      <w:r w:rsidRPr="00B04477">
        <w:rPr>
          <w:szCs w:val="24"/>
        </w:rPr>
        <w:tab/>
        <w:t xml:space="preserve">vyjadřuje politování nad skutečností, že v mnoha členských státech se vnitrostátní orgány neřídí vždy doporučeními Komise a úřadu OLAF, nepodávají vyčerpávající zprávy nebo včas nepřijímají uznané osvědčené postupy; poukazuje na to, že v mnoha členských státech je procento nesrovnalostí, které jsou i po mnoha letech od původního nahlášení stále klasifikovány jako podezření na podvod, velmi vysoké, což platí dokonce i pro případy, které byly označeny za uzavřené; je přesvědčen, že takové </w:t>
      </w:r>
      <w:r w:rsidRPr="00B04477">
        <w:rPr>
          <w:szCs w:val="24"/>
        </w:rPr>
        <w:lastRenderedPageBreak/>
        <w:t>situace svědčí o nedostatečných následných opatřeních, nedostatku pracovníků či nedostatečně vyškolených lidských zdrojích, nedostatcích v komunikaci nebo neúčinných kanálech pro podávání zpráv, slabé spolupráci a koordinaci, nebo dokonce o neodůvodněném odkládání rekvalifikace nesrovnalostí jako podvodů za účelem úpravy statistických zpráv;</w:t>
      </w:r>
    </w:p>
    <w:p w14:paraId="4E97CDD3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9.</w:t>
      </w:r>
      <w:r w:rsidRPr="00B04477">
        <w:rPr>
          <w:szCs w:val="24"/>
        </w:rPr>
        <w:tab/>
        <w:t>zdůrazňuje, že v takových případech by Komise měla podporovat členské státy při odstraňování byrokracie spojené s odhalováním podvodů, následnými opatřeními a podáváním zpráv;</w:t>
      </w:r>
    </w:p>
    <w:p w14:paraId="30BFE6D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10.</w:t>
      </w:r>
      <w:r w:rsidRPr="00B04477">
        <w:rPr>
          <w:szCs w:val="24"/>
        </w:rPr>
        <w:tab/>
        <w:t>navrhuje, aby orgány EU i vnitrostátní orgány posílily spolupráci a podporovaly větší využívání digitálních nástrojů v boji proti podvodům;</w:t>
      </w:r>
    </w:p>
    <w:p w14:paraId="4D0812CF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11.</w:t>
      </w:r>
      <w:r w:rsidRPr="00B04477">
        <w:rPr>
          <w:szCs w:val="24"/>
        </w:rPr>
        <w:tab/>
        <w:t>konstatuje, že v roce 2022 došlo v porovnání s rokem 2021 k mírnému nárůstu počtu případů podvodů a nesrovnalostí nahlášených příslušnými orgány EU a vnitrostátními orgány – celkem 12 455; konstatuje, že financování související s těmito případy se v roce 2022 snížilo na 1,77 miliardy EUR (z 2,05 miliardy EUR v roce 2021); domnívá se, že tato čísla jsou stále extrémně vysoká a pro rozpočet EU představují významnou ztrátu;</w:t>
      </w:r>
    </w:p>
    <w:p w14:paraId="49C67254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12.</w:t>
      </w:r>
      <w:r w:rsidRPr="00B04477">
        <w:rPr>
          <w:szCs w:val="24"/>
        </w:rPr>
        <w:tab/>
        <w:t>je si vědom toho, že meziroční srovnání hlášení nesrovnalostí neposkytuje vždy spolehlivou analýzu trendů a vzorců z důvodu víceletého cyklu provádění řady programů; domnívá se, že pro zjišťování situace v reálném čase je vhodnější srovnání s pětiletým průměrem; v této souvislosti oceňuje, že ve zprávě o ochraně finančních zájmů Evropské unie za rok 2022 se často odkazuje na výsledky z období 2018–2021;</w:t>
      </w:r>
    </w:p>
    <w:p w14:paraId="5D1CE644" w14:textId="77777777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szCs w:val="24"/>
        </w:rPr>
        <w:t>13.</w:t>
      </w:r>
      <w:r w:rsidRPr="00B04477">
        <w:rPr>
          <w:szCs w:val="24"/>
        </w:rPr>
        <w:tab/>
        <w:t>je přesvědčen, že zapojení občanské společnosti do boje proti podvodům je klíčové k posílení prevence a odhalování těchto podvodů, což předpokládá podporu investigativní žurnalistiky, jejíž úsilí může být úspěšné jen za předpokladu, že bude mít jednoduchý a přiměřený přístup k informacím o projektech, příjemcích a platbách; zdůrazňuje především významnou roli sdělovacích prostředků a investigativních novinářů v boji proti korupci; opakuje, že zvýšené a jednotné úrovně ochrany novinářů a oznamovatelů v celé Unii pomáhají bojovat proti šíření subkultury beztrestnosti, mlčení a spiklenectví; konstatuje, že s ohledem na pluralitu a svobodu sdělovacích prostředků vyplývá z nejnovějších výsledků nástroje pro sledování plurality sdělovacích prostředků (MPM 2022), že ukazatel týkající se ochrany novinářů zaznamenal mírné zhoršení a že riziko koncentrace zpravodajských médií je na celém kontinentu na velmi vysoké úrovni; zastává názor, že ochrana sdělovacích prostředků před politickým tlakem a vlivem a zaručení práva na přístup k informacím, kterými disponují veřejné orgány, jsou zásadní pro ochranu nezávislosti sdělovacích prostředků a jejich úlohy strážce demokracie a řádné správy zdrojů;</w:t>
      </w:r>
    </w:p>
    <w:p w14:paraId="38BAB22B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14.</w:t>
      </w:r>
      <w:r w:rsidRPr="00B04477">
        <w:rPr>
          <w:szCs w:val="24"/>
        </w:rPr>
        <w:tab/>
        <w:t xml:space="preserve">vítá společné sdělení Komise a vysokého představitele Unie pro zahraniční věci a bezpečnostní politiku ze dne 3. května 2023 o boji proti korupci (JOIN(2023)0012), v němž se uznává závažnost korupce, neboť snižuje účinnost veřejných výdajů, efektivnost jednotného trhu a udržitelnost hospodářského růstu; zdůrazňuje, že boj proti korupci je jedním z nejdůležitějších závazků Unie, stejně jako transparentnost a integrita; zdůrazňuje, že fenomén nepotismu, pokud jde o státem vlastněné subjekty a zadávání veřejných zakázek zahrnující finanční prostředky EU, představuje rovněž </w:t>
      </w:r>
      <w:r w:rsidRPr="00B04477">
        <w:rPr>
          <w:szCs w:val="24"/>
        </w:rPr>
        <w:lastRenderedPageBreak/>
        <w:t>velké riziko pro řádné řízení a finanční zájmy EU; vítá proto nový návrh směrnice o boji proti korupci</w:t>
      </w:r>
      <w:r w:rsidRPr="00B04477">
        <w:rPr>
          <w:rStyle w:val="FootnoteReference"/>
          <w:szCs w:val="24"/>
        </w:rPr>
        <w:footnoteReference w:id="15"/>
      </w:r>
      <w:r w:rsidRPr="00B04477">
        <w:rPr>
          <w:szCs w:val="24"/>
        </w:rPr>
        <w:t>;</w:t>
      </w:r>
    </w:p>
    <w:p w14:paraId="6D51F1F0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15.</w:t>
      </w:r>
      <w:r w:rsidRPr="00B04477">
        <w:rPr>
          <w:szCs w:val="24"/>
        </w:rPr>
        <w:tab/>
        <w:t>je znepokojen skutečností, že je obtížné přesně odhadnout, do jaké míry organizovaná trestná činnost nezákonně využívá finanční prostředky EU; zastává názor, že je zapotřebí zavést společný přístup k posuzování dopadu organizované trestné činnosti na finanční prostředky EU a k hodnocení účinnosti opatření přijatých k řešení tohoto problému ve všech členských státech; vyzývá Komisi, aby urychleně zahájila všechny nezbytné kroky k dosažení této harmonizace;</w:t>
      </w:r>
    </w:p>
    <w:p w14:paraId="7BBB679D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16.</w:t>
      </w:r>
      <w:r w:rsidRPr="00B04477">
        <w:rPr>
          <w:szCs w:val="24"/>
        </w:rPr>
        <w:tab/>
        <w:t>zdůrazňuje význam posouzení dopadů, které vyhodnotí hospodářský a sociální dopad podvodů na finanční zájmy EU a její občany; žádá, aby byla provedena analýza poměru mezi zdroji vyčleněnými na předcházení podvodům a potenciálními ztrátami, jimž bylo zabráněno;</w:t>
      </w:r>
    </w:p>
    <w:p w14:paraId="5F82F3BC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17.</w:t>
      </w:r>
      <w:r w:rsidRPr="00B04477">
        <w:rPr>
          <w:szCs w:val="24"/>
        </w:rPr>
        <w:tab/>
        <w:t>trvá na tom, že nedostatečně účinné provedení ve vnitrostátním právu v mnoha členských státech a nedostatečná harmonizace vnitrostátních právních předpisů poskytují organizované trestné činnosti příležitost k řadě nezákonných přeshraničních činností v oblastech, které se dotýkají finančních zájmů Unie; znovu proto připomíná své předchozí výzvy k revizi rámcového rozhodnutí Rady 2008/841/SVV o boji proti organizované trestné činnosti</w:t>
      </w:r>
      <w:r w:rsidRPr="00B04477">
        <w:rPr>
          <w:rStyle w:val="FootnoteReference"/>
          <w:szCs w:val="24"/>
        </w:rPr>
        <w:footnoteReference w:id="16"/>
      </w:r>
      <w:r w:rsidRPr="00B04477">
        <w:rPr>
          <w:szCs w:val="24"/>
        </w:rPr>
        <w:t xml:space="preserve"> a k zavedení nové společné definice organizované trestné činnosti, která by zohledňovala zejména využívání korupce, násilí, vyhrožování nebo zastrašování s cílem získat kontrolu nad hospodářskou činností nebo zadáváním veřejných zakázek;</w:t>
      </w:r>
    </w:p>
    <w:p w14:paraId="3DCD5D52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18.</w:t>
      </w:r>
      <w:r w:rsidRPr="00B04477">
        <w:rPr>
          <w:szCs w:val="24"/>
        </w:rPr>
        <w:tab/>
        <w:t>upozorňuje, že cílem strategie EU pro boj proti organizované trestné činnosti na období 2021–2025</w:t>
      </w:r>
      <w:r w:rsidRPr="00B04477">
        <w:rPr>
          <w:rStyle w:val="FootnoteReference"/>
          <w:szCs w:val="24"/>
        </w:rPr>
        <w:footnoteReference w:id="17"/>
      </w:r>
      <w:r w:rsidRPr="00B04477">
        <w:rPr>
          <w:szCs w:val="24"/>
        </w:rPr>
        <w:t xml:space="preserve"> je stanovit nástroje a opatření k narušení obchodních modelů a struktur zločinných spolčení napříč hranicemi, a to jak online, tak </w:t>
      </w:r>
      <w:proofErr w:type="spellStart"/>
      <w:r w:rsidRPr="00B04477">
        <w:rPr>
          <w:szCs w:val="24"/>
        </w:rPr>
        <w:t>offline</w:t>
      </w:r>
      <w:proofErr w:type="spellEnd"/>
      <w:r w:rsidRPr="00B04477">
        <w:rPr>
          <w:szCs w:val="24"/>
        </w:rPr>
        <w:t>; vyzývá členské státy, aby přispěly k úsilí Komise a vytvořily sítě regionální spolupráce pro sdílení informací o případech a strategiích boje proti podvodům ze strany pachatelů organizované trestné činnosti; v této souvislosti připomíná význam navrhované nové směrnice o vymáhání a konfiskaci majetku</w:t>
      </w:r>
      <w:r w:rsidRPr="00B04477">
        <w:rPr>
          <w:rStyle w:val="FootnoteReference"/>
          <w:szCs w:val="24"/>
        </w:rPr>
        <w:footnoteReference w:id="18"/>
      </w:r>
      <w:r w:rsidRPr="00B04477">
        <w:rPr>
          <w:szCs w:val="24"/>
        </w:rPr>
        <w:t>, jejíž účinné provádění by orgánům poskytlo lepší nástroje, jak připravit skupiny organizované trestné činnosti o finanční prostředky k páchání další trestné činnosti; dále připomíná, že v boji proti přeshraniční organizované trestné činnosti je klíčová výměna osvědčených postupů a rozvoj společných a koordinovaných strategií;</w:t>
      </w:r>
    </w:p>
    <w:p w14:paraId="0A81ED75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19.</w:t>
      </w:r>
      <w:r w:rsidRPr="00B04477">
        <w:rPr>
          <w:szCs w:val="24"/>
        </w:rPr>
        <w:tab/>
        <w:t xml:space="preserve">poukazuje na to, že pokud jde o případy korupce, úřad EPPO na konci roku 2022 vykázal 87 vyšetřovaných trestných činů (ve srovnání se 40 případy vyšetřovanými během prvních sedmi měsíců operativní činnosti v roce 2021); připomíná, že v systému </w:t>
      </w:r>
      <w:r w:rsidRPr="00B04477">
        <w:rPr>
          <w:szCs w:val="24"/>
        </w:rPr>
        <w:lastRenderedPageBreak/>
        <w:t>pro řízení nesrovnalostí (IMS) bylo v letech 2018–2022 nahlášeno 30 případů z 10 členských států, z nichž 5 se týkalo zemědělství, 22 soudržnosti a 3 předvstupní pomoci, přičemž celkový finanční dopad se odhaduje na přibližně 50 milionů EUR;</w:t>
      </w:r>
    </w:p>
    <w:p w14:paraId="357F4CBD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20.</w:t>
      </w:r>
      <w:r w:rsidRPr="00B04477">
        <w:rPr>
          <w:szCs w:val="24"/>
        </w:rPr>
        <w:tab/>
        <w:t>opětovně zdůrazňuje, že korupce, zejména korupce na vysoké úrovni, včetně korupce v orgánech EU, je obzvláště závažným trestným činem, který může přesahovat hranice, mít dopad na finanční zájmy Unie a hospodářství EU jako celku a oslabovat důvěru občanů v demokratické instituce v EU a v členských státech; připomíná, že v orgánech EU musí být uplatňována politika nulové tolerance vůči korupci; podporuje začleňování protikorupčních opatření do tvorby politik EU;</w:t>
      </w:r>
    </w:p>
    <w:p w14:paraId="6FAFC114" w14:textId="6421D800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21.</w:t>
      </w:r>
      <w:r w:rsidRPr="00B04477">
        <w:rPr>
          <w:szCs w:val="24"/>
        </w:rPr>
        <w:tab/>
      </w:r>
      <w:r w:rsidR="000710AC" w:rsidRPr="00876E88">
        <w:t>bere na vědomí skutečnost</w:t>
      </w:r>
      <w:r w:rsidR="000710AC" w:rsidRPr="000710AC">
        <w:t xml:space="preserve">, že </w:t>
      </w:r>
      <w:r w:rsidR="000710AC" w:rsidRPr="00876E88">
        <w:t>úřad OLAF nemá v současné době za žádných okolností přístup do kanceláří, počítačů</w:t>
      </w:r>
      <w:r w:rsidR="000710AC" w:rsidRPr="000710AC">
        <w:t xml:space="preserve"> a </w:t>
      </w:r>
      <w:r w:rsidR="000710AC" w:rsidRPr="00876E88">
        <w:t>e-mailových schránek</w:t>
      </w:r>
      <w:r w:rsidR="000710AC" w:rsidRPr="000710AC">
        <w:t xml:space="preserve"> poslanců</w:t>
      </w:r>
      <w:r w:rsidR="000710AC" w:rsidRPr="00876E88">
        <w:t>, a to ani v případě, že vyšetřuje případy spojené s poslanci na základě důvodného podezření</w:t>
      </w:r>
      <w:r w:rsidR="000710AC" w:rsidRPr="000710AC">
        <w:t>;</w:t>
      </w:r>
      <w:r w:rsidR="000710AC" w:rsidRPr="00876E88">
        <w:t xml:space="preserve"> zdůrazňuje, že je třeba mít odpovídající postup pro udělení přístupu</w:t>
      </w:r>
      <w:r w:rsidR="000710AC" w:rsidRPr="000710AC">
        <w:t xml:space="preserve"> úřadu OLAF </w:t>
      </w:r>
      <w:r w:rsidR="000710AC" w:rsidRPr="00876E88">
        <w:t>v případě důvodných podezření vůči jednotlivým poslancům; vyzývá předsednictvo, aby takový postup zavedlo</w:t>
      </w:r>
      <w:r w:rsidRPr="00B04477">
        <w:rPr>
          <w:szCs w:val="24"/>
        </w:rPr>
        <w:t>;</w:t>
      </w:r>
    </w:p>
    <w:p w14:paraId="448F14F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22.</w:t>
      </w:r>
      <w:r w:rsidRPr="00B04477">
        <w:rPr>
          <w:szCs w:val="24"/>
        </w:rPr>
        <w:tab/>
        <w:t xml:space="preserve">poukazuje na to, že Úřad evropského veřejného žalobce vede vyšetřování nákupu očkovacích látek proti </w:t>
      </w:r>
      <w:r w:rsidR="00863F1C">
        <w:rPr>
          <w:szCs w:val="24"/>
        </w:rPr>
        <w:t xml:space="preserve">onemocnění </w:t>
      </w:r>
      <w:r w:rsidRPr="00B04477">
        <w:rPr>
          <w:szCs w:val="24"/>
        </w:rPr>
        <w:t>COVID-19 Komisí;</w:t>
      </w:r>
    </w:p>
    <w:p w14:paraId="40248646" w14:textId="1AB96F8A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23.</w:t>
      </w:r>
      <w:r w:rsidRPr="00B04477">
        <w:rPr>
          <w:szCs w:val="24"/>
        </w:rPr>
        <w:tab/>
        <w:t>zdůrazňuje povinnost každého orgánu EU, členského státu a veřejného nebo soukromého příjemce finančních prostředků Unie zpřístupnit na oficiální žádost Ú</w:t>
      </w:r>
      <w:r w:rsidR="001E36F6">
        <w:rPr>
          <w:szCs w:val="24"/>
        </w:rPr>
        <w:t>četního dvora</w:t>
      </w:r>
      <w:r w:rsidRPr="00B04477">
        <w:rPr>
          <w:szCs w:val="24"/>
        </w:rPr>
        <w:t xml:space="preserve"> v rámci probíhajícího auditu všechny příslušné dokumenty, včetně informací o předběžných jednáních vedených Komisí; připomíná doporučení Parlamentu v usnesení o udělení absolutoria za rok 2020 (oddíl III – Komise)</w:t>
      </w:r>
      <w:r w:rsidRPr="00B04477">
        <w:rPr>
          <w:rStyle w:val="FootnoteReference"/>
          <w:szCs w:val="24"/>
        </w:rPr>
        <w:footnoteReference w:id="19"/>
      </w:r>
      <w:r w:rsidRPr="00B04477">
        <w:rPr>
          <w:szCs w:val="24"/>
        </w:rPr>
        <w:t xml:space="preserve"> týkající se přístupu k textovým zprávám vyměněným s farmaceutickou společností ohledně nákupu vakcíny proti onemocnění COVID-19;</w:t>
      </w:r>
    </w:p>
    <w:p w14:paraId="544001E5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24.</w:t>
      </w:r>
      <w:r w:rsidRPr="00B04477">
        <w:rPr>
          <w:szCs w:val="24"/>
        </w:rPr>
        <w:tab/>
        <w:t>zdůrazňuje, že v kontextu voleb do Evropského parlamentu musí být začleněna politika nulové tolerance vůči korupci, o níž by se mělo řádně informovat, aby se zvýšila volební účast a důvěra občanů ve veřejné instituce;</w:t>
      </w:r>
    </w:p>
    <w:p w14:paraId="36959F8F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25.</w:t>
      </w:r>
      <w:r w:rsidRPr="00B04477">
        <w:rPr>
          <w:szCs w:val="24"/>
        </w:rPr>
        <w:tab/>
        <w:t>vítá skutečnost, že Komise do své výroční zprávy o právním státu zařadila zvláštní oddíl věnovaný boji proti korupci s cílem poskytnout hloubkovou srovnávací analýzu přístupů, postupů a nástrojů, které členské státy používají v boji proti korupci, a s cílem pomoci určit, které oblasti jsou nejvíce ohroženy; žádá Komisi, aby do všech oddílů zprávy o právním státu zahrnula vždy doporučení a navazující připomínky pro členské státy; znovu opakuje, že je důležité plně se zabývat doporučeními pro jednotlivé země týkajícími se korupce; vyzývá členské státy, aby při vypracovávání svých protikorupčních politik zohlednily zjištění zprávy o právním státu; vyzývá Komisi, aby zasáhla a podpořila členské státy při řešení strukturálních problémů v oblasti protikorupční kapacity;</w:t>
      </w:r>
    </w:p>
    <w:p w14:paraId="251703F9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26.</w:t>
      </w:r>
      <w:r w:rsidRPr="00B04477">
        <w:rPr>
          <w:szCs w:val="24"/>
        </w:rPr>
        <w:tab/>
        <w:t xml:space="preserve">poukazuje na to, že průzkumy </w:t>
      </w:r>
      <w:proofErr w:type="spellStart"/>
      <w:r w:rsidRPr="00B04477">
        <w:rPr>
          <w:szCs w:val="24"/>
        </w:rPr>
        <w:t>Eurobarometr</w:t>
      </w:r>
      <w:proofErr w:type="spellEnd"/>
      <w:r w:rsidRPr="00B04477">
        <w:rPr>
          <w:szCs w:val="24"/>
        </w:rPr>
        <w:t xml:space="preserve"> z roku 2022 týkající se korupce ukazují, že korupce v EU je pro občany a podniky EU stále vážným problémem, přičemž velká část </w:t>
      </w:r>
      <w:r w:rsidRPr="00B04477">
        <w:rPr>
          <w:szCs w:val="24"/>
        </w:rPr>
        <w:lastRenderedPageBreak/>
        <w:t xml:space="preserve">evropských občanů se domnívá, že korupce je v jejich zemi rozšířená (68 %) a že míra korupce vzrostla (41 %); oceňuje, že téměř všechny členské státy v současné době zavedly protikorupční strategie, které jsou pravidelně vyhodnocovány a revidovány, a připomíná, že k vymýcení korupčních praktik je zapotřebí nejen pevný právní rámec, ale také účinné provádění, a že předcházení těmto praktikám vyžaduje rovněž transparentní a odpovědné rámce pro správu věcí veřejných a integritu; vítá v této souvislosti protikorupční návrhy předložené Komisí, které vycházejí z výzev Parlamentu </w:t>
      </w:r>
      <w:proofErr w:type="gramStart"/>
      <w:r w:rsidRPr="00B04477">
        <w:rPr>
          <w:szCs w:val="24"/>
        </w:rPr>
        <w:t>ke</w:t>
      </w:r>
      <w:proofErr w:type="gramEnd"/>
      <w:r w:rsidRPr="00B04477">
        <w:rPr>
          <w:szCs w:val="24"/>
        </w:rPr>
        <w:t xml:space="preserve"> zintenzivnění boje proti korupci; konstatuje, že Komise má v úmyslu začlenit prevenci korupce do návrhů politik a programů EU a aktivně podporovat úsilí členských států o zavedení silných protikorupčních politik a právních předpisů; oceňuje vůli řešit přeshraniční rozměr korupce kriminalizací trestných činů korupce a harmonizací sankcí v celé EU v souladu s návrhem vysokého představitele na zavedení zvláštního režimu sankcí v rámci společné zahraniční a bezpečnostní politiky, který by se zaměřoval na závažné korupční činy na celém světě;</w:t>
      </w:r>
    </w:p>
    <w:p w14:paraId="7F0024D2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27.</w:t>
      </w:r>
      <w:r w:rsidRPr="00B04477">
        <w:rPr>
          <w:szCs w:val="24"/>
        </w:rPr>
        <w:tab/>
        <w:t>zdůrazňuje, že korupce a praní špinavých peněz jsou neoddělitelně spjaty a že praní peněz je jedním z nejdůležitějších faktorů umožňujících nelegální organizovanou trestnou činnost, pomocí něhož pachatelé trestné činnosti převádějí své výnosy z trestné činnosti do legální ekonomiky, a je si vědom toho, že podvody na úkor rozpočtu EU mohou být rovněž predikativním trestným činem předcházejícím praní peněz; zdůrazňuje, že nadnárodní rozměr těchto trestných činů ztěžuje jejich prevenci, odhalování i potírání v důsledku různorodých právních systémů; vítá pokrok při zřizování nového Orgánu pro boj proti praní peněz v návaznosti na návrh Komise z července 2021, politickou dohodu dosaženou v Radě dne 29. června 2022, její postoj k posílenému souboru pravidel přijatému dne 7. prosince 2022 a mandát k zahájení trialogů udělený na plenárním zasedání Parlamentu dne 17. dubna 2023; vyjadřuje politování nad tím, že tento orgán nebude plně funkční do roku 2026;</w:t>
      </w:r>
    </w:p>
    <w:p w14:paraId="4391836D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28.</w:t>
      </w:r>
      <w:r w:rsidRPr="00B04477">
        <w:rPr>
          <w:szCs w:val="24"/>
        </w:rPr>
        <w:tab/>
        <w:t>konstatuje, že prostřednictvím systému IMS bylo v období 2018–2022 nahlášeno 375 případů souvisejících se střetem zájmů, jehož výskyt lze také odhalit v prostředí podobném tomu, v němž dochází ke korupčnímu jednání; poukazuje na to, že valná většina nahlášených případů střetu zájmů souvisí s prováděním politik soudržnosti (86 % ve srovnání s 9 % v případě zemědělství a 5 % v případě předvstupní politiky), což představuje celkovou částku téměř 117 milionů EUR za toto období; zdůrazňuje, že nahlášené střety zájmů se týkají především vztahů mezi příjemci finančních prostředků a jejich dodavateli a subdodavateli, zatímco pouze 7 % případů se týká střetů zájmů ve fázi zadávání a/nebo hodnocení projektů, tedy členů hodnotících komisí;</w:t>
      </w:r>
    </w:p>
    <w:p w14:paraId="406BBF3E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29.</w:t>
      </w:r>
      <w:r w:rsidRPr="00B04477">
        <w:rPr>
          <w:szCs w:val="24"/>
        </w:rPr>
        <w:tab/>
        <w:t>je přesvědčen, že by se mohlo jednat o jeden z ukazatelů příznivého dopadu a odrazujícího účinku změn finančních pravidel, které se vztahují na všechny vnitrostátní orgány, jež nakládají s finančními prostředky EU, spolu se skutečností, že jedna třetina případů byla odhalena prostřednictvím zdrojů mimo systém řízení a kontrolní systém, včetně oznamovatelů a investigativních novinářů, z čehož lze usuzovat na základní úroveň transparentnosti a přístupnosti a přispění občanské společnosti;</w:t>
      </w:r>
    </w:p>
    <w:p w14:paraId="5F1C554E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30.</w:t>
      </w:r>
      <w:r w:rsidRPr="00B04477">
        <w:rPr>
          <w:szCs w:val="24"/>
        </w:rPr>
        <w:tab/>
        <w:t xml:space="preserve">se znepokojením rovněž konstatuje, že celkový výskyt případů střetu zájmů je vyšší, než se uvádí v systému IMS, jak vyplývá z dodatečných informací, které obdrželo generální ředitelství Komise pro regionální a městskou politiku a GŘ pro zaměstnanost, sociální věci a sociální začleňování o případech střetu zájmů a souvisejících vymáhaných částkách při zadávání veřejných zakázek v rámci Evropského sociálního fondu, Fondu soudržnosti a Evropského fondu pro regionální rozvoj, a to přímo od </w:t>
      </w:r>
      <w:r w:rsidRPr="00B04477">
        <w:rPr>
          <w:szCs w:val="24"/>
        </w:rPr>
        <w:lastRenderedPageBreak/>
        <w:t>členských států prostřednictvím systému pro řízení fondů EU (známého jako SFC, který v období 2014–2020 vykázal 31 případů týkajících se 16 programů v 11 členských státech, jejichž finanční dopad se odhaduje na 3,4 milionu EUR);</w:t>
      </w:r>
    </w:p>
    <w:p w14:paraId="5D018852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31.</w:t>
      </w:r>
      <w:r w:rsidRPr="00B04477">
        <w:rPr>
          <w:szCs w:val="24"/>
        </w:rPr>
        <w:tab/>
        <w:t>znovu vyzývá k tomu, aby byla výroční zpráva o ochraně finančních zájmů ucelenější s cílem poskytnout komplexní přehled o synergiích mezi všemi příslušnými aktéry, určit osvědčené postupy a řešit nedostatky; v této souvislosti vítá skutečnost, že do zprávy o ochraně finančních zájmů za rok 2022 byla zahrnuta zjištění z výročních zpráv Úřadu evropského veřejného žalobce a úřadu OLAF; vyzývá k dalšímu zlepšení tohoto holistického přístupu, který by poskytl jasnější, úplnější a konkrétnější představu o celkovém stavu ochrany finančních zájmů Unie a který by zahrnoval veškerá opatření proti podvodům, a to jak na vnitrostátní úrovni, tak na úrovni EU;</w:t>
      </w:r>
    </w:p>
    <w:p w14:paraId="1ED7A82E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32.</w:t>
      </w:r>
      <w:r w:rsidRPr="00B04477">
        <w:rPr>
          <w:szCs w:val="24"/>
        </w:rPr>
        <w:tab/>
        <w:t>vyzývá k tomu, aby ustanovení o střetu zájmů byla uplatňována tak, aby zajišťovala právní jistotu, byla založena na jasném a přiměřeném posouzení rizik a umožňovala praktické uplatňování příslušnými orgány; vyzývá k tomu, aby pokyny Komise poskytovaly žadatelům a rozhodovacím orgánům jasnost, zamezily zbytečné administrativní zátěži a dodržovaly zásadu proporcionality;</w:t>
      </w:r>
    </w:p>
    <w:p w14:paraId="525B9FE3" w14:textId="77777777" w:rsidR="001458BC" w:rsidRPr="00B04477" w:rsidRDefault="001458BC" w:rsidP="00B04477">
      <w:pPr>
        <w:pStyle w:val="Normal12a24b"/>
        <w:spacing w:before="0"/>
        <w:rPr>
          <w:szCs w:val="24"/>
        </w:rPr>
      </w:pPr>
      <w:r w:rsidRPr="00B04477">
        <w:rPr>
          <w:rStyle w:val="BoldItalic"/>
          <w:szCs w:val="24"/>
        </w:rPr>
        <w:t>Příjmy</w:t>
      </w:r>
    </w:p>
    <w:p w14:paraId="2011A3A1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33.</w:t>
      </w:r>
      <w:r w:rsidRPr="00B04477">
        <w:rPr>
          <w:szCs w:val="24"/>
        </w:rPr>
        <w:tab/>
        <w:t>konstatuje, že v roce 2022 byl celkový počet nesrovnalostí podvodného či nepodvodného charakteru týkajících se tradičních vlastních zdrojů ve srovnání s pětiletým průměrem (2018–2022) o 7,6 % vyšší (4 661); se znepokojením konstatuje, že – jak vyplývá z odhadů a zjištění členských států – rovněž znatelně vzrostly celkové částky, jichž se tyto nesrovnalosti týkají (o 47 % na 783 milionů EUR); v téže věci zdůrazňuje, že celková míra vymáhání v roce 2022 u případů podvodného i nepodvodného jednání činila pouze 48 % (ve srovnání s 54 % v roce 2021) a že u případů podvodného jednání činila pouze 25 %, přičemž tato míra byla v jednotlivých členských státech velmi nejednotná; žádá Komisi, aby vyvinula větší úsilí o rychlé navrácení zneužitých finančních prostředků;</w:t>
      </w:r>
    </w:p>
    <w:p w14:paraId="5FBF1AFF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34.</w:t>
      </w:r>
      <w:r w:rsidRPr="00B04477">
        <w:rPr>
          <w:szCs w:val="24"/>
        </w:rPr>
        <w:tab/>
        <w:t>zdůrazňuje, že v roce 2022 pouze u 19 nových zpráv o odpisech, které Komisi předložilo šest členských států, dospěla Komise k závěru, že bylo uspokojivě prokázáno, že ke ztrátě tradičních vlastních zdrojů došlo z důvodů, které dotyčným členským státům nelze přičítat, a že za ztrátu nenesou finanční odpovědnost, zatímco v 82 případech v celkové výši téměř 39 milionů EUR měla Komise za to, že členské státy uspokojivě neprokázaly, že ke ztrátě tradičních vlastních zdrojů došlo z důvodů, které jim nelze přičítat, a že za ztrátu nesou finanční odpovědnost (Komise v roce 2022 posuzovala 135 případů v celkové výši 76,8 milionů EUR); vybízí Komisi, aby zachovala tento účinný mechanismus revize případů odpisu s cílem podpořit účinnost opatření vnitrostátních správních orgánů k vymáhání pohledávek;</w:t>
      </w:r>
    </w:p>
    <w:p w14:paraId="417B9BB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35.</w:t>
      </w:r>
      <w:r w:rsidRPr="00B04477">
        <w:rPr>
          <w:szCs w:val="24"/>
        </w:rPr>
        <w:tab/>
        <w:t>konstatuje, že i v roce 2022 byly nejúspěšnějšími nástroji pro odhalování nesrovnalostí podvodného i nepodvodného charakteru kontroly prováděné útvary pro boj proti podvodům a kontroly po propuštění zboží, a to ve stále větší míře v kombinaci s daňovými kontrolami a kontrolami při propuštění; zdůrazňuje, že v roce 2022 byly hlavními způsoby páchání podvodného jednání pašování, uvádění nesprávné hodnoty a nesprávné zařazení či popis zboží, přičemž vzrostl zejména počet hlášených případů pašování cigaret;</w:t>
      </w:r>
    </w:p>
    <w:p w14:paraId="3E120869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lastRenderedPageBreak/>
        <w:t>36.</w:t>
      </w:r>
      <w:r w:rsidRPr="00B04477">
        <w:rPr>
          <w:szCs w:val="24"/>
        </w:rPr>
        <w:tab/>
        <w:t>vítá úlohu úřadu OLAF při odhalování a vyšetřování podvodů týkajících se tradičních vlastních zdrojů EU; bere na vědomí mírný pokles počtu otevřených vyšetřování v oblasti vlastních zdrojů v roce 2022 a vyzývá Komisi, aby zajistila, že úřadu OLAF budou poskytnuty odpovídající zdroje, aby mohl plně a účinně vykonávat svůj mandát;</w:t>
      </w:r>
    </w:p>
    <w:p w14:paraId="54D975D1" w14:textId="40C20A28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37.</w:t>
      </w:r>
      <w:r w:rsidRPr="00B04477">
        <w:rPr>
          <w:szCs w:val="24"/>
        </w:rPr>
        <w:tab/>
        <w:t xml:space="preserve">konstatuje, že v peněžním vyjádření zůstává hlavní zemí původu zboží zatíženého nesrovnalostmi Čína, na druhém místě jsou Spojené státy a na třetím </w:t>
      </w:r>
      <w:r w:rsidR="007000A5">
        <w:rPr>
          <w:szCs w:val="24"/>
        </w:rPr>
        <w:t xml:space="preserve">místě </w:t>
      </w:r>
      <w:r w:rsidRPr="00B04477">
        <w:rPr>
          <w:szCs w:val="24"/>
        </w:rPr>
        <w:t>Vietnam, a že nejvíce dotčeným zbožím jsou textilní výrobky a obuv, a to jak z hlediska počtu, tak hodnoty zjištěných a nahlášených případů;</w:t>
      </w:r>
    </w:p>
    <w:p w14:paraId="3589AC51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38.</w:t>
      </w:r>
      <w:r w:rsidRPr="00B04477">
        <w:rPr>
          <w:szCs w:val="24"/>
        </w:rPr>
        <w:tab/>
        <w:t>znovu vyzývá ke zmírnění výpadku příjmů z DPH prostřednictvím řešení nedostatku zdrojů, omezené digitální efektivity daňových správ a mezer v zákonech, které omezují účinnost opatření proti daňovým podvodům a vyhýbání se daňovým povinnostem; připomíná, že nejúčinnějším způsobem boje proti přeshraničním podvodům v oblasti DPH je posílení správní spolupráce;</w:t>
      </w:r>
    </w:p>
    <w:p w14:paraId="7DA46DA6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39.</w:t>
      </w:r>
      <w:r w:rsidRPr="00B04477">
        <w:rPr>
          <w:szCs w:val="24"/>
        </w:rPr>
        <w:tab/>
        <w:t>zdůrazňuje, že úřad EPPO má pravomoc vyšetřovat závažné trestné činy proti společnému systému DPH, které souvisejí s územím dvou nebo více členských států a jejichž celková škoda činí nejméně 10 milionů EUR; je znepokojen údaji uvedenými ve výroční zprávě úřadu EPPO za rok 2022, podle nichž 16,5 % aktivních vyšetřování úřadu (185) souviselo s podvody v oblasti DPH, které však představují 47 % odhadované škody (6,7 miliardy EUR);</w:t>
      </w:r>
    </w:p>
    <w:p w14:paraId="280F6B6C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40.</w:t>
      </w:r>
      <w:r w:rsidRPr="00B04477">
        <w:rPr>
          <w:szCs w:val="24"/>
        </w:rPr>
        <w:tab/>
        <w:t>vítá druhou zprávu Komise ze dne 16. září 2022 o provádění směrnice o ochraně finančních zájmů Unie (</w:t>
      </w:r>
      <w:proofErr w:type="gramStart"/>
      <w:r w:rsidRPr="00B04477">
        <w:rPr>
          <w:szCs w:val="24"/>
        </w:rPr>
        <w:t>COM(2022</w:t>
      </w:r>
      <w:proofErr w:type="gramEnd"/>
      <w:r w:rsidRPr="00B04477">
        <w:rPr>
          <w:szCs w:val="24"/>
        </w:rPr>
        <w:t>)0466), vyjadřuje však politování nad tím, že Komise upustila od zásahu do revize prahové hodnoty 10 milionů EUR, která má zásadní dopad na činnost úřadu EPPO v případech podvodů v oblasti DPH; zdůrazňuje, že situace je nepřehledná kvůli opakujícím se a dosud nevyřešeným otázkám týkajícím se různých výkladů metod používaných pro výpočet prahové hodnoty (zda by se měly škody vzniklé v několika členských státech sčítat či zda by se měly do výpočtu zahrnout pouze země, které se podílejí na činnosti úřadu EPPO); je pevně přesvědčen, že stávající prahová hodnota omezuje odrazující účinek, umožňuje pachatelům vyhledávat nejslabší jurisdikce, aby se vyhnuli úřadu EPPO, a má nepříznivý dopad na vyšetřování, neboť vnitrostátní orgány často v počáteční fázi vyšetřování nemají úplnou představu o rozsahu trestné činnosti; vyzývá Komisi, aby v příští zprávě o provádění směrnice o ochraně finančních zájmů Unie svůj postoj přehodnotila a zrušila tuto prahovou hodnotu nebo ji podstatně snížila a mezitím poskytla odpovídající pokyny k metodě výpočtu;</w:t>
      </w:r>
    </w:p>
    <w:p w14:paraId="7298DA49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41.</w:t>
      </w:r>
      <w:r w:rsidRPr="00B04477">
        <w:rPr>
          <w:szCs w:val="24"/>
        </w:rPr>
        <w:tab/>
        <w:t>zdůrazňuje, že účinná spolupráce mezi úřadem OLAF a Úřadem evropského veřejného žalobce je předpokladem pro řádné řízení a ochranu finančních zájmů rozpočtu EU, a to jak na straně výdajů, tak na straně příjmů; v této souvislosti se domnívá, že tato posílená spolupráce může na straně příjmů vést ke zvýšení výběru příjmů do rozpočtu EU, čímž se sníží příspěvky členských států založené na HND, a na straně výdajů zajistit, aby peníze daňových poplatníků byly vynakládány odpovídajícím způsobem;</w:t>
      </w:r>
    </w:p>
    <w:p w14:paraId="6CFB0A5E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42.</w:t>
      </w:r>
      <w:r w:rsidRPr="00B04477">
        <w:rPr>
          <w:szCs w:val="24"/>
        </w:rPr>
        <w:tab/>
        <w:t>zdůrazňuje, že je důležité, aby si úřad OLAF a Úřad evropského veřejného žalobce zachovaly provozní nezávislost;</w:t>
      </w:r>
    </w:p>
    <w:p w14:paraId="75C9AF0F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43.</w:t>
      </w:r>
      <w:r w:rsidRPr="00B04477">
        <w:rPr>
          <w:szCs w:val="24"/>
        </w:rPr>
        <w:tab/>
        <w:t xml:space="preserve">vítá prohlášení předsedkyně Komise Ursuly von der </w:t>
      </w:r>
      <w:proofErr w:type="spellStart"/>
      <w:r w:rsidRPr="00B04477">
        <w:rPr>
          <w:szCs w:val="24"/>
        </w:rPr>
        <w:t>Leyenové</w:t>
      </w:r>
      <w:proofErr w:type="spellEnd"/>
      <w:r w:rsidRPr="00B04477">
        <w:rPr>
          <w:szCs w:val="24"/>
        </w:rPr>
        <w:t>, že EU musí zajistit, aby byly peníze vynakládány v souladu s jejich účelem a v souladu se zásadami právního státu, a zajistit ochranu finančních prostředků;</w:t>
      </w:r>
    </w:p>
    <w:p w14:paraId="554DB67A" w14:textId="77777777" w:rsidR="001458BC" w:rsidRPr="00B04477" w:rsidRDefault="001458BC" w:rsidP="00B04477">
      <w:pPr>
        <w:pStyle w:val="Normal12a24b"/>
        <w:spacing w:before="0"/>
        <w:rPr>
          <w:szCs w:val="24"/>
        </w:rPr>
      </w:pPr>
      <w:r w:rsidRPr="00B04477">
        <w:rPr>
          <w:rStyle w:val="BoldItalic"/>
          <w:szCs w:val="24"/>
        </w:rPr>
        <w:lastRenderedPageBreak/>
        <w:t>Výdaje</w:t>
      </w:r>
    </w:p>
    <w:p w14:paraId="215E530B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44.</w:t>
      </w:r>
      <w:r w:rsidRPr="00B04477">
        <w:rPr>
          <w:szCs w:val="24"/>
        </w:rPr>
        <w:tab/>
        <w:t>konstatuje, že počet nahlášených nesrovnalostí podvodného a nepodvodného charakteru, které mají dopad na prováděcí opatření v oblasti rozvoje venkova, se v období 2018–2022 zvýšil, a to zejména v důsledku vyšší míry odhalení ve vztahu k opatřením v rámci programového období 2014–2022; zdůrazňuje však, že počet odhalených a nahlášených případů podvodného jednání je stále ještě nižší, než se očekávalo, a že tato skutečnost je důvodem, proč by měl být zvýšen dohled nad situací;</w:t>
      </w:r>
    </w:p>
    <w:p w14:paraId="3AA495FA" w14:textId="7777777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45.</w:t>
      </w:r>
      <w:r w:rsidRPr="00B04477">
        <w:rPr>
          <w:szCs w:val="24"/>
        </w:rPr>
        <w:tab/>
        <w:t>připomíná, že v roce 2022 byla míra odhalení v oblasti rozvoje venkova znatelně vyšší než v případě podpory zemědělství, ačkoli se počet nesrovnalostí podvodného charakteru nahlášených v rámci podpory zemědělství ve srovnání s rokem 2021 zvýšil; konstatuje, že v rámci podpory zemědělství zaznamenaly členské státy nejvyšší míru podvodů u tržních opatření; úřad OLAF vyšetřoval také několik složitých případů souvisejících s propagací zemědělských produktů;</w:t>
      </w:r>
    </w:p>
    <w:p w14:paraId="571A6E83" w14:textId="77777777" w:rsidR="001458BC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46.</w:t>
      </w:r>
      <w:r w:rsidRPr="00B04477">
        <w:rPr>
          <w:szCs w:val="24"/>
        </w:rPr>
        <w:tab/>
        <w:t>vyjadřuje politování nad tím, že v období 2018–2022 byl v oblasti rozvoje venkova i přímých plateb přínos analýzy rizik, oznamovatelů, informátorů a investigativních novinářů k odhalování případů podvodného jednání velmi omezený; je rovněž znepokojen délkou správních řízení zahájených za účelem řešení nahlášených případů nesrovnalostí podvodného charakteru, která v období let 2014–2022 trvala v průměru téměř čtyři roky od začátku nesrovnalosti k vyslovení podezření na podvodné jednání a další téměř tři roky, než byl případ po nahlášení Komisi uzavřen; zdůrazňuje, že v případě soudržnosti trvalo přibližně rok a půl od začátku nesrovnalosti k vyslovení podezření na podvodné jednání a více než dva roky, než byl případ po nahlášení Komisi uzavřen; žádá Komisi, aby orgánům členských států poskytovala častěji doporučení a následná opatření s cílem zkrátit délku správních postupů;</w:t>
      </w:r>
    </w:p>
    <w:p w14:paraId="75CAF197" w14:textId="1BFF8088" w:rsidR="00030BA4" w:rsidRPr="00797C61" w:rsidRDefault="00797C61" w:rsidP="00B04477">
      <w:pPr>
        <w:pStyle w:val="NormalHanging12a"/>
        <w:rPr>
          <w:szCs w:val="24"/>
        </w:rPr>
      </w:pPr>
      <w:r w:rsidRPr="00876E88">
        <w:t>4</w:t>
      </w:r>
      <w:r w:rsidR="00030BA4">
        <w:t>7</w:t>
      </w:r>
      <w:r w:rsidRPr="00876E88">
        <w:t>.</w:t>
      </w:r>
      <w:r w:rsidRPr="00797C61">
        <w:tab/>
      </w:r>
      <w:r w:rsidRPr="00876E88">
        <w:t>vyjadřuje politování nad netransparentním vynakládáním veřejných prostředků Komisí během pandemie COVID-19; vyjadřuje politování nad tím, že Komise dosud nezveřejnila zprávu o výdajích souvisejících s onemocněním COVID-19</w:t>
      </w:r>
      <w:r w:rsidR="00030BA4">
        <w:rPr>
          <w:rStyle w:val="FootnoteReference"/>
        </w:rPr>
        <w:footnoteReference w:id="20"/>
      </w:r>
      <w:r w:rsidRPr="00876E88">
        <w:t>;</w:t>
      </w:r>
    </w:p>
    <w:p w14:paraId="420B3028" w14:textId="1E0D63A8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>konstatuje, že největší počet nesrovnalostí nahlášených v roce 2022, a to jak nesrovnalostí podvodného, tak i nepodvodného charakteru, souvisel s Evropským fondem pro regionální rozvoj (EFRR: 59 % u nesrovnalostí podvodného charakteru, 67 % u nesrovnalostí nepodvodného charakteru) a v menší míře s Evropským sociálním fondem (ESF: 27 % u nesrovnalostí podvodného charakteru, 20 % u nesrovnalostí nepodvodného charakteru); poukazuje na to, že nejvíce jsou ohroženy oblasti dopravy a ochrany životního prostředí vzhledem k velkým objemům finančních prostředků, které jsou těmito pochybeními dotčeny, a oblast výzkumu, technologického rozvoje a inovací, kde se vyskytují nejčastěji nesrovnalosti podvodného charakteru;</w:t>
      </w:r>
    </w:p>
    <w:p w14:paraId="42435363" w14:textId="02B4F90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4</w:t>
      </w:r>
      <w:r w:rsidR="00A11DE3">
        <w:rPr>
          <w:szCs w:val="24"/>
        </w:rPr>
        <w:t>9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je znepokojen skutečností, že v roce 2022 dosáhl počet nahlášených nesrovnalostí týkajících se nástroje předvstupní pomoci (NPP) nejvyšší hodnoty, a je si vědom toho, že tyto případy se týkají nástroje předvstupní pomoci I na období 2007–2013 (NPP I) i nástroje předvstupní pomoci II na období 2014–2020 (NPP II); vyzývá Komisi, aby na </w:t>
      </w:r>
      <w:r w:rsidRPr="00B04477">
        <w:rPr>
          <w:szCs w:val="24"/>
        </w:rPr>
        <w:lastRenderedPageBreak/>
        <w:t>základě zkušeností získaných v souvislosti s těmito nástroji zabezpečila budoucí akce a iniciativy se stejnými nebo podobnými cíli proti podvodům, jako je tomu v případě Ukrajiny, která by měla získat velmi významné zdroje z NPP a programu Horizont Evropa a kde má správné využití zdrojů, a to i ve velmi obtížných podmínkách, zásadní význam pro účinnost a účelnost přístupového procesu;</w:t>
      </w:r>
    </w:p>
    <w:p w14:paraId="2BE2C32D" w14:textId="73C14E16" w:rsidR="001458BC" w:rsidRPr="00B04477" w:rsidRDefault="00A11DE3" w:rsidP="00B04477">
      <w:pPr>
        <w:pStyle w:val="NormalHanging12a"/>
        <w:rPr>
          <w:szCs w:val="24"/>
        </w:rPr>
      </w:pPr>
      <w:r>
        <w:rPr>
          <w:szCs w:val="24"/>
        </w:rPr>
        <w:t>50</w:t>
      </w:r>
      <w:r w:rsidR="001458BC" w:rsidRPr="00B04477">
        <w:rPr>
          <w:szCs w:val="24"/>
        </w:rPr>
        <w:t>.</w:t>
      </w:r>
      <w:r w:rsidR="001458BC" w:rsidRPr="00B04477">
        <w:rPr>
          <w:szCs w:val="24"/>
        </w:rPr>
        <w:tab/>
        <w:t>zdůrazňuje, že v oblasti politiky soudržnosti byl počet nesrovnalostí nepodvodného charakteru, které byly nahlášeny během prvních devíti let programového období 2007–2013, a finanční částky související s těmito nesrovnalostmi, mnohem vyšší než v případě nesrovnalostí nepodvodného charakteru a souvisejících částek, které byly nahlášeny během programového období 2014–2020, a že tento trend postihuje všechny fondy a většinu členských států;</w:t>
      </w:r>
    </w:p>
    <w:p w14:paraId="35665064" w14:textId="59DDA112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1</w:t>
      </w:r>
      <w:r w:rsidRPr="00B04477">
        <w:rPr>
          <w:szCs w:val="24"/>
        </w:rPr>
        <w:t>.</w:t>
      </w:r>
      <w:r w:rsidRPr="00B04477">
        <w:rPr>
          <w:szCs w:val="24"/>
        </w:rPr>
        <w:tab/>
        <w:t>konstatuje, že v případě politiky soudržnosti se nejčastější typ nesrovnalostí podvodného charakteru nahlášený v systému IMS týká podkladů (chybné, chybějící, nepravé nebo padělané), zatímco v případě nesrovnalostí nepodvodného charakteru je nejčastěji hlášeno porušení pravidel pro zadávání veřejných zakázek;</w:t>
      </w:r>
    </w:p>
    <w:p w14:paraId="3126EB43" w14:textId="40AD29DC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2</w:t>
      </w:r>
      <w:r w:rsidRPr="00B04477">
        <w:rPr>
          <w:szCs w:val="24"/>
        </w:rPr>
        <w:t>.</w:t>
      </w:r>
      <w:r w:rsidRPr="00B04477">
        <w:rPr>
          <w:szCs w:val="24"/>
        </w:rPr>
        <w:tab/>
        <w:t>se znepokojením bere na vědomí zjištění uvedená ve výroční zprávě Ú</w:t>
      </w:r>
      <w:r w:rsidR="004127EE">
        <w:rPr>
          <w:szCs w:val="24"/>
        </w:rPr>
        <w:t>četního dvora</w:t>
      </w:r>
      <w:r w:rsidRPr="00B04477">
        <w:rPr>
          <w:szCs w:val="24"/>
        </w:rPr>
        <w:t xml:space="preserve"> za rok 2022 týkající se plnění rozpočtu EU na rozpočtový rok 2022, podle nichž auditní orgány i přes zlepšení řeší riziko podvodů i nadále nedostatečně a orgány členských států neoznamují případy podezření z podvodu v systému IMS, jak je požadováno; vyzývá Komisi, aby se těmito otázkami naléhavě zabývala;</w:t>
      </w:r>
    </w:p>
    <w:p w14:paraId="3D1C4880" w14:textId="4E2BB76F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konstatuje, že v roce 2022 bylo v souvislosti s nesrovnalostmi v rámci přímého řízení zaregistrováno 770 případů zpětného získání finančních prostředků (ve srovnání s 879 v roce 2021), z nichž 37 případů bylo podvodného charakteru (ve srovnání s 54 nahlášenými nesrovnalostmi podvodného charakteru v roce 2021) v celkové výši 61,28 milionu EUR (z toho 5,67 milionu EUR kvůli podvodnému jednání ve srovnání s</w:t>
      </w:r>
      <w:r w:rsidR="00863F1C">
        <w:rPr>
          <w:szCs w:val="24"/>
        </w:rPr>
        <w:t>e</w:t>
      </w:r>
      <w:r w:rsidRPr="00B04477">
        <w:rPr>
          <w:szCs w:val="24"/>
        </w:rPr>
        <w:t xml:space="preserve"> 7,04 miliony EUR v roce 2021);</w:t>
      </w:r>
    </w:p>
    <w:p w14:paraId="01162434" w14:textId="7E290758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4</w:t>
      </w:r>
      <w:r w:rsidRPr="00B04477">
        <w:rPr>
          <w:szCs w:val="24"/>
        </w:rPr>
        <w:t>.</w:t>
      </w:r>
      <w:r w:rsidRPr="00B04477">
        <w:rPr>
          <w:szCs w:val="24"/>
        </w:rPr>
        <w:tab/>
        <w:t>konstatuje, že v případě přímého řízení bylo množství zjištěných nesrovnalosti podvodného charakteru v období 2018–2022 celkově stabilní; oceňuje, že v případě přímého řízení v období 2018–2022 je u 88 % případů zpětného získání finančních prostředků souvisejících s nesrovnalostmi nahlášenými jako podvodné uveden jako zdroj odhalení úřad OLAF, což odpovídá 92 % celkových zpětně získaných částek; konstatuje, že přibližně 97 % nesrovnalostí, které nebyly nahlášeny jako podvodné, bylo odhaleno prostřednictvím kontrol Komise;</w:t>
      </w:r>
    </w:p>
    <w:p w14:paraId="4977A03A" w14:textId="070BBC00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5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znepokojen tím, že v letech 2018–2022 je zpětné získávání finančních prostředků v průměru nadále nízké, přičemž průměrná míra zpětně získaných částek činila 56 % (tj. 34 % u „nesrovnalostí, které byly nahlášeny jako podvodné“ a 59 % u „nesrovnalostí, které nebyly nahlášeny jako podvodné“); žádá Komisi, aby vyvinula větší úsilí o rychlé navrácení zneužitých finančních prostředků;</w:t>
      </w:r>
    </w:p>
    <w:p w14:paraId="0D4AB9E6" w14:textId="6837F762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6</w:t>
      </w:r>
      <w:r w:rsidRPr="00B04477">
        <w:rPr>
          <w:szCs w:val="24"/>
        </w:rPr>
        <w:t>.</w:t>
      </w:r>
      <w:r w:rsidRPr="00B04477">
        <w:rPr>
          <w:szCs w:val="24"/>
        </w:rPr>
        <w:tab/>
        <w:t>znovu vyzývá Komisi, aby předložila legislativní návrh o vzájemné správní pomoci v oblastech výdajů z fondů EU, které tuto praxi dosud nestanoví, s cílem zajistit průřezový přístup k ochraně finančních zájmů Unie;</w:t>
      </w:r>
    </w:p>
    <w:p w14:paraId="06CA6FEB" w14:textId="461A4AF6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rStyle w:val="BoldItalic"/>
          <w:szCs w:val="24"/>
        </w:rPr>
        <w:t xml:space="preserve">Nástroj </w:t>
      </w:r>
      <w:proofErr w:type="spellStart"/>
      <w:r w:rsidRPr="00B04477">
        <w:rPr>
          <w:rStyle w:val="BoldItalic"/>
          <w:szCs w:val="24"/>
        </w:rPr>
        <w:t>NextGenerationEU</w:t>
      </w:r>
      <w:proofErr w:type="spellEnd"/>
      <w:r w:rsidRPr="00B04477">
        <w:rPr>
          <w:rStyle w:val="BoldItalic"/>
          <w:szCs w:val="24"/>
        </w:rPr>
        <w:t xml:space="preserve"> a Nástroj pro oživení a odolnost</w:t>
      </w:r>
    </w:p>
    <w:p w14:paraId="1F34492A" w14:textId="0E3B1B74" w:rsidR="001458BC" w:rsidRPr="00B04477" w:rsidRDefault="001458BC" w:rsidP="00B04477">
      <w:pPr>
        <w:pStyle w:val="NormalHanging12a"/>
        <w:rPr>
          <w:snapToGrid/>
          <w:szCs w:val="24"/>
        </w:rPr>
      </w:pPr>
      <w:r w:rsidRPr="00B04477">
        <w:rPr>
          <w:szCs w:val="24"/>
        </w:rPr>
        <w:lastRenderedPageBreak/>
        <w:t>5</w:t>
      </w:r>
      <w:r w:rsidR="00A11DE3">
        <w:rPr>
          <w:szCs w:val="24"/>
        </w:rPr>
        <w:t>7</w:t>
      </w:r>
      <w:r w:rsidRPr="00B04477">
        <w:rPr>
          <w:szCs w:val="24"/>
        </w:rPr>
        <w:t>.</w:t>
      </w:r>
      <w:r w:rsidRPr="00B04477">
        <w:rPr>
          <w:szCs w:val="24"/>
        </w:rPr>
        <w:tab/>
        <w:t>připomíná, že vzhledem ke specifické koncepci Nástroje pro oživení a odolnost by členské státy spolu s Komisí měly zajistit účinnou ochranu finančních zájmů Unie v souladu se svými příslušnými povinnostmi; vyzdvihuje, že systémy členských států pro kontrolu musí zajistit, že investiční projekty financované z Nástroje pro oživení a odolnost budou v souladu s unijními a vnitrostátními pravidly; připomíná, že Komise a členské státy musí zabránit nedostatečné odpovědnosti na úrovni EU, a pokud to bude nutné, v souladu s příslušnými doporučeními Ú</w:t>
      </w:r>
      <w:r w:rsidR="004127EE">
        <w:rPr>
          <w:szCs w:val="24"/>
        </w:rPr>
        <w:t>četního dvora</w:t>
      </w:r>
      <w:r w:rsidRPr="00B04477">
        <w:rPr>
          <w:szCs w:val="24"/>
        </w:rPr>
        <w:t xml:space="preserve"> zavést další záruky k řešení tohoto problému;</w:t>
      </w:r>
    </w:p>
    <w:p w14:paraId="33E78BFA" w14:textId="0C98D70F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si vědom toho, že provádění Nástroje pro oživení a odolnost vrcholí a že nařízení upravující jeho zavádění ukládá členským státům povinnost zavést účinné a účelné kontrolní systémy s cílem chránit finanční zájmy Unie a zajistit soulad s předpisy EU a vnitrostátními předpisy;</w:t>
      </w:r>
    </w:p>
    <w:p w14:paraId="54F1C6BE" w14:textId="5E7F0A7A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5</w:t>
      </w:r>
      <w:r w:rsidR="00A11DE3">
        <w:rPr>
          <w:szCs w:val="24"/>
        </w:rPr>
        <w:t>9</w:t>
      </w:r>
      <w:r w:rsidRPr="00B04477">
        <w:rPr>
          <w:szCs w:val="24"/>
        </w:rPr>
        <w:t>.</w:t>
      </w:r>
      <w:r w:rsidRPr="00B04477">
        <w:rPr>
          <w:szCs w:val="24"/>
        </w:rPr>
        <w:tab/>
        <w:t>podotýká, že Komise před schválením plánů provedla posouzení těchto kontrolních systémů a následně v roce 2022 provedla 16 auditů systémů zaměřených na ochranu finančních zájmů EU</w:t>
      </w:r>
      <w:r w:rsidRPr="00B04477">
        <w:rPr>
          <w:rStyle w:val="FootnoteReference"/>
          <w:szCs w:val="24"/>
        </w:rPr>
        <w:footnoteReference w:id="21"/>
      </w:r>
      <w:r w:rsidRPr="00B04477">
        <w:rPr>
          <w:szCs w:val="24"/>
        </w:rPr>
        <w:t>, které se týkaly koordinačních a prováděcích orgánů, jako jsou ministerstva a agentury; vyslovuje uspokojení nad tím, že Komise plánuje do konce roku 2023 provést alespoň jeden audit ve všech členských státech, a vítá výběr cílů auditu na základě posouzení rizik;</w:t>
      </w:r>
    </w:p>
    <w:p w14:paraId="5A624774" w14:textId="702A3FE6" w:rsidR="001458BC" w:rsidRPr="00B04477" w:rsidRDefault="00A11DE3" w:rsidP="00B04477">
      <w:pPr>
        <w:pStyle w:val="NormalHanging12a"/>
        <w:rPr>
          <w:szCs w:val="24"/>
        </w:rPr>
      </w:pPr>
      <w:r>
        <w:rPr>
          <w:szCs w:val="24"/>
        </w:rPr>
        <w:t>60</w:t>
      </w:r>
      <w:r w:rsidR="001458BC" w:rsidRPr="00B04477">
        <w:rPr>
          <w:szCs w:val="24"/>
        </w:rPr>
        <w:t>.</w:t>
      </w:r>
      <w:r w:rsidR="001458BC" w:rsidRPr="00B04477">
        <w:rPr>
          <w:szCs w:val="24"/>
        </w:rPr>
        <w:tab/>
        <w:t>je znepokojen tím, že Ú</w:t>
      </w:r>
      <w:r w:rsidR="004127EE">
        <w:rPr>
          <w:szCs w:val="24"/>
        </w:rPr>
        <w:t>četní dvůr</w:t>
      </w:r>
      <w:r w:rsidR="001458BC" w:rsidRPr="00B04477">
        <w:rPr>
          <w:szCs w:val="24"/>
        </w:rPr>
        <w:t xml:space="preserve"> zjistil nedostatky v systémech podávání zpráv a kontroly členských států, z nichž některé nebyly při předložení plánů pro oživení a odolnost plně funkční, což představuje riziko pro správnost výdajů Nástroje pro oživení a odolnost a ochranu finančních zájmů EU</w:t>
      </w:r>
      <w:r w:rsidR="001458BC" w:rsidRPr="00B04477">
        <w:rPr>
          <w:rStyle w:val="FootnoteReference"/>
          <w:szCs w:val="24"/>
        </w:rPr>
        <w:footnoteReference w:id="22"/>
      </w:r>
      <w:r w:rsidR="001458BC" w:rsidRPr="00B04477">
        <w:rPr>
          <w:szCs w:val="24"/>
        </w:rPr>
        <w:t xml:space="preserve"> a vede k přijímání „kontrolních milníků“;</w:t>
      </w:r>
    </w:p>
    <w:p w14:paraId="075C2495" w14:textId="1FE2553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1</w:t>
      </w:r>
      <w:r w:rsidRPr="00B04477">
        <w:rPr>
          <w:szCs w:val="24"/>
        </w:rPr>
        <w:t>.</w:t>
      </w:r>
      <w:r w:rsidRPr="00B04477">
        <w:rPr>
          <w:szCs w:val="24"/>
        </w:rPr>
        <w:tab/>
        <w:t>připomíná, že auditní činnost Komise rovněž potvrdila rozdíly v systémech vnitřní kontroly napříč prováděcími a koordinačními orgány a určila osvědčenou praxi v některých zavedených postupech pro ověřování podvodů, korupce, střetu zájmů a dvojího financování a předcházení těmto případům; vyzývá členské státy, aby sdílely své nejlepší postupy s cílem usnadnit koordinovanější zpracování finančních prostředků, které bude odolnější vůči podvodům;</w:t>
      </w:r>
    </w:p>
    <w:p w14:paraId="74F409C5" w14:textId="48EBDFCB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2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si vědom inherentní charakteristiky výdajového modelu Nástroje pro oživení a odolnost, obtížnosti posouzení míry chyb srovnatelné s ostatními výdajovými oblastmi EU a omezení, která představuje metodika Komise pro pozastavení plateb</w:t>
      </w:r>
      <w:r w:rsidRPr="00B04477">
        <w:rPr>
          <w:rStyle w:val="FootnoteReference"/>
          <w:szCs w:val="24"/>
        </w:rPr>
        <w:footnoteReference w:id="23"/>
      </w:r>
      <w:r w:rsidRPr="00B04477">
        <w:rPr>
          <w:szCs w:val="24"/>
        </w:rPr>
        <w:t>; připomíná však, že při podávání žádostí o platbu v rámci Nástroje pro oživení a odolnost lze pozorovat zpoždění, a vyzývá Komisi, aby byla i nadále ostražitá, zejména pokud jde o konec životního cyklu Nástroje pro oživení a odolnost, s cílem zajistit, aby členské státy chránily finanční zájmy EU a aby peníze daňových poplatníků EU byly vynakládány odpovídajícím způsobem; zdůrazňuje, že odpovídající zdroje a pozornost by měly být věnovány zejména boji proti podvodům, korupci, střetu zájmů (definovaným jako „závažné nesrovnalosti“) a dvojímu financování;</w:t>
      </w:r>
    </w:p>
    <w:p w14:paraId="5127B9C2" w14:textId="3CB283FA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lastRenderedPageBreak/>
        <w:t>6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připomíná zjištění Ú</w:t>
      </w:r>
      <w:r w:rsidR="004127EE">
        <w:rPr>
          <w:szCs w:val="24"/>
        </w:rPr>
        <w:t>četního dvora</w:t>
      </w:r>
      <w:r w:rsidRPr="00B04477">
        <w:rPr>
          <w:szCs w:val="24"/>
        </w:rPr>
        <w:t xml:space="preserve"> uvedená ve výroční zprávě za rok 2022, konkrétně že se kontrolní milníky v národních plánech pro oživení a odolnost liší, pokud jde o jejich požadavky a </w:t>
      </w:r>
      <w:proofErr w:type="spellStart"/>
      <w:r w:rsidRPr="00B04477">
        <w:rPr>
          <w:szCs w:val="24"/>
        </w:rPr>
        <w:t>granularitu</w:t>
      </w:r>
      <w:proofErr w:type="spellEnd"/>
      <w:r w:rsidRPr="00B04477">
        <w:rPr>
          <w:szCs w:val="24"/>
        </w:rPr>
        <w:t>; klade si otázku, proč byly některé členské státy povinny pouze koncipovat svůj kontrolní systém, zatímco jiné měly mít operační systém;</w:t>
      </w:r>
    </w:p>
    <w:p w14:paraId="7C0E3698" w14:textId="277DF2E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4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vyzývá Komisi, aby urychleně přezkoumala své postupy auditů </w:t>
      </w:r>
      <w:r w:rsidRPr="00B04477">
        <w:rPr>
          <w:i/>
          <w:szCs w:val="24"/>
        </w:rPr>
        <w:t>ex</w:t>
      </w:r>
      <w:r w:rsidRPr="00B04477">
        <w:rPr>
          <w:szCs w:val="24"/>
        </w:rPr>
        <w:t xml:space="preserve"> </w:t>
      </w:r>
      <w:r w:rsidRPr="00B04477">
        <w:rPr>
          <w:i/>
          <w:szCs w:val="24"/>
        </w:rPr>
        <w:t>post</w:t>
      </w:r>
      <w:r w:rsidRPr="00B04477">
        <w:rPr>
          <w:szCs w:val="24"/>
        </w:rPr>
        <w:t xml:space="preserve"> s cílem zajistit odpovídající ověření toho, zda auditované cíle, které byly dříve vyhodnoceny jako splněné, nebyly po provedení příslušné platby zrušeny;</w:t>
      </w:r>
    </w:p>
    <w:p w14:paraId="48514D5E" w14:textId="25DC3CAB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5</w:t>
      </w:r>
      <w:r w:rsidRPr="00B04477">
        <w:rPr>
          <w:szCs w:val="24"/>
        </w:rPr>
        <w:t>.</w:t>
      </w:r>
      <w:r w:rsidRPr="00B04477">
        <w:rPr>
          <w:szCs w:val="24"/>
        </w:rPr>
        <w:tab/>
        <w:t>dále vyzývá Komisi, aby průběžně sledovala plnění milníků a cílů týkajících se ochrany finančních zájmů EU a aby v případě neplnění nebo zrušení dříve splněných milníků uplatňovala veškerá nezbytná opatření, včetně úměrného snížení podpory v rámci Nástroje pro oživení a odolnost a zpětného získání jakékoli částky splatné do rozpočtu Unie, nebo aby požádala o předčasné splacení půjčky v případě podvodu, korupce a střetů zájmů ovlivňujících finanční zájmy Unie nebo závažného porušení povinnosti vyplývající z dohod o financování, které nebylo členským státem napraveno;</w:t>
      </w:r>
    </w:p>
    <w:p w14:paraId="7211FB91" w14:textId="43A0C85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6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znovu připomíná, že účinná prevence, odhalování a vyšetřování nezákonných činností ohrožujících provádění nástroje </w:t>
      </w:r>
      <w:proofErr w:type="spellStart"/>
      <w:r w:rsidRPr="00B04477">
        <w:rPr>
          <w:szCs w:val="24"/>
        </w:rPr>
        <w:t>N</w:t>
      </w:r>
      <w:r w:rsidR="0079577D" w:rsidRPr="00B04477">
        <w:rPr>
          <w:szCs w:val="24"/>
        </w:rPr>
        <w:t>extGenerationEU</w:t>
      </w:r>
      <w:proofErr w:type="spellEnd"/>
      <w:r w:rsidRPr="00B04477">
        <w:rPr>
          <w:szCs w:val="24"/>
        </w:rPr>
        <w:t xml:space="preserve">, zejména rizik infiltrace organizované trestné činnosti, závisí na účinném shromažďování a sdílení údajů, včetně rychlého vyřizování žádostí o přístup ze strany vyšetřovacích útvarů v členském státě, jakož i z jiných zemí nebo na úrovni EU, ze strany úřadu OLAF a EPPO a v případě potřeby </w:t>
      </w:r>
      <w:proofErr w:type="spellStart"/>
      <w:r w:rsidRPr="00B04477">
        <w:rPr>
          <w:szCs w:val="24"/>
        </w:rPr>
        <w:t>Eurojustu</w:t>
      </w:r>
      <w:proofErr w:type="spellEnd"/>
      <w:r w:rsidRPr="00B04477">
        <w:rPr>
          <w:szCs w:val="24"/>
        </w:rPr>
        <w:t xml:space="preserve"> nebo </w:t>
      </w:r>
      <w:proofErr w:type="spellStart"/>
      <w:r w:rsidRPr="00B04477">
        <w:rPr>
          <w:szCs w:val="24"/>
        </w:rPr>
        <w:t>Europolu</w:t>
      </w:r>
      <w:proofErr w:type="spellEnd"/>
      <w:r w:rsidRPr="00B04477">
        <w:rPr>
          <w:szCs w:val="24"/>
        </w:rPr>
        <w:t>, kterým má být přístup poskytnut;</w:t>
      </w:r>
    </w:p>
    <w:p w14:paraId="36ECE383" w14:textId="0A31A006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7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vyjadřuje politování nad tím, jak Komise vykládá pojem „konečný příjemce“ v rámci Nástroje pro oživení a odolnost; připomíná, že podle pozměněného nařízení o Nástroji pro oživení a odolnost by členské státy měly zveřejnit seznam 100 největších konečných příjemců, kteří dostávají nejvyšší částku finančních prostředků na provádění opatření v rámci Nástroje pro oživení a odolnost; vyjadřuje politování nad tím, že Komise nepožaduje od členských států, aby poskytovaly informace o konečném příjemci nebo příjemci finančních prostředků z Nástroje pro oživení a odolnost, a rozhodla se požadovat, aby členské státy poskytovaly informace pouze o „příjemcích druhé úrovně“; je toho názoru, že tento výklad není v souladu s dohodou mezi </w:t>
      </w:r>
      <w:proofErr w:type="spellStart"/>
      <w:r w:rsidRPr="00B04477">
        <w:rPr>
          <w:szCs w:val="24"/>
        </w:rPr>
        <w:t>spolunormotvůrci</w:t>
      </w:r>
      <w:proofErr w:type="spellEnd"/>
      <w:r w:rsidRPr="00B04477">
        <w:rPr>
          <w:szCs w:val="24"/>
        </w:rPr>
        <w:t>;</w:t>
      </w:r>
    </w:p>
    <w:p w14:paraId="38E0D98E" w14:textId="5270A7BC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vítá společnou analýzu </w:t>
      </w:r>
      <w:proofErr w:type="spellStart"/>
      <w:r w:rsidRPr="00B04477">
        <w:rPr>
          <w:szCs w:val="24"/>
        </w:rPr>
        <w:t>Europolu</w:t>
      </w:r>
      <w:proofErr w:type="spellEnd"/>
      <w:r w:rsidRPr="00B04477">
        <w:rPr>
          <w:szCs w:val="24"/>
        </w:rPr>
        <w:t xml:space="preserve"> a úřadu OLAF, která hodnotí rizika podvodů a nesrovnalostí v souvislosti s nástrojem </w:t>
      </w:r>
      <w:proofErr w:type="spellStart"/>
      <w:r w:rsidRPr="00B04477">
        <w:rPr>
          <w:szCs w:val="24"/>
        </w:rPr>
        <w:t>N</w:t>
      </w:r>
      <w:r w:rsidR="0079577D" w:rsidRPr="00B04477">
        <w:rPr>
          <w:szCs w:val="24"/>
        </w:rPr>
        <w:t>extGenerationEU</w:t>
      </w:r>
      <w:proofErr w:type="spellEnd"/>
      <w:r w:rsidRPr="00B04477">
        <w:rPr>
          <w:szCs w:val="24"/>
        </w:rPr>
        <w:t xml:space="preserve">; vítá doporučení </w:t>
      </w:r>
      <w:proofErr w:type="spellStart"/>
      <w:r w:rsidRPr="00B04477">
        <w:rPr>
          <w:szCs w:val="24"/>
        </w:rPr>
        <w:t>Europolu</w:t>
      </w:r>
      <w:proofErr w:type="spellEnd"/>
      <w:r w:rsidRPr="00B04477">
        <w:rPr>
          <w:szCs w:val="24"/>
        </w:rPr>
        <w:t xml:space="preserve"> a úřadu OLAF a vyzývá Komisi, specializované agentury a orgány EU i členské státy k aktivní spolupráci a součinnosti s cílem zajistit ochranu finančních zájmů EU při provádění nástroje </w:t>
      </w:r>
      <w:proofErr w:type="spellStart"/>
      <w:r w:rsidRPr="00B04477">
        <w:rPr>
          <w:szCs w:val="24"/>
        </w:rPr>
        <w:t>N</w:t>
      </w:r>
      <w:r w:rsidR="0079577D" w:rsidRPr="00B04477">
        <w:rPr>
          <w:szCs w:val="24"/>
        </w:rPr>
        <w:t>extGenerationEU</w:t>
      </w:r>
      <w:proofErr w:type="spellEnd"/>
      <w:r w:rsidRPr="00B04477">
        <w:rPr>
          <w:szCs w:val="24"/>
        </w:rPr>
        <w:t>;</w:t>
      </w:r>
    </w:p>
    <w:p w14:paraId="2506E292" w14:textId="4227B4DB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6</w:t>
      </w:r>
      <w:r w:rsidR="00A11DE3">
        <w:rPr>
          <w:szCs w:val="24"/>
        </w:rPr>
        <w:t>9</w:t>
      </w:r>
      <w:r w:rsidRPr="00B04477">
        <w:rPr>
          <w:szCs w:val="24"/>
        </w:rPr>
        <w:t>.</w:t>
      </w:r>
      <w:r w:rsidRPr="00B04477">
        <w:rPr>
          <w:szCs w:val="24"/>
        </w:rPr>
        <w:tab/>
        <w:t>vítá strategickou iniciativu veřejné ochránkyně práv, která byla zahájena v únoru 2022 a jejímž cílem je prověřit transparentnost národních plánů pro oživení a odolnost, strategie informování veřejnosti a komunikace o Nástroji pro oživení a odolnost a způsob dohledu nad fondy; zdůrazňuje význam této iniciativy vzhledem k tomu, že výroční zpráva Ú</w:t>
      </w:r>
      <w:r w:rsidR="008920F0">
        <w:rPr>
          <w:szCs w:val="24"/>
        </w:rPr>
        <w:t>četního dvora</w:t>
      </w:r>
      <w:r w:rsidRPr="00B04477">
        <w:rPr>
          <w:szCs w:val="24"/>
        </w:rPr>
        <w:t xml:space="preserve"> za rok 2022 obsahovala vyšší odhadovanou míru chyb za daný rok; vítá úsilí veřejné ochránkyně práv o zlepšení standardů transparentnosti v Nástroji pro oživení a odolnost;</w:t>
      </w:r>
    </w:p>
    <w:p w14:paraId="142EC78B" w14:textId="255EC99C" w:rsidR="001458BC" w:rsidRPr="00B04477" w:rsidRDefault="00A11DE3" w:rsidP="00B04477">
      <w:pPr>
        <w:pStyle w:val="NormalHanging12a"/>
        <w:rPr>
          <w:szCs w:val="24"/>
        </w:rPr>
      </w:pPr>
      <w:r>
        <w:rPr>
          <w:szCs w:val="24"/>
        </w:rPr>
        <w:t>70</w:t>
      </w:r>
      <w:r w:rsidR="001458BC" w:rsidRPr="00B04477">
        <w:rPr>
          <w:szCs w:val="24"/>
        </w:rPr>
        <w:t>.</w:t>
      </w:r>
      <w:r w:rsidR="001458BC" w:rsidRPr="00B04477">
        <w:rPr>
          <w:szCs w:val="24"/>
        </w:rPr>
        <w:tab/>
        <w:t xml:space="preserve">připomíná „Fórum pro prosazování práva </w:t>
      </w:r>
      <w:proofErr w:type="spellStart"/>
      <w:r w:rsidR="001458BC" w:rsidRPr="00B04477">
        <w:rPr>
          <w:szCs w:val="24"/>
        </w:rPr>
        <w:t>Next</w:t>
      </w:r>
      <w:proofErr w:type="spellEnd"/>
      <w:r w:rsidR="001458BC" w:rsidRPr="00B04477">
        <w:rPr>
          <w:szCs w:val="24"/>
        </w:rPr>
        <w:t xml:space="preserve"> </w:t>
      </w:r>
      <w:proofErr w:type="spellStart"/>
      <w:r w:rsidR="001458BC" w:rsidRPr="00B04477">
        <w:rPr>
          <w:szCs w:val="24"/>
        </w:rPr>
        <w:t>Generation</w:t>
      </w:r>
      <w:proofErr w:type="spellEnd"/>
      <w:r w:rsidR="001458BC" w:rsidRPr="00B04477">
        <w:rPr>
          <w:szCs w:val="24"/>
        </w:rPr>
        <w:t xml:space="preserve"> EU“, což je společná iniciativa vedená společně </w:t>
      </w:r>
      <w:proofErr w:type="spellStart"/>
      <w:r w:rsidR="001458BC" w:rsidRPr="00B04477">
        <w:rPr>
          <w:szCs w:val="24"/>
        </w:rPr>
        <w:t>Europolem</w:t>
      </w:r>
      <w:proofErr w:type="spellEnd"/>
      <w:r w:rsidR="001458BC" w:rsidRPr="00B04477">
        <w:rPr>
          <w:szCs w:val="24"/>
        </w:rPr>
        <w:t xml:space="preserve"> a Itálií, která sdružuje </w:t>
      </w:r>
      <w:proofErr w:type="spellStart"/>
      <w:r w:rsidR="001458BC" w:rsidRPr="00B04477">
        <w:rPr>
          <w:szCs w:val="24"/>
        </w:rPr>
        <w:t>Europol</w:t>
      </w:r>
      <w:proofErr w:type="spellEnd"/>
      <w:r w:rsidR="001458BC" w:rsidRPr="00B04477">
        <w:rPr>
          <w:szCs w:val="24"/>
        </w:rPr>
        <w:t xml:space="preserve">, Úřad evropského </w:t>
      </w:r>
      <w:r w:rsidR="001458BC" w:rsidRPr="00B04477">
        <w:rPr>
          <w:szCs w:val="24"/>
        </w:rPr>
        <w:lastRenderedPageBreak/>
        <w:t xml:space="preserve">veřejného žalobce, úřad OLAF, </w:t>
      </w:r>
      <w:proofErr w:type="spellStart"/>
      <w:r w:rsidR="001458BC" w:rsidRPr="00B04477">
        <w:rPr>
          <w:szCs w:val="24"/>
        </w:rPr>
        <w:t>Eurojust</w:t>
      </w:r>
      <w:proofErr w:type="spellEnd"/>
      <w:r w:rsidR="001458BC" w:rsidRPr="00B04477">
        <w:rPr>
          <w:szCs w:val="24"/>
        </w:rPr>
        <w:t xml:space="preserve">, Agenturu Evropské unie pro vzdělávání a výcvik v oblasti prosazování práva a vnitrostátní orgány tím, že poskytuje fórum pro sdílení zpravodajských informací a koordinaci operací zaměřených na boj proti pronikání organizované trestné činnosti do legální ekonomiky a na ochranu stimulačního balíčku </w:t>
      </w:r>
      <w:proofErr w:type="spellStart"/>
      <w:r w:rsidR="001458BC" w:rsidRPr="00B04477">
        <w:rPr>
          <w:szCs w:val="24"/>
        </w:rPr>
        <w:t>N</w:t>
      </w:r>
      <w:r w:rsidR="00F360F2" w:rsidRPr="00B04477">
        <w:rPr>
          <w:szCs w:val="24"/>
        </w:rPr>
        <w:t>ext</w:t>
      </w:r>
      <w:proofErr w:type="spellEnd"/>
      <w:r w:rsidR="00F360F2" w:rsidRPr="00B04477">
        <w:rPr>
          <w:szCs w:val="24"/>
        </w:rPr>
        <w:t xml:space="preserve"> </w:t>
      </w:r>
      <w:proofErr w:type="spellStart"/>
      <w:r w:rsidR="00F360F2" w:rsidRPr="00B04477">
        <w:rPr>
          <w:szCs w:val="24"/>
        </w:rPr>
        <w:t>Generation</w:t>
      </w:r>
      <w:proofErr w:type="spellEnd"/>
      <w:r w:rsidR="00F360F2" w:rsidRPr="00B04477">
        <w:rPr>
          <w:szCs w:val="24"/>
        </w:rPr>
        <w:t xml:space="preserve"> EU</w:t>
      </w:r>
      <w:r w:rsidR="001458BC" w:rsidRPr="00B04477">
        <w:rPr>
          <w:szCs w:val="24"/>
        </w:rPr>
        <w:t xml:space="preserve"> se zvláštním zaměřením na korupci, daňové úniky, zpronevěru a praní peněz; vítá skutečnost, že iniciativa „</w:t>
      </w:r>
      <w:r w:rsidR="00F360F2" w:rsidRPr="00B04477">
        <w:rPr>
          <w:szCs w:val="24"/>
        </w:rPr>
        <w:t xml:space="preserve">„Fórum pro prosazování práva </w:t>
      </w:r>
      <w:proofErr w:type="spellStart"/>
      <w:r w:rsidR="00F360F2" w:rsidRPr="00B04477">
        <w:rPr>
          <w:szCs w:val="24"/>
        </w:rPr>
        <w:t>Next</w:t>
      </w:r>
      <w:proofErr w:type="spellEnd"/>
      <w:r w:rsidR="00F360F2" w:rsidRPr="00B04477">
        <w:rPr>
          <w:szCs w:val="24"/>
        </w:rPr>
        <w:t xml:space="preserve"> </w:t>
      </w:r>
      <w:proofErr w:type="spellStart"/>
      <w:r w:rsidR="00F360F2" w:rsidRPr="00B04477">
        <w:rPr>
          <w:szCs w:val="24"/>
        </w:rPr>
        <w:t>Generation</w:t>
      </w:r>
      <w:proofErr w:type="spellEnd"/>
      <w:r w:rsidR="00F360F2" w:rsidRPr="00B04477">
        <w:rPr>
          <w:szCs w:val="24"/>
        </w:rPr>
        <w:t xml:space="preserve"> EU</w:t>
      </w:r>
      <w:r w:rsidR="001458BC" w:rsidRPr="00B04477">
        <w:rPr>
          <w:szCs w:val="24"/>
        </w:rPr>
        <w:t>“ získala cenu evropské veřejné ochránkyně práv za řádnou správu 2023 v kategorii „nejpopulárnější u veřejnosti“;</w:t>
      </w:r>
    </w:p>
    <w:p w14:paraId="61A9E46E" w14:textId="40691FD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</w:t>
      </w:r>
      <w:r w:rsidR="00A11DE3">
        <w:rPr>
          <w:szCs w:val="24"/>
        </w:rPr>
        <w:t>1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je znepokojen tím, že stále existuje mnoho problémů, zejména kvůli nedostatečnému dohledu ze strany koordinačních orgánů, neúplným strategiím boje proti podvodům, chybějícím prvkům při posuzování rizika podvodů, potřebě zlepšit kontroly </w:t>
      </w:r>
      <w:r w:rsidRPr="00B04477">
        <w:rPr>
          <w:i/>
          <w:szCs w:val="24"/>
        </w:rPr>
        <w:t>ex</w:t>
      </w:r>
      <w:r w:rsidRPr="00B04477">
        <w:rPr>
          <w:szCs w:val="24"/>
        </w:rPr>
        <w:t xml:space="preserve"> </w:t>
      </w:r>
      <w:r w:rsidRPr="00B04477">
        <w:rPr>
          <w:i/>
          <w:szCs w:val="24"/>
        </w:rPr>
        <w:t>ante</w:t>
      </w:r>
      <w:r w:rsidRPr="00B04477">
        <w:rPr>
          <w:szCs w:val="24"/>
        </w:rPr>
        <w:t xml:space="preserve"> zaměřené na předcházení střetům zájmů, nízké účasti na vzdělávacích činnostech zaměřených na zvýšení povědomí o podvodech a nedostatkům v hlášení nesrovnalostí úřadu OLAF za účelem možného vyšetřování; žádá Komisi, aby informovala Parlament o zjištěných problémech, o doporučeních určených členským státům a o následných opatřeních přijatých k vyřešení problémů;</w:t>
      </w:r>
    </w:p>
    <w:p w14:paraId="4DAD2DFF" w14:textId="1BF66CF8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</w:t>
      </w:r>
      <w:r w:rsidR="00A11DE3">
        <w:rPr>
          <w:szCs w:val="24"/>
        </w:rPr>
        <w:t>2</w:t>
      </w:r>
      <w:r w:rsidRPr="00B04477">
        <w:rPr>
          <w:szCs w:val="24"/>
        </w:rPr>
        <w:t>.</w:t>
      </w:r>
      <w:r w:rsidRPr="00B04477">
        <w:rPr>
          <w:szCs w:val="24"/>
        </w:rPr>
        <w:tab/>
        <w:t>zdůrazňuje, že větší transparentnost hraje zásadní úlohu při odhalování podvodných systémů a odrazování od podvodného jednání; vyzývá k zavedení nových iniciativ a politik v oblasti transparentnosti na podporu odpovědnosti;</w:t>
      </w:r>
    </w:p>
    <w:p w14:paraId="07CA67E8" w14:textId="77777777" w:rsidR="001458BC" w:rsidRPr="00B04477" w:rsidRDefault="001458BC" w:rsidP="00B04477">
      <w:pPr>
        <w:pStyle w:val="Normal12a24b"/>
        <w:spacing w:before="0"/>
        <w:rPr>
          <w:szCs w:val="24"/>
        </w:rPr>
      </w:pPr>
      <w:r w:rsidRPr="00B04477">
        <w:rPr>
          <w:rStyle w:val="BoldItalic"/>
          <w:szCs w:val="24"/>
        </w:rPr>
        <w:t>Digitalizace a transparentnost pro posílení boje proti podvodům</w:t>
      </w:r>
    </w:p>
    <w:p w14:paraId="7B00E1B4" w14:textId="578563B0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vítá přezkum Ú</w:t>
      </w:r>
      <w:r w:rsidR="008920F0">
        <w:rPr>
          <w:szCs w:val="24"/>
        </w:rPr>
        <w:t>četního dvora</w:t>
      </w:r>
      <w:r w:rsidRPr="00B04477">
        <w:rPr>
          <w:szCs w:val="24"/>
        </w:rPr>
        <w:t xml:space="preserve"> </w:t>
      </w:r>
      <w:r w:rsidR="00327DB7">
        <w:rPr>
          <w:szCs w:val="24"/>
        </w:rPr>
        <w:t xml:space="preserve">č. </w:t>
      </w:r>
      <w:r w:rsidRPr="00B04477">
        <w:rPr>
          <w:szCs w:val="24"/>
        </w:rPr>
        <w:t>04/2023 nazvaný Digitalizace hospodaření s fondy EU, který zdůrazňuje, že „digitalizace má potenciál zefektivnit audity finančních prostředků EU“; upozorňuje na zjištění Účetního dvora, že existuje mnoho rozdílů v míře digitalizace výdajů EU, která je nejvíce centralizovaná tam, kde má Komise přímé řízení, a v oblastech spadajících pod ostatní způsoby řízení, například v rámci sdíleného řízení, je roztříštěnější;</w:t>
      </w:r>
    </w:p>
    <w:p w14:paraId="6BDFBFF5" w14:textId="168167DC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</w:t>
      </w:r>
      <w:r w:rsidR="00A11DE3">
        <w:rPr>
          <w:szCs w:val="24"/>
        </w:rPr>
        <w:t>4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si vědom toho, že úsilí Komise a dalších prováděcích orgánů v oblasti digitalizace rozpočtu EU musí ještě zdolat řadu překážek za účelem zvýšení kompatibility informačních systémů používaných mnoha zúčastněnými subjekty; v tomto ohledu oceňuje konzistentnost sdělení Komise ze dne 30. června 2022 nazvaného Digitální strategie Evropské komise – Digitální komise nové generace (C(2022)4388); poukazuje na to, že digitalizace je pro Komisi již řadu let strategickou prioritou; domnívá se, že zefektivnění správy finančních prostředků EU vyžaduje další zjednodušení IT prostředí, a opakuje, že interoperabilita by měla být začleněna do politik EU, aby se zvýšila kompatibilita mezi informačními systémy používanými mnoha zúčastněnými subjekty;</w:t>
      </w:r>
    </w:p>
    <w:p w14:paraId="01D406BB" w14:textId="7D7A2AB3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7</w:t>
      </w:r>
      <w:r w:rsidR="00A11DE3">
        <w:rPr>
          <w:b w:val="0"/>
          <w:szCs w:val="24"/>
        </w:rPr>
        <w:t>5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zdůrazňuje, že je nezbytné zvýšit úroveň interoperability datových systémů a harmonizovat podávání zpráv, monitorování a audit v EU; za tímto účelem znovu vyzývá Komisi, aby harmonizovala definice s cílem získat srovnatelné údaje v celé EU;</w:t>
      </w:r>
    </w:p>
    <w:p w14:paraId="3E12D6A0" w14:textId="52C515AE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</w:t>
      </w:r>
      <w:r w:rsidR="00A11DE3">
        <w:rPr>
          <w:szCs w:val="24"/>
        </w:rPr>
        <w:t>6</w:t>
      </w:r>
      <w:r w:rsidRPr="00B04477">
        <w:rPr>
          <w:szCs w:val="24"/>
        </w:rPr>
        <w:t>.</w:t>
      </w:r>
      <w:r w:rsidRPr="00B04477">
        <w:rPr>
          <w:szCs w:val="24"/>
        </w:rPr>
        <w:tab/>
        <w:t>zastává názor, že digitalizace posílila prevenci a odhalování podvodů, zjednodušila správní postupy a že musí tvořit hlavní složku každé strategie boje proti podvodům, včetně vnitrostátních strategií boje proti podvodům; vyzývá Komisi, aby znovu připomněla svá doporučení členským státům, které dosud nepřijaly vnitrostátní strategie boje proti podvodům, aby tak učinily a aby tyto své strategie pravidelně aktualizovaly a využívaly přitom možností, které nabízejí nové technologie;</w:t>
      </w:r>
    </w:p>
    <w:p w14:paraId="73C095C9" w14:textId="6DDD8967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lastRenderedPageBreak/>
        <w:t>7</w:t>
      </w:r>
      <w:r w:rsidR="00A11DE3">
        <w:rPr>
          <w:szCs w:val="24"/>
        </w:rPr>
        <w:t>7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připomíná svou rozhodnou podporu povinnému použití jednotného integrovaného informačního systému pro vytěžování dat a hodnocení rizik </w:t>
      </w:r>
      <w:proofErr w:type="spellStart"/>
      <w:r w:rsidRPr="00B04477">
        <w:rPr>
          <w:szCs w:val="24"/>
        </w:rPr>
        <w:t>Arachne</w:t>
      </w:r>
      <w:proofErr w:type="spellEnd"/>
      <w:r w:rsidRPr="00B04477">
        <w:rPr>
          <w:szCs w:val="24"/>
        </w:rPr>
        <w:t>, jak jej předpokládá přepracované znění finančního nařízení, který by měl zajistit lepší ochranu finančních zájmů Unie a doplňovat nástroje IT vyvinuté na vnitrostátní úrovni členskými státy;</w:t>
      </w:r>
    </w:p>
    <w:p w14:paraId="3E3F32CF" w14:textId="66ED2269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7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konstatuje, že z dostupných možností byl zdaleka nejpoužívanějším informačním systémem na podporu evropských strukturálních a investičních fondů a Nástroje pro oživení a odolnost systém </w:t>
      </w:r>
      <w:proofErr w:type="spellStart"/>
      <w:r w:rsidRPr="00B04477">
        <w:rPr>
          <w:szCs w:val="24"/>
        </w:rPr>
        <w:t>Arachne</w:t>
      </w:r>
      <w:proofErr w:type="spellEnd"/>
      <w:r w:rsidRPr="00B04477">
        <w:rPr>
          <w:szCs w:val="24"/>
        </w:rPr>
        <w:t xml:space="preserve"> (21 členských států); se znepokojením konstatuje, že řada členských států používala vlastní specializované IT nástroje pro boj proti podvodům, často ve spojení s nástroji EU, ačkoli oba tyto typy nástrojů byly jen zřídka interoperabilní, což brání odhalování podvodů a jejich oznamování Komisi;</w:t>
      </w:r>
    </w:p>
    <w:p w14:paraId="198D1388" w14:textId="324E08DC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7</w:t>
      </w:r>
      <w:r w:rsidR="00A11DE3">
        <w:rPr>
          <w:b w:val="0"/>
          <w:szCs w:val="24"/>
        </w:rPr>
        <w:t>9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zdůrazňuje, že systém EDES, který představuje černou listinu EU, má obrovský potenciál poukázat na osoby a společnosti, které zneužívají finanční prostředky EU; vyzývá, aby byl systém EDES rozšířen na všechny způsoby řízení, a zejména na sdílené řízení; zdůrazňuje, že různé přístupy členských států k opatřením na vylučování přispívají k nerovnoměrné ochraně finančních zájmů EU; vyzdvihuje, že je zapotřebí zavést povinné používání systému EDES jako společného systému vylučování hospodářských subjektů pro finanční prostředky spravované členskými státy; domnívá se, že toto posílení by umožnilo EU a členským státům lépe chránit finanční zájmy Unie a v konečném důsledku i peníze daňových poplatníků; naléhavě vyzývá členské státy, aby v zájmu ochrany finančních zájmů rozpočtu EU neprodleně přijaly toto rozšíření působnosti;</w:t>
      </w:r>
    </w:p>
    <w:p w14:paraId="54330433" w14:textId="76B6BD48" w:rsidR="001458BC" w:rsidRPr="00B04477" w:rsidRDefault="00A11DE3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>
        <w:rPr>
          <w:b w:val="0"/>
          <w:szCs w:val="24"/>
        </w:rPr>
        <w:t>80</w:t>
      </w:r>
      <w:r w:rsidR="001458BC" w:rsidRPr="00B04477">
        <w:rPr>
          <w:b w:val="0"/>
          <w:szCs w:val="24"/>
        </w:rPr>
        <w:t>.</w:t>
      </w:r>
      <w:r w:rsidR="001458BC" w:rsidRPr="00B04477">
        <w:rPr>
          <w:b w:val="0"/>
          <w:szCs w:val="24"/>
        </w:rPr>
        <w:tab/>
        <w:t>poukazuje na to, že konsolidace, centralizace a zveřejňování informací o příjemcích finančních prostředků EU poskytovaných členskými státy a dalšími prováděcími subjekty v jediné databázi by zvýšila finanční transparentnost, neboť by zahrnovala různé formy způsobů řízení a umožnila křížovou kontrolu a vyčerpávající analýzy; vyzývá Komisi, aby vybízela příslušné zúčastněné strany, včetně vnitrostátních orgánů, ke spolupráci na dosažení tohoto cíle; upozorňuje Komisi na to, že je třeba chránit osobní údaje a citlivé informace o příjemcích;</w:t>
      </w:r>
    </w:p>
    <w:p w14:paraId="4434F06B" w14:textId="5B88596F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8</w:t>
      </w:r>
      <w:r w:rsidR="00A11DE3">
        <w:rPr>
          <w:b w:val="0"/>
          <w:szCs w:val="24"/>
        </w:rPr>
        <w:t>1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trvá na tom, že digitalizace a nejmodernější nástroje IT na vnitrostátní úrovni a na úrovni EU by zlepšily řízení, kontrolu a audit finančních prostředků EU a mohly by přispět k předcházení nesrovnalostem a podstatnému snížení byrokracie, neboť digitalizace umožňuje snazší a rychlejší přístup k důležitým souborům údajů a jejich křížové kontroly na dálku, čímž by se zabránilo nutnosti kontrol na místě;</w:t>
      </w:r>
    </w:p>
    <w:p w14:paraId="3DF8152F" w14:textId="17ED6022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8</w:t>
      </w:r>
      <w:r w:rsidR="00A11DE3">
        <w:rPr>
          <w:b w:val="0"/>
          <w:szCs w:val="24"/>
        </w:rPr>
        <w:t>2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naprosto souhlasí s Ú</w:t>
      </w:r>
      <w:r w:rsidR="008920F0">
        <w:rPr>
          <w:b w:val="0"/>
          <w:szCs w:val="24"/>
        </w:rPr>
        <w:t>četním dvorem</w:t>
      </w:r>
      <w:r w:rsidRPr="00B04477">
        <w:rPr>
          <w:b w:val="0"/>
          <w:szCs w:val="24"/>
        </w:rPr>
        <w:t xml:space="preserve">, který ve své výroční zprávě za rok 2022 vyzývá k posunutí termínu pro zavedení systému IT pro vytěžování údajů a hodnocení rizik </w:t>
      </w:r>
      <w:proofErr w:type="spellStart"/>
      <w:r w:rsidRPr="00B04477">
        <w:rPr>
          <w:b w:val="0"/>
          <w:szCs w:val="24"/>
        </w:rPr>
        <w:t>Arachne</w:t>
      </w:r>
      <w:proofErr w:type="spellEnd"/>
      <w:r w:rsidRPr="00B04477">
        <w:rPr>
          <w:b w:val="0"/>
          <w:szCs w:val="24"/>
        </w:rPr>
        <w:t xml:space="preserve"> z roku 2028 na rok 2025; připomíná postoj Parlamentu, který vyzval, aby byl systém zaveden do roku 2026;</w:t>
      </w:r>
    </w:p>
    <w:p w14:paraId="71517D85" w14:textId="088DBB57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8</w:t>
      </w:r>
      <w:r w:rsidR="00A11DE3">
        <w:rPr>
          <w:b w:val="0"/>
          <w:szCs w:val="24"/>
        </w:rPr>
        <w:t>3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konstatuje, že digitalizace boje proti podvodům je rovněž jedním z témat revize akčního plánu zahájeného v roce 2022 a přijatého v červenci 2023, který doprovází strategii Komise pro boj proti podvodům z roku 2019 a který je přizpůsoben rychle se měnícím hospodářským a sociálním scénářům a novým výzvám; je si vědom toho, že Komise úspěšně provedla 60 z celkových 63 opatření předchozího plánu a že některá z nich jsou trvalého rázu a nadále probíhají; vyzývá Komisi, aby Parlamentu předložila související kritéria a normy, které jsou schváleny v revidovaném akčním plánu;</w:t>
      </w:r>
    </w:p>
    <w:p w14:paraId="5E49422A" w14:textId="4058BAEB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lastRenderedPageBreak/>
        <w:t>8</w:t>
      </w:r>
      <w:r w:rsidR="00A11DE3">
        <w:rPr>
          <w:b w:val="0"/>
          <w:szCs w:val="24"/>
        </w:rPr>
        <w:t>4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vyzývá k uznání, že je důležité začlenit vizuální pomůcky, jako jsou tabulky a grafy, aby byly statistické informace přístupnější a srozumitelnější;</w:t>
      </w:r>
    </w:p>
    <w:p w14:paraId="3B7C1FFF" w14:textId="270799B2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8</w:t>
      </w:r>
      <w:r w:rsidR="00A11DE3">
        <w:rPr>
          <w:b w:val="0"/>
          <w:szCs w:val="24"/>
        </w:rPr>
        <w:t>5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žádá, aby byly při zjišťování nesrovnalostí používány pokročilé analýzy dat, umělá inteligence a strojové učení;</w:t>
      </w:r>
    </w:p>
    <w:p w14:paraId="23E45234" w14:textId="77777777" w:rsidR="001458BC" w:rsidRPr="00B04477" w:rsidRDefault="001458BC" w:rsidP="00B04477">
      <w:pPr>
        <w:pStyle w:val="Normal12a24b"/>
        <w:spacing w:before="0"/>
        <w:rPr>
          <w:szCs w:val="24"/>
        </w:rPr>
      </w:pPr>
      <w:r w:rsidRPr="00B04477">
        <w:rPr>
          <w:rStyle w:val="BoldItalic"/>
          <w:szCs w:val="24"/>
        </w:rPr>
        <w:t xml:space="preserve">Struktura boje proti podvodům v EU a klíčová opatření v roce 2022 </w:t>
      </w:r>
    </w:p>
    <w:p w14:paraId="09326332" w14:textId="69A010B6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8</w:t>
      </w:r>
      <w:r w:rsidR="00A11DE3">
        <w:rPr>
          <w:b w:val="0"/>
          <w:szCs w:val="24"/>
        </w:rPr>
        <w:t>6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vítá opatření, která Komise zahájila v roce 2022 za účelem zvýšení úrovně ochrany finančních zájmů EU, vyzývá však, aby se nepolevovalo v ostražitosti a aby byla v této oblasti zavedena doplňující opatření;</w:t>
      </w:r>
    </w:p>
    <w:p w14:paraId="6D142185" w14:textId="58306FEC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8</w:t>
      </w:r>
      <w:r w:rsidR="00A11DE3">
        <w:rPr>
          <w:b w:val="0"/>
          <w:szCs w:val="24"/>
        </w:rPr>
        <w:t>7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 xml:space="preserve">připomíná, že ve svých předchozích usneseních zdůraznil, že boj proti podvodům na úkor rozpočtu EU může být účinný pouze tehdy, bude-li řešen komplexně, zahrnovat všechny fáze cyklu boje proti podvodům a vycházet ze zkušeností mnoha zúčastněných stran, procesů a opatření; poukazuje na to, že čtyři fáze tohoto cyklu (prevence, odhalení, vyšetřování a trestní stíhání a zpětné získání prostředků a sankce) vyžadují, aby analýzy rizik, postupy podávání zpráv a spolupráce probíhaly </w:t>
      </w:r>
      <w:proofErr w:type="spellStart"/>
      <w:r w:rsidRPr="00B04477">
        <w:rPr>
          <w:b w:val="0"/>
          <w:szCs w:val="24"/>
        </w:rPr>
        <w:t>harmonizovaně</w:t>
      </w:r>
      <w:proofErr w:type="spellEnd"/>
      <w:r w:rsidRPr="00B04477">
        <w:rPr>
          <w:b w:val="0"/>
          <w:szCs w:val="24"/>
        </w:rPr>
        <w:t xml:space="preserve"> na legislativní, správní, organizační a provozní úrovni; upozorňuje na připomínku </w:t>
      </w:r>
      <w:r w:rsidRPr="008920F0">
        <w:rPr>
          <w:b w:val="0"/>
          <w:szCs w:val="24"/>
        </w:rPr>
        <w:t>Ú</w:t>
      </w:r>
      <w:r w:rsidR="008920F0" w:rsidRPr="00876E88">
        <w:rPr>
          <w:b w:val="0"/>
          <w:szCs w:val="24"/>
        </w:rPr>
        <w:t>četního dvora</w:t>
      </w:r>
      <w:r w:rsidRPr="00B04477">
        <w:rPr>
          <w:b w:val="0"/>
          <w:szCs w:val="24"/>
        </w:rPr>
        <w:t xml:space="preserve"> v jeho zvláštní zprávě o finančním prostředí EU</w:t>
      </w:r>
      <w:r w:rsidRPr="00B04477">
        <w:rPr>
          <w:rStyle w:val="FootnoteReference"/>
          <w:b w:val="0"/>
          <w:szCs w:val="24"/>
        </w:rPr>
        <w:footnoteReference w:id="24"/>
      </w:r>
      <w:r w:rsidRPr="00B04477">
        <w:rPr>
          <w:b w:val="0"/>
          <w:szCs w:val="24"/>
        </w:rPr>
        <w:t>, že složitá plejáda finančních prostředků a nástrojů doplňujících rozpočet EU s sebou nese stále větší riziko závažných nedostatků v systému auditu a kontroly a nedostatečné odpovědnosti; domnívá se, že tato složitost vyžaduje stejně komplexní a cílený přístup k ochraně dotčených finančních zájmů, aby mohly být řešeny nesrovnalosti a podvody, k nimž by mohlo dojít zneužitím celkové neprůhlednosti finančního prostředí; připomíná, že současná roztříštěnost dostupných údajů vyžaduje standardizovaná opatření ke shromažďování, srovnávání a agregaci informací a údajů, zejména o konečných příjemcích a příjemcích finančních prostředků Unie, pro účely auditu a kontroly včetně vyšetřování;</w:t>
      </w:r>
    </w:p>
    <w:p w14:paraId="3856D989" w14:textId="554284E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8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>zdůrazňuje, že program Unie pro boj proti podvodům byl vypracován na období sedmi let, od roku 2021 do roku 2027, a rok 2022 je druhým rokem jeho provádění v režimu přímého řízení za účasti úřadu OLAF jako hlavního útvaru pro provádění programu;</w:t>
      </w:r>
    </w:p>
    <w:p w14:paraId="76E43E19" w14:textId="73F084E6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8</w:t>
      </w:r>
      <w:r w:rsidR="00A11DE3">
        <w:rPr>
          <w:szCs w:val="24"/>
        </w:rPr>
        <w:t>9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konstatuje, že v rozhodnutí o financování na rok 2022 bylo </w:t>
      </w:r>
      <w:proofErr w:type="gramStart"/>
      <w:r w:rsidRPr="00B04477">
        <w:rPr>
          <w:szCs w:val="24"/>
        </w:rPr>
        <w:t>přiděleno</w:t>
      </w:r>
      <w:proofErr w:type="gramEnd"/>
      <w:r w:rsidRPr="00B04477">
        <w:rPr>
          <w:szCs w:val="24"/>
        </w:rPr>
        <w:t xml:space="preserve"> 15,4 milionu EUR na složku programu </w:t>
      </w:r>
      <w:proofErr w:type="spellStart"/>
      <w:proofErr w:type="gramStart"/>
      <w:r w:rsidRPr="00B04477">
        <w:rPr>
          <w:szCs w:val="24"/>
        </w:rPr>
        <w:t>Hercule</w:t>
      </w:r>
      <w:proofErr w:type="spellEnd"/>
      <w:proofErr w:type="gramEnd"/>
      <w:r w:rsidRPr="00B04477">
        <w:rPr>
          <w:szCs w:val="24"/>
        </w:rPr>
        <w:t>, 9 milionů EUR na složku Informačního systému pro boj proti podvodům (AFIS) a přibližně 1 milion EUR na složku systému IMS, z nichž byly příslušným prováděcím orgánům poskytovány granty a zajišťováno financování specializovaného vzdělávání, databází, podpory výzkumu, sledování a analýz;</w:t>
      </w:r>
    </w:p>
    <w:p w14:paraId="2D2F436A" w14:textId="6D277199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0</w:t>
      </w:r>
      <w:r w:rsidRPr="00B04477">
        <w:rPr>
          <w:szCs w:val="24"/>
        </w:rPr>
        <w:t>.</w:t>
      </w:r>
      <w:r w:rsidRPr="00B04477">
        <w:rPr>
          <w:szCs w:val="24"/>
        </w:rPr>
        <w:tab/>
        <w:t>připomíná, že systém IMS nyní využívá 35 zemí, včetně členských států a dalších přijímajících zemí, se zhruba 700 vykazujícími organizacemi, které pokrývají více než 3 000 uživatelů systému IMS a několik oblastí, včetně Nástroje pro oživení a odolnost a dalších oblastí, jako je azyl, sousedství a předvstupní pomoc, jakož i tradiční oblasti zemědělství, soudržnosti a rybolovu;</w:t>
      </w:r>
    </w:p>
    <w:p w14:paraId="0939F694" w14:textId="1D3DF923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1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oceňuje vzájemně se doplňující úlohy programů </w:t>
      </w:r>
      <w:proofErr w:type="spellStart"/>
      <w:r w:rsidRPr="00B04477">
        <w:rPr>
          <w:szCs w:val="24"/>
        </w:rPr>
        <w:t>Fiscalis</w:t>
      </w:r>
      <w:proofErr w:type="spellEnd"/>
      <w:r w:rsidRPr="00B04477">
        <w:rPr>
          <w:szCs w:val="24"/>
        </w:rPr>
        <w:t xml:space="preserve">, cel a Nástroje pro finanční podporu vybavení pro celní kontroly a je přesvědčen, že synergické účinky využití této </w:t>
      </w:r>
      <w:r w:rsidRPr="00B04477">
        <w:rPr>
          <w:szCs w:val="24"/>
        </w:rPr>
        <w:lastRenderedPageBreak/>
        <w:t>finanční podpory přinesou hmatatelná zlepšení v oblasti daní, sdílení informací o rizicích a zajistí modernizaci vybavení pro celní kontroly na špičkové úrovni;</w:t>
      </w:r>
    </w:p>
    <w:p w14:paraId="0FB540AB" w14:textId="6D8B859C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9</w:t>
      </w:r>
      <w:r w:rsidR="00A11DE3">
        <w:rPr>
          <w:b w:val="0"/>
          <w:snapToGrid w:val="0"/>
          <w:szCs w:val="24"/>
        </w:rPr>
        <w:t>2</w:t>
      </w:r>
      <w:r w:rsidRPr="00B04477">
        <w:rPr>
          <w:b w:val="0"/>
          <w:snapToGrid w:val="0"/>
          <w:szCs w:val="24"/>
        </w:rPr>
        <w:t>.</w:t>
      </w:r>
      <w:r w:rsidRPr="00B04477">
        <w:rPr>
          <w:b w:val="0"/>
          <w:snapToGrid w:val="0"/>
          <w:szCs w:val="24"/>
        </w:rPr>
        <w:tab/>
        <w:t>vyjadřuje politování nad tím, že účast členských států v úřadu EPPO není povinná; připomíná, že v roce 2022 se na činnosti úřadu EPPO podílelo pouze 22 členských států, přičemž stejných pět zemí jako v roce 2021 se neúčastnilo; trvá na tom, že členské státy, které se dosud na jeho činnosti nepodílí, tak musí neprodleně učinit; vyzývá Komisi, aby k účasti v úřadu EPPO motivovala pozitivními opatřeními;</w:t>
      </w:r>
    </w:p>
    <w:p w14:paraId="377E9CBD" w14:textId="1C919FF8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vítá výroční zprávu úřadu EPPO za rok 2022, která obsahuje výsledky za první celý kalendářní rok operativní činnosti; konstatuje, že úřad EPPO zpracoval 3 318 oznámení trestných činů (ve srovnání s 2 832 oznámeními přijatými za sedm měsíců operativní činnosti v roce 2021) a v roce 2022 zahájil 865 vyšetřování (v období od června do prosince 2021 jich bylo zahájeno 576); poukazuje na zmrazení 359,1 milionu EUR (ve srovnání se 157,3 milionu EUR v roce 2021), které vzešlo z vyšetřování úřadu EPPO, což představuje více než sedminásobek rozpočtu úřadu EPPO, a na to, že podle odhadů úřadu EPPO činila do konce roku 2022 výše škod v důsledku pochybení 14,1 miliardy EUR, v souvislosti s nimiž vedl úřad celkem 1 117 aktivních vyšetřování;</w:t>
      </w:r>
    </w:p>
    <w:p w14:paraId="0F4FD67B" w14:textId="19B2AEF5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9</w:t>
      </w:r>
      <w:r w:rsidR="00A11DE3">
        <w:rPr>
          <w:b w:val="0"/>
          <w:snapToGrid w:val="0"/>
          <w:szCs w:val="24"/>
        </w:rPr>
        <w:t>4</w:t>
      </w:r>
      <w:r w:rsidRPr="00B04477">
        <w:rPr>
          <w:b w:val="0"/>
          <w:snapToGrid w:val="0"/>
          <w:szCs w:val="24"/>
        </w:rPr>
        <w:t>.</w:t>
      </w:r>
      <w:r w:rsidRPr="00B04477">
        <w:rPr>
          <w:b w:val="0"/>
          <w:snapToGrid w:val="0"/>
          <w:szCs w:val="24"/>
        </w:rPr>
        <w:tab/>
        <w:t>vyzývá Komisi, aby zahájila konstruktivní dialog s úřadem EPPO s cílem posílit jeho schopnost řešit stále narůstající problémy v oblasti boje proti podvodům a aby vyřešila případné nedostatky zjištěné v nařízení o úřadu EPPO</w:t>
      </w:r>
      <w:r w:rsidRPr="00B04477">
        <w:rPr>
          <w:rStyle w:val="FootnoteReference"/>
          <w:b w:val="0"/>
          <w:snapToGrid w:val="0"/>
          <w:szCs w:val="24"/>
          <w:lang w:eastAsia="en-US"/>
        </w:rPr>
        <w:footnoteReference w:id="25"/>
      </w:r>
      <w:r w:rsidRPr="00B04477">
        <w:rPr>
          <w:b w:val="0"/>
          <w:snapToGrid w:val="0"/>
          <w:szCs w:val="24"/>
        </w:rPr>
        <w:t>; zároveň zdůrazňuje, že je zapotřebí zajistit hlavní zásadu a pravidla stanovená v nařízení o úřadu EPPO, a to že tento úřad musí být nezávislý a disponovat samostatným rozpočtem, aby mohl jednat v zájmu Unie jako celku a v souladu s nařízením o podmíněnosti;</w:t>
      </w:r>
    </w:p>
    <w:p w14:paraId="04E3DBAB" w14:textId="76EEB9E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5</w:t>
      </w:r>
      <w:r w:rsidRPr="00B04477">
        <w:rPr>
          <w:szCs w:val="24"/>
        </w:rPr>
        <w:t>.</w:t>
      </w:r>
      <w:r w:rsidRPr="00B04477">
        <w:rPr>
          <w:szCs w:val="24"/>
        </w:rPr>
        <w:tab/>
        <w:t>vyzývá Komisi, aby zajistila, že bude zachována účinnost a účelnost práce úřadu OLAF v oblasti odhalování korupce a podvodů, a proto se musí uvážit, zda je snížení ročního rozpočtu úřadu OLAF plánované na zaměstnance na plný úvazek v souladu se skutečnými provozními potřebami úřadu OLAF, jak je uvedeno v jeho výroční zprávě;</w:t>
      </w:r>
    </w:p>
    <w:p w14:paraId="346EDE54" w14:textId="3F5DD484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6</w:t>
      </w:r>
      <w:r w:rsidRPr="00B04477">
        <w:rPr>
          <w:szCs w:val="24"/>
        </w:rPr>
        <w:t>.</w:t>
      </w:r>
      <w:r w:rsidRPr="00B04477">
        <w:rPr>
          <w:szCs w:val="24"/>
        </w:rPr>
        <w:tab/>
        <w:t>vítá zvýšené úsilí v oblasti odhalování podvodů a jeho výsledky, které vychází z výzev úřadu EPPO a Parlamentu, což dokládá počet vyšetřování podvodů v EU zahájených ve 22 členských státech účastnících se činnosti úřadu, který je vyšší než historický průměr před založením úřadu EPPO; v této souvislosti vyjadřuje ocenění operaci Admirál, která odhalila karuselový podvod s DPH páchaný organizovanou skupinou pachatelů trestné činnosti působící v několika členských státech a odpovědnou za podvody v odhadované výši 2,2 miliardy EUR;</w:t>
      </w:r>
    </w:p>
    <w:p w14:paraId="1C5400A1" w14:textId="0DAE9576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7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vyjadřuje ocenění spolupráci mezi úřadem OLAF a úřadem EPPO, na kterou upozorňuje jak výroční zpráva úřadu OLAF, tak i výroční zpráva úřadu EPPO; má za to, že mezi oběma úřady dochází k pravidelné výměně informací, zejména že úřad EPPO odpověděl na 133 žádostí o pozitivní/negativní nález zaslaných úřadem OLAF, čímž se zamezilo souběžnému vyšetřování stejných skutečností; vyzývá úřady OLAF a EPPO, aby koordinovaly podávání zpráv o opatřeních, která byla zahájena za účelem konkrétní spolupráce, a to zejména s ohledem na počet doplňkových vyšetřování vyžádaných úřadem OLAF (bývalý čl. 12 písm. f) nařízení o úřadu EPPO) a počet </w:t>
      </w:r>
      <w:r w:rsidRPr="00B04477">
        <w:rPr>
          <w:szCs w:val="24"/>
        </w:rPr>
        <w:lastRenderedPageBreak/>
        <w:t>případů na podporu vyšetřování úřadu EPPO vyžádaných úřadem EPPO (bývalý čl. 12 písm. e) nařízení o úřadu EPPO);</w:t>
      </w:r>
    </w:p>
    <w:p w14:paraId="5DA8D83C" w14:textId="7DA88A9C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si vědom skutečnosti, že v září 2022 se uskutečnil první roční přezkum na vysoké úrovni týkající se spolupráce mezi úřadem EPPO a Komisí, který se zabýval mimo jiné otázkami vzájemného podávání zpráv, přístupu k databázím a institucionálního statusu úřadu EPPO;</w:t>
      </w:r>
    </w:p>
    <w:p w14:paraId="317C5508" w14:textId="45DA6C19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9</w:t>
      </w:r>
      <w:r w:rsidR="00A11DE3">
        <w:rPr>
          <w:szCs w:val="24"/>
        </w:rPr>
        <w:t>9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znepokojen nedostatkem informací o správním vymáhání částek splatných do rozpočtu Unie, které provedla Komise na základě podnětů úřadu EPPO, jak je stanoveno v čl. 103 odst. 2 nařízení o úřadu EPPO, který odkazuje na povinnost úřadu EPPO informovat Komisi bezodkladně a aniž by byla dotčena důvěrnost, a jak je stanoveno v čl. 6 odst. 4 písm. c) dohody mezi úřadem EPPO a Komisí ze dne 18. června 2021, který odkazuje na ochranná a nápravná opatření; žádá Komisi a úřad EPPO, aby Parlament informovaly o provádění tohoto důležitého nástroje;</w:t>
      </w:r>
    </w:p>
    <w:p w14:paraId="09D6E894" w14:textId="6771C46F" w:rsidR="001458BC" w:rsidRPr="00B04477" w:rsidRDefault="00A11DE3" w:rsidP="00B04477">
      <w:pPr>
        <w:pStyle w:val="NormalHanging12a"/>
        <w:rPr>
          <w:szCs w:val="24"/>
        </w:rPr>
      </w:pPr>
      <w:r>
        <w:rPr>
          <w:szCs w:val="24"/>
        </w:rPr>
        <w:t>100</w:t>
      </w:r>
      <w:r w:rsidR="001458BC" w:rsidRPr="00B04477">
        <w:rPr>
          <w:szCs w:val="24"/>
        </w:rPr>
        <w:t>.</w:t>
      </w:r>
      <w:r w:rsidR="001458BC" w:rsidRPr="00B04477">
        <w:rPr>
          <w:szCs w:val="24"/>
        </w:rPr>
        <w:tab/>
        <w:t xml:space="preserve">konstatuje, že úřad EPPO a </w:t>
      </w:r>
      <w:proofErr w:type="spellStart"/>
      <w:r w:rsidR="001458BC" w:rsidRPr="00B04477">
        <w:rPr>
          <w:szCs w:val="24"/>
        </w:rPr>
        <w:t>Europol</w:t>
      </w:r>
      <w:proofErr w:type="spellEnd"/>
      <w:r w:rsidR="001458BC" w:rsidRPr="00B04477">
        <w:rPr>
          <w:szCs w:val="24"/>
        </w:rPr>
        <w:t xml:space="preserve"> účinně spolupracují v různých operativních záležitostech v rámci řídícího výboru úřadu EPPO a </w:t>
      </w:r>
      <w:proofErr w:type="spellStart"/>
      <w:r w:rsidR="001458BC" w:rsidRPr="00B04477">
        <w:rPr>
          <w:szCs w:val="24"/>
        </w:rPr>
        <w:t>Europolu</w:t>
      </w:r>
      <w:proofErr w:type="spellEnd"/>
      <w:r w:rsidR="001458BC" w:rsidRPr="00B04477">
        <w:rPr>
          <w:szCs w:val="24"/>
        </w:rPr>
        <w:t xml:space="preserve">; má za to, že </w:t>
      </w:r>
      <w:proofErr w:type="spellStart"/>
      <w:r w:rsidR="001458BC" w:rsidRPr="00B04477">
        <w:rPr>
          <w:szCs w:val="24"/>
        </w:rPr>
        <w:t>Europol</w:t>
      </w:r>
      <w:proofErr w:type="spellEnd"/>
      <w:r w:rsidR="001458BC" w:rsidRPr="00B04477">
        <w:rPr>
          <w:szCs w:val="24"/>
        </w:rPr>
        <w:t xml:space="preserve"> poskytl na žádost úřadu EPPO podporu (výměna informací, analytická podpora, odborné znalosti) ve 28 případech a že se úřad EPPO zapojil do aplikace sítě pro bezpečnou výměnu informací (SIENA), která zajišťuje bezpečný komunikační kanál v rámci operativní spolupráce;</w:t>
      </w:r>
    </w:p>
    <w:p w14:paraId="14A532FC" w14:textId="1289CFDC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10</w:t>
      </w:r>
      <w:r w:rsidR="00A11DE3">
        <w:rPr>
          <w:szCs w:val="24"/>
        </w:rPr>
        <w:t>1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konstatuje, že v roce 2022 probíhala spolupráce mezi příslušnými aktéry uspokojivým způsobem, přičemž styčné týmy úřadu EPPO a </w:t>
      </w:r>
      <w:proofErr w:type="spellStart"/>
      <w:r w:rsidRPr="00B04477">
        <w:rPr>
          <w:szCs w:val="24"/>
        </w:rPr>
        <w:t>Eurojustu</w:t>
      </w:r>
      <w:proofErr w:type="spellEnd"/>
      <w:r w:rsidRPr="00B04477">
        <w:rPr>
          <w:szCs w:val="24"/>
        </w:rPr>
        <w:t xml:space="preserve"> se v roce 2022 setkaly dvakrát, v </w:t>
      </w:r>
      <w:proofErr w:type="spellStart"/>
      <w:r w:rsidRPr="00B04477">
        <w:rPr>
          <w:szCs w:val="24"/>
        </w:rPr>
        <w:t>Eurojustu</w:t>
      </w:r>
      <w:proofErr w:type="spellEnd"/>
      <w:r w:rsidRPr="00B04477">
        <w:rPr>
          <w:szCs w:val="24"/>
        </w:rPr>
        <w:t xml:space="preserve"> bylo řešeno 15 probíhajících případů EPPO a vyšetřovací oddělení Evropské investiční banky (EIB IG/IN) postoupilo úřadu OLAF, úřadu EPPO a dalším agenturám v rámci mnohostranných rozvojových bank a národních rozvojových agentur pověřených příslušnými činnostmi 63 případů; poznamenává, že v září 2022 se přibližně 100 státních zástupců a zaměstnanců úřadu EPPO zúčastnilo online osvětového semináře o činnostech EIB a EIF s cílem zvýšit účinnost spolupráce mezi úřadem EPPO a oddělením IG/IN, která byla zavedena v rámci pracovního ujednání na rok 2021;</w:t>
      </w:r>
    </w:p>
    <w:p w14:paraId="20A1B063" w14:textId="4BF7F639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10</w:t>
      </w:r>
      <w:r w:rsidR="00A11DE3">
        <w:rPr>
          <w:szCs w:val="24"/>
        </w:rPr>
        <w:t>2</w:t>
      </w:r>
      <w:r w:rsidRPr="00B04477">
        <w:rPr>
          <w:szCs w:val="24"/>
        </w:rPr>
        <w:t>.</w:t>
      </w:r>
      <w:r w:rsidRPr="00B04477">
        <w:rPr>
          <w:szCs w:val="24"/>
        </w:rPr>
        <w:tab/>
        <w:t>zdůrazňuje přidanou hodnotu, kterou orgány EU přinášejí ochraně finančních zájmů Unie a boji proti podvodům, zejména v případě přeshraniční trestné činnosti, jak ukazují operativní výsledky úřadu EPPO a úřadu OLAF i v roce 2022; opakuje svou výzvu k zajištění dostatečných zdrojů pro všechny subjekty EU zapojené do boje proti podvodům a v této souvislosti připomíná Komisi a Radě, že každé euro vynaložené na vyšetřování a boj proti podvodům se vrací do rozpočtu EU;</w:t>
      </w:r>
    </w:p>
    <w:p w14:paraId="75F87A56" w14:textId="02ADD79B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10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podotýká, že v roce 2022 vedlo řízení o vyloučení, které EIB zahájila na základě šetření oddělení IG/IN, k vyloučení čtyř hospodářských subjektů z účasti na veškerých projektech nebo činnostech financovaných EIB; vyzývá Komisi, aby vzhledem k tomu, že finanční a správní rámcové dohody s EIB a EIF zahrnují pouze pět ze sedmi situací zakládajících vyloučení v rámci systému EDES, posoudila možnost sjednocení kritérií pro vyloučení, která používají EIB a EIF, s kritérii používanými v systému EDES;</w:t>
      </w:r>
    </w:p>
    <w:p w14:paraId="587A342B" w14:textId="62350230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10</w:t>
      </w:r>
      <w:r w:rsidR="00A11DE3">
        <w:rPr>
          <w:szCs w:val="24"/>
        </w:rPr>
        <w:t>4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připomíná, že neúčinná nebo opožděná spolupráce členských států s úřady EPPO a OLAF nebo absence této spolupráce je důvodem pro přijetí opatření podle nařízení o podmíněnosti; vyzývá proto úřady EPPO a OLAF, aby informovaly o každém případu, </w:t>
      </w:r>
      <w:r w:rsidRPr="00B04477">
        <w:rPr>
          <w:szCs w:val="24"/>
        </w:rPr>
        <w:lastRenderedPageBreak/>
        <w:t>kdy členské státy nesplnily svou povinnost informovat, pomáhat, uskutečňovat vhodné kroky a přijímat preventivní opatření a zajistit vhodná a včasná následná opatření v návaznosti na zprávy a doporučení;</w:t>
      </w:r>
    </w:p>
    <w:p w14:paraId="63304A6F" w14:textId="26A1E414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10</w:t>
      </w:r>
      <w:r w:rsidR="00A11DE3">
        <w:rPr>
          <w:szCs w:val="24"/>
        </w:rPr>
        <w:t>5</w:t>
      </w:r>
      <w:r w:rsidRPr="00B04477">
        <w:rPr>
          <w:szCs w:val="24"/>
        </w:rPr>
        <w:t>.</w:t>
      </w:r>
      <w:r w:rsidRPr="00B04477">
        <w:rPr>
          <w:szCs w:val="24"/>
        </w:rPr>
        <w:tab/>
        <w:t>má za to, že celková úroveň provádění doporučení Komise vydaných ve zprávě o ochraně finančních zájmů Evropské unie za rok 2021 ve všech členských státech je pokládána za uspokojivou, pokud jde o začlenění specializovaných IT nástrojů pro boj proti podvodům do boje členských států proti podvodům, posílení analýzy rizik a obecně rozvoj IT systémů na straně příjmů i výdajů;</w:t>
      </w:r>
    </w:p>
    <w:p w14:paraId="4EA464FB" w14:textId="2BB78851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10</w:t>
      </w:r>
      <w:r w:rsidR="00A11DE3">
        <w:rPr>
          <w:b w:val="0"/>
          <w:snapToGrid w:val="0"/>
          <w:szCs w:val="24"/>
        </w:rPr>
        <w:t>6</w:t>
      </w:r>
      <w:r w:rsidRPr="00B04477">
        <w:rPr>
          <w:b w:val="0"/>
          <w:snapToGrid w:val="0"/>
          <w:szCs w:val="24"/>
        </w:rPr>
        <w:t>.</w:t>
      </w:r>
      <w:r w:rsidRPr="00B04477">
        <w:rPr>
          <w:b w:val="0"/>
          <w:snapToGrid w:val="0"/>
          <w:szCs w:val="24"/>
        </w:rPr>
        <w:tab/>
        <w:t>upozorňuje na významné rozdíly mezi členskými státy, které lze stále pozorovat při odhalování, oznamování a přijímání následných opatření v souvislosti s podezřením na spáchání podvodu; vybízí proto členské státy, aby aktivně přistupovaly k ochraně finančních zájmů Unie, posílily výměnu informací mezi svými vnitrostátními orgány a s institucemi a agenturami EU, a to i s cílem včas identifikovat a řešit nová rizika a trendy podvodů;</w:t>
      </w:r>
    </w:p>
    <w:p w14:paraId="13C2D72A" w14:textId="3AF555FB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zCs w:val="24"/>
        </w:rPr>
      </w:pPr>
      <w:r w:rsidRPr="00B04477">
        <w:rPr>
          <w:b w:val="0"/>
          <w:szCs w:val="24"/>
        </w:rPr>
        <w:t>10</w:t>
      </w:r>
      <w:r w:rsidR="00A11DE3">
        <w:rPr>
          <w:b w:val="0"/>
          <w:szCs w:val="24"/>
        </w:rPr>
        <w:t>7</w:t>
      </w:r>
      <w:r w:rsidRPr="00B04477">
        <w:rPr>
          <w:b w:val="0"/>
          <w:szCs w:val="24"/>
        </w:rPr>
        <w:t>.</w:t>
      </w:r>
      <w:r w:rsidRPr="00B04477">
        <w:rPr>
          <w:b w:val="0"/>
          <w:szCs w:val="24"/>
        </w:rPr>
        <w:tab/>
        <w:t>schvaluje záměr Komise zahájit sledování stavu koordinačních služeb pro boj proti podvodům zřízených v členských státech; připomíná, že je třeba lépe vyjasnit definici struktury, úlohy, odpovědnosti a mandátu služeb pro boj proti podvodům, aby byly zaručeny homogenní a harmonizované podmínky v celé Unii, a tím se usnadnila jejich spolupráce a výměna informací; znovu žádá Komisi, aby aktualizovala pokyny pro služby pro boj proti podvodům, které byly poprvé formulovány v roce 2015 a které již nesplňují požadavky na účinnou pomoc vnitrostátním orgánům při vytváření dobře strukturované koordinační služby; dále žádá Komisi, aby podávala zprávy o probíhající činnosti v tomto ohledu a o výsledcích sledování orgánu příslušnému k udělení absolutoria;</w:t>
      </w:r>
    </w:p>
    <w:p w14:paraId="34C521E7" w14:textId="70F04DC1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10</w:t>
      </w:r>
      <w:r w:rsidR="00A11DE3">
        <w:rPr>
          <w:b w:val="0"/>
          <w:snapToGrid w:val="0"/>
          <w:szCs w:val="24"/>
        </w:rPr>
        <w:t>8</w:t>
      </w:r>
      <w:r w:rsidRPr="00B04477">
        <w:rPr>
          <w:b w:val="0"/>
          <w:snapToGrid w:val="0"/>
          <w:szCs w:val="24"/>
        </w:rPr>
        <w:t>.</w:t>
      </w:r>
      <w:r w:rsidRPr="00B04477">
        <w:rPr>
          <w:b w:val="0"/>
          <w:snapToGrid w:val="0"/>
          <w:szCs w:val="24"/>
        </w:rPr>
        <w:tab/>
        <w:t>poznamenává, že je nezbytné, aby co nejvíce členských států přijalo nebo aktualizovalo vnitrostátní strategie boje proti podvodům, a připomíná, že potřeba těchto revizí vyplývá z nové situace v oblasti boje proti podvodům, kdy je nyní úřad EPPO plně funkční, a z možnosti identifikovat nová významná rizika ve stále složitějším prostředí podvodů;</w:t>
      </w:r>
    </w:p>
    <w:p w14:paraId="09B264E0" w14:textId="4DE3E192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10</w:t>
      </w:r>
      <w:r w:rsidR="00A11DE3">
        <w:rPr>
          <w:b w:val="0"/>
          <w:snapToGrid w:val="0"/>
          <w:szCs w:val="24"/>
        </w:rPr>
        <w:t>9</w:t>
      </w:r>
      <w:r w:rsidRPr="00B04477">
        <w:rPr>
          <w:b w:val="0"/>
          <w:snapToGrid w:val="0"/>
          <w:szCs w:val="24"/>
        </w:rPr>
        <w:t>.</w:t>
      </w:r>
      <w:r w:rsidRPr="00B04477">
        <w:rPr>
          <w:b w:val="0"/>
          <w:snapToGrid w:val="0"/>
          <w:szCs w:val="24"/>
        </w:rPr>
        <w:tab/>
        <w:t>připomíná, že oceňuje pobídku Komise členským státům, aby přijaly vnitrostátní strategie boje proti podvodům, což dosud vedlo k nárůstu počtu těchto přijatých strategií, přičemž 15 členských států do konce roku 2022 přijalo vnitrostátní strategie boje proti podvodům, z nichž devět strategií bylo průřezových, a tedy plně pokrývalo finanční zájmy EU;</w:t>
      </w:r>
    </w:p>
    <w:p w14:paraId="1BD4A391" w14:textId="3A516CA4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1</w:t>
      </w:r>
      <w:r w:rsidR="00A11DE3">
        <w:rPr>
          <w:b w:val="0"/>
          <w:snapToGrid w:val="0"/>
          <w:szCs w:val="24"/>
        </w:rPr>
        <w:t>1</w:t>
      </w:r>
      <w:r w:rsidRPr="00B04477">
        <w:rPr>
          <w:b w:val="0"/>
          <w:snapToGrid w:val="0"/>
          <w:szCs w:val="24"/>
        </w:rPr>
        <w:t>0.</w:t>
      </w:r>
      <w:r w:rsidRPr="00B04477">
        <w:rPr>
          <w:b w:val="0"/>
          <w:snapToGrid w:val="0"/>
          <w:szCs w:val="24"/>
        </w:rPr>
        <w:tab/>
        <w:t>se znepokojením konstatuje, že na konci roku 2022 tři členské státy (Finsko, Irsko a Polsko) stále uváděly, že nepřijaly žádnou strategii na ochranu finančních zájmů EU; konstatuje, že pět členských států (Belgie, Španělsko, Lucembursko, Nizozemsko a Rumunsko) uvedlo, že strategii připravují; naléhavě vyzývá členské státy, aby přijaly vnitrostátní strategii boje proti podvodům, aby ukázaly, že berou ochranu finančních prostředků EU vážně;</w:t>
      </w:r>
    </w:p>
    <w:p w14:paraId="4793C260" w14:textId="60C197CF" w:rsidR="001458BC" w:rsidRPr="00B04477" w:rsidRDefault="001458BC" w:rsidP="00B04477">
      <w:pPr>
        <w:pStyle w:val="AmNumberTabs"/>
        <w:spacing w:before="0" w:after="240"/>
        <w:ind w:left="567" w:hanging="567"/>
        <w:rPr>
          <w:b w:val="0"/>
          <w:snapToGrid w:val="0"/>
          <w:szCs w:val="24"/>
        </w:rPr>
      </w:pPr>
      <w:r w:rsidRPr="00B04477">
        <w:rPr>
          <w:b w:val="0"/>
          <w:snapToGrid w:val="0"/>
          <w:szCs w:val="24"/>
        </w:rPr>
        <w:t>11</w:t>
      </w:r>
      <w:r w:rsidR="00A11DE3">
        <w:rPr>
          <w:b w:val="0"/>
          <w:snapToGrid w:val="0"/>
          <w:szCs w:val="24"/>
        </w:rPr>
        <w:t>1</w:t>
      </w:r>
      <w:r w:rsidRPr="00B04477">
        <w:rPr>
          <w:b w:val="0"/>
          <w:snapToGrid w:val="0"/>
          <w:szCs w:val="24"/>
        </w:rPr>
        <w:t>.</w:t>
      </w:r>
      <w:r w:rsidRPr="00B04477">
        <w:rPr>
          <w:b w:val="0"/>
          <w:snapToGrid w:val="0"/>
          <w:szCs w:val="24"/>
        </w:rPr>
        <w:tab/>
        <w:t xml:space="preserve">je přesvědčen, že by členským státům prospělo pravidelné hodnocení rámců pro boj proti podvodům, které by případně provázely pokyny EU a které by bylo zaměřeno na zjištění účinnosti těchto rámců, určení osvědčených postupů a přezkum jejich strategií pro boj proti podvodům za účelem řešení případných nových rizik; vyzývá Komisi, aby </w:t>
      </w:r>
      <w:r w:rsidRPr="00B04477">
        <w:rPr>
          <w:b w:val="0"/>
          <w:snapToGrid w:val="0"/>
          <w:szCs w:val="24"/>
        </w:rPr>
        <w:lastRenderedPageBreak/>
        <w:t>vybízela členské státy k provádění nezávislých nebo vzájemných hodnocení rámců pro boj proti podvodům s cílem posílit důslednost a vysoké standardy;</w:t>
      </w:r>
    </w:p>
    <w:p w14:paraId="0A94A868" w14:textId="7DE9BDEE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2</w:t>
      </w:r>
      <w:r w:rsidRPr="00B04477">
        <w:rPr>
          <w:szCs w:val="24"/>
        </w:rPr>
        <w:t>.</w:t>
      </w:r>
      <w:r w:rsidRPr="00B04477">
        <w:rPr>
          <w:szCs w:val="24"/>
        </w:rPr>
        <w:tab/>
        <w:t>zastává názor, že nařízení o podmíněnosti je trvalým nástrojem, který přesahuje rozsah daného víceletého finančního rámce a je třeba jej uplatňovat horizontálně jako jeden z požadavků na prosazování zásad řádného finančního řízení obecně, a zejména na účinné a účelné řízení zdrojů EU, a že je nezbytnou podmínkou pro přístup ke všem fondům EU;</w:t>
      </w:r>
    </w:p>
    <w:p w14:paraId="040D54DC" w14:textId="0B285C95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bere na vědomí rozhodnutí Rady ze dne 16. prosince 2022 o pozastavení vyplácení finančních prostředků EU ve výši 6,3 miliardy EUR Maďarsku; očekává, že Komise a Rada zruší přijatá opatření pouze v případě, že budou shromážděny důkazy o tom, že nápravná opatření přijatá maďarskou vládou se v praxi ukázala jako účinná, a zejména že u už přijatých opatření nebyla zjištěna žádná regrese; vyjadřuje politování nad tím, že maďarská vláda dosud projevila malou ochotu splnit požadavky mechanismu podmíněnosti; znovu však připomíná svůj názor, že samotných sedmnáct opatření, jak je vyjednala Komise a maďarská vláda, nestačí k řešení stávajícího systémového rizika pro finanční zájmy EU, a vyjadřuje politování nad tím, že Komise nepožadovala dostatečné podstatné změny a záruky pro obnovení nezávislosti soudnictví a snížení míry korupce; je velmi znepokojen zprávami ve sdělovacích prostředcích, podle nichž Komise plánuje zrušit pozastavení plateb Maďarsku výměnou za to, že vláda schválí pomoc Ukrajině; domnívá se, že Komise by nikdy neměla ustoupit vydírání, zejména pokud ohrožuje finanční zájmy EU;</w:t>
      </w:r>
    </w:p>
    <w:p w14:paraId="0E7D1C72" w14:textId="2674833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4</w:t>
      </w:r>
      <w:r w:rsidRPr="00B04477">
        <w:rPr>
          <w:szCs w:val="24"/>
        </w:rPr>
        <w:t>.</w:t>
      </w:r>
      <w:r w:rsidRPr="00B04477">
        <w:rPr>
          <w:szCs w:val="24"/>
        </w:rPr>
        <w:tab/>
        <w:t>vyjadřuje politování nad tím, že Komise neinformuje dostatečně transparentně o relevantním vývoji; vyzývá proto Komisi, aby urychleně a pravidelně informovala Parlament a Radu o probíhajících jednáních, a připomíná Komisi zejména její zákonné povinnosti stanovené v čl. 25 odst. 2 nařízení o Nástroji pro oživení a odolnost a v článku 8 nařízení o podmíněnosti;</w:t>
      </w:r>
    </w:p>
    <w:p w14:paraId="70B8EE71" w14:textId="5ED9B814" w:rsidR="001458BC" w:rsidRPr="00B04477" w:rsidRDefault="001458BC" w:rsidP="00B04477">
      <w:pPr>
        <w:spacing w:after="240"/>
        <w:ind w:left="567" w:hanging="567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5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znepokojen zjištěními třetí zprávy o právním státu</w:t>
      </w:r>
      <w:r w:rsidRPr="00B04477">
        <w:rPr>
          <w:rStyle w:val="FootnoteReference"/>
          <w:szCs w:val="24"/>
        </w:rPr>
        <w:footnoteReference w:id="26"/>
      </w:r>
      <w:r w:rsidRPr="00B04477">
        <w:rPr>
          <w:szCs w:val="24"/>
        </w:rPr>
        <w:t xml:space="preserve"> týkajícími se kritické situace v Polsku, zejména pokud jde o závažné nedostatky v soudnictví</w:t>
      </w:r>
      <w:r w:rsidRPr="00B04477">
        <w:rPr>
          <w:rStyle w:val="FootnoteReference"/>
          <w:szCs w:val="24"/>
        </w:rPr>
        <w:footnoteReference w:id="27"/>
      </w:r>
      <w:r w:rsidRPr="00B04477">
        <w:rPr>
          <w:szCs w:val="24"/>
        </w:rPr>
        <w:t xml:space="preserve"> a v oblasti sdělovacích prostředků; připomíná, že neplnění rozsudků SDEU ze strany Polska vedlo od roku 2021 k vyměření pokut ve výši 360 milionů EUR, a důrazně vybízí Komisi, aby prostředky z Nástroje pro oživení a odolnost uvolnila až poté, co budou v celém rozsahu splněny všechny milníky týkající se zásad právního státu;</w:t>
      </w:r>
    </w:p>
    <w:p w14:paraId="01A06BA0" w14:textId="6177C9D4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6</w:t>
      </w:r>
      <w:r w:rsidRPr="00B04477">
        <w:rPr>
          <w:szCs w:val="24"/>
        </w:rPr>
        <w:t>.</w:t>
      </w:r>
      <w:r w:rsidRPr="00B04477">
        <w:rPr>
          <w:szCs w:val="24"/>
        </w:rPr>
        <w:tab/>
        <w:t>vyzývá Komisi, aby aktualizovala systém podávání zpráv o podvodech, pokud jde o finanční prostředky vynaložené v zemích mimo EU; konstatuje, že nový systém by měl zohledňovat konkrétní problémy, s nimiž se EU potýká při vynakládání finančních prostředků mimo území EU;</w:t>
      </w:r>
    </w:p>
    <w:p w14:paraId="024D954C" w14:textId="77777777" w:rsidR="001458BC" w:rsidRPr="00B04477" w:rsidRDefault="001458BC" w:rsidP="00B04477">
      <w:pPr>
        <w:pStyle w:val="Normal12a24b"/>
        <w:spacing w:before="0"/>
        <w:rPr>
          <w:szCs w:val="24"/>
        </w:rPr>
      </w:pPr>
      <w:r w:rsidRPr="00B04477">
        <w:rPr>
          <w:rStyle w:val="BoldItalic"/>
          <w:szCs w:val="24"/>
        </w:rPr>
        <w:lastRenderedPageBreak/>
        <w:t>Vnější rozměr ochrany finančních zájmů EU</w:t>
      </w:r>
    </w:p>
    <w:p w14:paraId="7565329D" w14:textId="4B86BFCD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7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přesvědčen, že návrh na vytvoření horizontálního sankčního rámce společné zahraniční a bezpečnostní politiky doplňuje stávající nástroje a opatření vnitřní a vnější politiky proti korupci, které již byly schváleny v procesu rozšíření nebo v rámci Východního partnerství; zastává názor, že řádnou správu věcí veřejných a právní stát jako jednu z hlavních priorit procesu rozšíření pomůže podpořit silnější zapojení do mezinárodních fór, jako je Úmluva OSN proti korupci a Skupina států proti korupci (GRECO);</w:t>
      </w:r>
    </w:p>
    <w:p w14:paraId="4653AA9B" w14:textId="0B7909FF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8</w:t>
      </w:r>
      <w:r w:rsidRPr="00B04477">
        <w:rPr>
          <w:szCs w:val="24"/>
        </w:rPr>
        <w:t>.</w:t>
      </w:r>
      <w:r w:rsidRPr="00B04477">
        <w:rPr>
          <w:szCs w:val="24"/>
        </w:rPr>
        <w:tab/>
        <w:t xml:space="preserve">opakuje, že ačkoli EU v současné době působí ve skupině GRECO jako pozorovatel, důrazně se doporučuje, aby se stala plně funkčním členem, a tudíž se podílela na i) monitorování provádění obecně uznávaného mezinárodního práva a standardů; </w:t>
      </w:r>
      <w:proofErr w:type="spellStart"/>
      <w:r w:rsidRPr="00B04477">
        <w:rPr>
          <w:szCs w:val="24"/>
        </w:rPr>
        <w:t>ii</w:t>
      </w:r>
      <w:proofErr w:type="spellEnd"/>
      <w:r w:rsidRPr="00B04477">
        <w:rPr>
          <w:szCs w:val="24"/>
        </w:rPr>
        <w:t xml:space="preserve">) horizontální komunikaci s ostatními členy skupiny GRECO o politikách a nástrojích boje proti podvodům; </w:t>
      </w:r>
      <w:proofErr w:type="spellStart"/>
      <w:r w:rsidRPr="00B04477">
        <w:rPr>
          <w:szCs w:val="24"/>
        </w:rPr>
        <w:t>iii</w:t>
      </w:r>
      <w:proofErr w:type="spellEnd"/>
      <w:r w:rsidRPr="00B04477">
        <w:rPr>
          <w:szCs w:val="24"/>
        </w:rPr>
        <w:t xml:space="preserve">) sdílení zkušeností na mezinárodní úrovni s cílem pomoci s rozpoznáním možných nedostatků vnitřních mechanismů EU pro odhalování korupce; </w:t>
      </w:r>
      <w:proofErr w:type="spellStart"/>
      <w:r w:rsidRPr="00B04477">
        <w:rPr>
          <w:szCs w:val="24"/>
        </w:rPr>
        <w:t>iv</w:t>
      </w:r>
      <w:proofErr w:type="spellEnd"/>
      <w:r w:rsidRPr="00B04477">
        <w:rPr>
          <w:szCs w:val="24"/>
        </w:rPr>
        <w:t>) optimalizaci boje proti podvodům pomocí včasné aktivace preventivních opatření a opatření k odhalování; žádá Radu, aby zaujala ke členství EU ve skupině GRECO jasný postoj a upřesnila, zda a případně ze strany kterého členského státu existují konkrétní námitky;</w:t>
      </w:r>
    </w:p>
    <w:p w14:paraId="12C4C751" w14:textId="3D812C0A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11</w:t>
      </w:r>
      <w:r w:rsidR="00A11DE3">
        <w:rPr>
          <w:szCs w:val="24"/>
        </w:rPr>
        <w:t>9</w:t>
      </w:r>
      <w:r w:rsidRPr="00B04477">
        <w:rPr>
          <w:szCs w:val="24"/>
        </w:rPr>
        <w:t>.</w:t>
      </w:r>
      <w:r w:rsidRPr="00B04477">
        <w:rPr>
          <w:szCs w:val="24"/>
        </w:rPr>
        <w:tab/>
        <w:t>připomíná, že od roku 2021 do roku 2022 došlo k mimořádnému nárůstu počtu nesrovnalostí nepodvodného charakteru, i finančních částek, které jsou s nimi spojeny; konstatuje, že zvýšený počet případů byl způsoben nesrovnalostmi souvisejícími s nástrojem NPP II na období 2014–2020 v souvislosti s předvstupní pomocí pro rozvoj venkova (IPARD) v Severní Makedonii a v Turecku a že u většiny těchto nesrovnalostí byly příslušné finanční částky nižší než 10 000 EUR, zatímco nárůst částek byl způsoben nesrovnalostmi týkajícími se předvstupní pomoci pro rozvoj venkova v Albánii; zdůrazňuje, že přibližně 10 % nesrovnalostí bylo nahlášeno jako podvodné a že tento podíl, který se postupně mění, se výrazně zvýšil v roce 2020 (17 %) a v roce 2021 dosáhl 20 %; vyzývá Komisi, aby zachovala odpovídající úroveň sledování těchto iniciativ financování a aby informovala Parlament o případných systémových problémech zjištěných při využívání těchto zdrojů;</w:t>
      </w:r>
    </w:p>
    <w:p w14:paraId="221F1B16" w14:textId="1F836283" w:rsidR="001458BC" w:rsidRPr="00B04477" w:rsidRDefault="001458BC" w:rsidP="00B04477">
      <w:pPr>
        <w:pStyle w:val="NormalHanging12a"/>
        <w:rPr>
          <w:b/>
          <w:i/>
          <w:szCs w:val="24"/>
        </w:rPr>
      </w:pPr>
      <w:r w:rsidRPr="00B04477">
        <w:rPr>
          <w:szCs w:val="24"/>
        </w:rPr>
        <w:t>1</w:t>
      </w:r>
      <w:r w:rsidR="00A11DE3">
        <w:rPr>
          <w:szCs w:val="24"/>
        </w:rPr>
        <w:t>20</w:t>
      </w:r>
      <w:r w:rsidRPr="00B04477">
        <w:rPr>
          <w:szCs w:val="24"/>
        </w:rPr>
        <w:t>.</w:t>
      </w:r>
      <w:r w:rsidRPr="00B04477">
        <w:rPr>
          <w:szCs w:val="24"/>
        </w:rPr>
        <w:tab/>
        <w:t>je přesvědčen, že finanční prostředky v rámci Nástroje pro sousedství a rozvojovou a mezinárodní spolupráci – Globální Evropa (NDICI – Globální Evropa) určené na pomoc zemím mimo EU a prostředky určené na evropskou reakci na válku na Ukrajině nejsou dostatečně sledovány a kontrolovány; vyzývá Komisi, aby zavedla vhodná opatření na zajištění toho, aby finanční prostředky EU zasílané sousedním zemím přinášely prospěch těm, kteří je nejvíce potřebují, včetně provádění důkladnějších kontrol;</w:t>
      </w:r>
    </w:p>
    <w:p w14:paraId="1E5ED85C" w14:textId="0E66FE2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12</w:t>
      </w:r>
      <w:r w:rsidR="00A11DE3">
        <w:rPr>
          <w:szCs w:val="24"/>
        </w:rPr>
        <w:t>1</w:t>
      </w:r>
      <w:r w:rsidRPr="00B04477">
        <w:rPr>
          <w:szCs w:val="24"/>
        </w:rPr>
        <w:t>.</w:t>
      </w:r>
      <w:r w:rsidRPr="00B04477">
        <w:rPr>
          <w:szCs w:val="24"/>
        </w:rPr>
        <w:tab/>
        <w:t>zdůrazňuje, že v souvislosti s útočnou válkou Ruska proti Ukrajině se předpokládá, že rozpočet EU významně přispěje k návrhům na dlouhodobější strukturální řešení finančních potřeb Ukrajiny; v této souvislosti zdůrazňuje, že je třeba chránit právní stát a finanční zájmy Unie a předcházet, odhalovat a napravovat podvody, korupci, střety zájmů a nesrovnalosti při využívání finančních prostředků Unie na Ukrajině v souladu se zásadami transparentnosti a odpovědnosti; domnívá se, že všechny dotčené finanční nástroje by měly obsahovat přísná ustanovení a záruky k dosažení těchto cílů;</w:t>
      </w:r>
    </w:p>
    <w:p w14:paraId="379F1232" w14:textId="202FF6DB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lastRenderedPageBreak/>
        <w:t>12</w:t>
      </w:r>
      <w:r w:rsidR="00A11DE3">
        <w:rPr>
          <w:szCs w:val="24"/>
        </w:rPr>
        <w:t>2</w:t>
      </w:r>
      <w:r w:rsidRPr="00B04477">
        <w:rPr>
          <w:szCs w:val="24"/>
        </w:rPr>
        <w:t>.</w:t>
      </w:r>
      <w:r w:rsidRPr="00B04477">
        <w:rPr>
          <w:szCs w:val="24"/>
        </w:rPr>
        <w:tab/>
        <w:t>zdůrazňuje, že spolupráce s mezinárodními partnery má zásadní význam pro ochranu finančních prostředků EU vynaložených mimo Evropu a na příjmové straně rozpočtu EU; vítá proto pracovní ujednání, která úřad EPPO uzavřel v roce 2022 s Generální prokuraturou Ukrajiny, Generální prokuraturou Albánské republiky, Generální prokuraturou Moldavské republiky, Nejvyšším státním zastupitelstvím Černé Hory, Státním zastupitelstvím Gruzie a Státním zastupitelstvím Republiky Severní Makedonie a Memorandum o porozumění a pracovní ujednání o spolupráci podepsané s Ministerstvem spravedlnosti a Ministerstvem vnitřní bezpečnosti USA;</w:t>
      </w:r>
    </w:p>
    <w:p w14:paraId="6C89DAA8" w14:textId="6B1DF23E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12</w:t>
      </w:r>
      <w:r w:rsidR="00A11DE3">
        <w:rPr>
          <w:szCs w:val="24"/>
        </w:rPr>
        <w:t>3</w:t>
      </w:r>
      <w:r w:rsidRPr="00B04477">
        <w:rPr>
          <w:szCs w:val="24"/>
        </w:rPr>
        <w:t>.</w:t>
      </w:r>
      <w:r w:rsidRPr="00B04477">
        <w:rPr>
          <w:szCs w:val="24"/>
        </w:rPr>
        <w:tab/>
        <w:t>doporučuje pozastavit rozpočtovou podporu v zemích mimo EU, včetně kandidátských zemí, ve kterých orgány zjevně nepřijímají skutečná opatření proti bující korupci, a zároveň zajistit, aby se pomoc dostala k civilnímu obyvatelstvu alternativními cestami; vyzývá k tomu, aby byl při předvstupních jednáních kladen větší důraz na boj proti korupci a na budování kapacit, například prostřednictvím specializovaných protikorupčních orgánů; vyzývá Komisi, aby vyslala jasné signály kandidátským zemím, že silná nevole vůči normám právního státu ohrozí nebo zdrží jejich přistoupení k EU; vyjadřuje politování nad tím, že podle zvláštní zprávy Účetního dvora č. 01/2022</w:t>
      </w:r>
      <w:r w:rsidRPr="00B04477">
        <w:rPr>
          <w:rStyle w:val="FootnoteReference"/>
          <w:szCs w:val="24"/>
        </w:rPr>
        <w:footnoteReference w:id="28"/>
      </w:r>
      <w:r w:rsidRPr="00B04477">
        <w:rPr>
          <w:szCs w:val="24"/>
        </w:rPr>
        <w:t xml:space="preserve"> měla finanční podpora ve výši 700 milionů EUR na zlepšení právního státu v zemích západního Balkánu, kterou EU poskytla v letech 2014 až 2020, jen malý dopad na základní reformy;</w:t>
      </w:r>
    </w:p>
    <w:p w14:paraId="7F965EB5" w14:textId="76E327AF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12</w:t>
      </w:r>
      <w:r w:rsidR="00A11DE3">
        <w:rPr>
          <w:szCs w:val="24"/>
        </w:rPr>
        <w:t>4</w:t>
      </w:r>
      <w:r w:rsidRPr="00B04477">
        <w:rPr>
          <w:szCs w:val="24"/>
        </w:rPr>
        <w:t>.</w:t>
      </w:r>
      <w:r w:rsidRPr="00B04477">
        <w:rPr>
          <w:szCs w:val="24"/>
        </w:rPr>
        <w:tab/>
        <w:t>vyzývá k mezinárodní spolupráci s mezinárodními organizacemi a sousedními zeměmi při předcházení přeshraničním podvodům; v této souvislosti znovu zdůrazňuje význam výměny osvědčených postupů;</w:t>
      </w:r>
    </w:p>
    <w:p w14:paraId="46BC3360" w14:textId="03766BD3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12</w:t>
      </w:r>
      <w:r w:rsidR="00A11DE3">
        <w:rPr>
          <w:szCs w:val="24"/>
        </w:rPr>
        <w:t>5</w:t>
      </w:r>
      <w:r w:rsidRPr="00B04477">
        <w:rPr>
          <w:szCs w:val="24"/>
        </w:rPr>
        <w:t>.</w:t>
      </w:r>
      <w:r w:rsidRPr="00B04477">
        <w:rPr>
          <w:szCs w:val="24"/>
        </w:rPr>
        <w:tab/>
        <w:t>znovu potvrzuje své pevné přesvědčení, že účinně a účelně chránit a posilovat finanční zájmy EU lze pouze posílením struktury EU pro boj proti podvodům, podporou interoperability a přizpůsobením se členských států EU, které se rozhodnou pro větší přítoky prostředků, jednotnému rámci strategie pro boj proti podvodům, pokud jde o požadavky na kvantitativní a kvalitativní analýzu údajů, tak aby byla překonána přirozená omezení vnitrostátních systémů, které nestačí čelit stále častějším nadnárodním útokům na finanční zájmy Unie;</w:t>
      </w:r>
    </w:p>
    <w:p w14:paraId="3D0BB9D3" w14:textId="77777777" w:rsidR="00B04477" w:rsidRDefault="00B04477" w:rsidP="00B04477">
      <w:pPr>
        <w:pStyle w:val="NormalCenter12a"/>
        <w:widowControl/>
        <w:rPr>
          <w:szCs w:val="24"/>
        </w:rPr>
      </w:pPr>
      <w:r>
        <w:rPr>
          <w:szCs w:val="24"/>
        </w:rPr>
        <w:t>°</w:t>
      </w:r>
    </w:p>
    <w:p w14:paraId="05E4A63A" w14:textId="77777777" w:rsidR="00B04477" w:rsidRDefault="00B04477" w:rsidP="00B04477">
      <w:pPr>
        <w:pStyle w:val="NormalCenter12a"/>
        <w:widowControl/>
        <w:rPr>
          <w:szCs w:val="24"/>
        </w:rPr>
      </w:pPr>
      <w:r>
        <w:rPr>
          <w:szCs w:val="24"/>
        </w:rPr>
        <w:t>°     °</w:t>
      </w:r>
    </w:p>
    <w:p w14:paraId="2FC9B8FE" w14:textId="71132BE1" w:rsidR="001458BC" w:rsidRPr="00B04477" w:rsidRDefault="001458BC" w:rsidP="00B04477">
      <w:pPr>
        <w:pStyle w:val="NormalHanging12a"/>
        <w:rPr>
          <w:szCs w:val="24"/>
        </w:rPr>
      </w:pPr>
      <w:r w:rsidRPr="00B04477">
        <w:rPr>
          <w:szCs w:val="24"/>
        </w:rPr>
        <w:t>12</w:t>
      </w:r>
      <w:r w:rsidR="00A11DE3">
        <w:rPr>
          <w:szCs w:val="24"/>
        </w:rPr>
        <w:t>6</w:t>
      </w:r>
      <w:r w:rsidRPr="00B04477">
        <w:rPr>
          <w:szCs w:val="24"/>
        </w:rPr>
        <w:t>.</w:t>
      </w:r>
      <w:r w:rsidRPr="00B04477">
        <w:rPr>
          <w:szCs w:val="24"/>
        </w:rPr>
        <w:tab/>
        <w:t>pověřuje svou předsedkyni, aby předala toto usnesení Radě a Komisi.</w:t>
      </w:r>
    </w:p>
    <w:sectPr w:rsidR="001458BC" w:rsidRPr="00B04477" w:rsidSect="00120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20BCB" w14:textId="77777777" w:rsidR="00482D21" w:rsidRPr="00120FA9" w:rsidRDefault="00482D21">
      <w:r w:rsidRPr="00120FA9">
        <w:separator/>
      </w:r>
    </w:p>
  </w:endnote>
  <w:endnote w:type="continuationSeparator" w:id="0">
    <w:p w14:paraId="26554473" w14:textId="77777777" w:rsidR="00482D21" w:rsidRPr="00120FA9" w:rsidRDefault="00482D21">
      <w:r w:rsidRPr="00120F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EF620" w14:textId="77777777" w:rsidR="00064002" w:rsidRPr="00120F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80BF" w14:textId="77777777" w:rsidR="00064002" w:rsidRPr="00120F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CE3A" w14:textId="77777777" w:rsidR="00064002" w:rsidRPr="00120F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F0D62" w14:textId="77777777" w:rsidR="00482D21" w:rsidRPr="00120FA9" w:rsidRDefault="00482D21">
      <w:r w:rsidRPr="00120FA9">
        <w:separator/>
      </w:r>
    </w:p>
  </w:footnote>
  <w:footnote w:type="continuationSeparator" w:id="0">
    <w:p w14:paraId="39FB68E0" w14:textId="77777777" w:rsidR="00482D21" w:rsidRPr="00120FA9" w:rsidRDefault="00482D21">
      <w:r w:rsidRPr="00120FA9">
        <w:continuationSeparator/>
      </w:r>
    </w:p>
  </w:footnote>
  <w:footnote w:id="1">
    <w:p w14:paraId="00E47A96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7000A5">
        <w:rPr>
          <w:rStyle w:val="FootnoteReference"/>
          <w:sz w:val="24"/>
          <w:szCs w:val="24"/>
          <w:lang w:val="cs-CZ"/>
        </w:rPr>
        <w:footnoteRef/>
      </w:r>
      <w:r w:rsidR="00120FA9" w:rsidRPr="007000A5">
        <w:rPr>
          <w:sz w:val="24"/>
          <w:szCs w:val="24"/>
          <w:lang w:val="cs-CZ"/>
        </w:rPr>
        <w:t xml:space="preserve"> </w:t>
      </w:r>
      <w:r w:rsidR="00120FA9" w:rsidRPr="007000A5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OLAF, Dvacátá třetí zpráva Evropského úřadu pro boj proti podvodům za období 1. ledna až 31. prosince 2022, 2022.</w:t>
      </w:r>
    </w:p>
  </w:footnote>
  <w:footnote w:id="2">
    <w:p w14:paraId="583F8536" w14:textId="2D440B0D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="00B04477" w:rsidRPr="00B532D2">
        <w:rPr>
          <w:sz w:val="24"/>
          <w:szCs w:val="24"/>
          <w:lang w:val="cs-CZ"/>
        </w:rPr>
        <w:t xml:space="preserve">Zpráva o činnosti dozorčího výboru úřadu OLAF – 2022 </w:t>
      </w:r>
      <w:r w:rsidR="008A482C" w:rsidRPr="00B532D2">
        <w:rPr>
          <w:sz w:val="24"/>
          <w:szCs w:val="24"/>
          <w:lang w:val="cs-CZ"/>
        </w:rPr>
        <w:t>(</w:t>
      </w:r>
      <w:proofErr w:type="spellStart"/>
      <w:r w:rsidR="00B04477" w:rsidRPr="00B532D2">
        <w:rPr>
          <w:sz w:val="24"/>
          <w:szCs w:val="24"/>
          <w:lang w:val="cs-CZ"/>
        </w:rPr>
        <w:t>Úř</w:t>
      </w:r>
      <w:proofErr w:type="spellEnd"/>
      <w:r w:rsidR="00B04477"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B04477"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="00B04477" w:rsidRPr="00B532D2">
        <w:rPr>
          <w:sz w:val="24"/>
          <w:szCs w:val="24"/>
          <w:lang w:val="cs-CZ"/>
        </w:rPr>
        <w:t xml:space="preserve">. C 225, </w:t>
      </w:r>
      <w:proofErr w:type="gramStart"/>
      <w:r w:rsidR="00B04477" w:rsidRPr="00B532D2">
        <w:rPr>
          <w:sz w:val="24"/>
          <w:szCs w:val="24"/>
          <w:lang w:val="cs-CZ"/>
        </w:rPr>
        <w:t>27.6.2023</w:t>
      </w:r>
      <w:proofErr w:type="gramEnd"/>
      <w:r w:rsidR="00B04477" w:rsidRPr="00B532D2">
        <w:rPr>
          <w:sz w:val="24"/>
          <w:szCs w:val="24"/>
          <w:lang w:val="cs-CZ"/>
        </w:rPr>
        <w:t>, s. 1</w:t>
      </w:r>
      <w:r w:rsidR="008A482C" w:rsidRPr="00B532D2">
        <w:rPr>
          <w:sz w:val="24"/>
          <w:szCs w:val="24"/>
          <w:lang w:val="cs-CZ"/>
        </w:rPr>
        <w:t>)</w:t>
      </w:r>
      <w:r w:rsidR="00B04477" w:rsidRPr="00B532D2">
        <w:rPr>
          <w:sz w:val="24"/>
          <w:szCs w:val="24"/>
          <w:lang w:val="cs-CZ"/>
        </w:rPr>
        <w:t>.</w:t>
      </w:r>
    </w:p>
  </w:footnote>
  <w:footnote w:id="3">
    <w:p w14:paraId="17E655B7" w14:textId="2668CDF6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="00B04477" w:rsidRPr="00B532D2">
        <w:rPr>
          <w:sz w:val="24"/>
          <w:szCs w:val="24"/>
          <w:lang w:val="cs-CZ"/>
        </w:rPr>
        <w:t>Úř</w:t>
      </w:r>
      <w:proofErr w:type="spellEnd"/>
      <w:r w:rsidR="00B04477"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B04477"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="00B04477" w:rsidRPr="00B532D2">
        <w:rPr>
          <w:sz w:val="24"/>
          <w:szCs w:val="24"/>
          <w:lang w:val="cs-CZ"/>
        </w:rPr>
        <w:t xml:space="preserve">. L 433 I, </w:t>
      </w:r>
      <w:proofErr w:type="gramStart"/>
      <w:r w:rsidR="00B04477" w:rsidRPr="00B532D2">
        <w:rPr>
          <w:sz w:val="24"/>
          <w:szCs w:val="24"/>
          <w:lang w:val="cs-CZ"/>
        </w:rPr>
        <w:t>22.12.2020</w:t>
      </w:r>
      <w:proofErr w:type="gramEnd"/>
      <w:r w:rsidR="00B04477" w:rsidRPr="00B532D2">
        <w:rPr>
          <w:sz w:val="24"/>
          <w:szCs w:val="24"/>
          <w:lang w:val="cs-CZ"/>
        </w:rPr>
        <w:t>, s. 1.</w:t>
      </w:r>
    </w:p>
  </w:footnote>
  <w:footnote w:id="4">
    <w:p w14:paraId="7A731E66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Rozsudek Soudního dvora Evropské unie ze dne 16. února 2022 Maďarsko v. Evropský parlament a Rada, ECLI:EU:C:2022:97.</w:t>
      </w:r>
    </w:p>
  </w:footnote>
  <w:footnote w:id="5">
    <w:p w14:paraId="2D6235DA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Rozsudek Soudního dvora Evropské unie ze dne 16. února 2022 Polsko v. Evropský parlament a Rada, ECLI:EU:C:2022:98.</w:t>
      </w:r>
    </w:p>
  </w:footnote>
  <w:footnote w:id="6">
    <w:p w14:paraId="2BB8BD58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L 231, </w:t>
      </w:r>
      <w:proofErr w:type="gramStart"/>
      <w:r w:rsidRPr="00B532D2">
        <w:rPr>
          <w:sz w:val="24"/>
          <w:szCs w:val="24"/>
          <w:lang w:val="cs-CZ"/>
        </w:rPr>
        <w:t>30.6.2021</w:t>
      </w:r>
      <w:proofErr w:type="gramEnd"/>
      <w:r w:rsidRPr="00B532D2">
        <w:rPr>
          <w:sz w:val="24"/>
          <w:szCs w:val="24"/>
          <w:lang w:val="cs-CZ"/>
        </w:rPr>
        <w:t>, s. 159.</w:t>
      </w:r>
    </w:p>
  </w:footnote>
  <w:footnote w:id="7">
    <w:p w14:paraId="6944A7F1" w14:textId="1DB220D9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="00B04477" w:rsidRPr="00B532D2">
        <w:rPr>
          <w:sz w:val="24"/>
          <w:szCs w:val="24"/>
          <w:lang w:val="cs-CZ"/>
        </w:rPr>
        <w:t>Úř</w:t>
      </w:r>
      <w:proofErr w:type="spellEnd"/>
      <w:r w:rsidR="00B04477"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B04477"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="00B04477" w:rsidRPr="00B532D2">
        <w:rPr>
          <w:sz w:val="24"/>
          <w:szCs w:val="24"/>
          <w:lang w:val="cs-CZ"/>
        </w:rPr>
        <w:t xml:space="preserve">. L 198, </w:t>
      </w:r>
      <w:proofErr w:type="gramStart"/>
      <w:r w:rsidR="00B04477" w:rsidRPr="00B532D2">
        <w:rPr>
          <w:sz w:val="24"/>
          <w:szCs w:val="24"/>
          <w:lang w:val="cs-CZ"/>
        </w:rPr>
        <w:t>28.7.2017</w:t>
      </w:r>
      <w:proofErr w:type="gramEnd"/>
      <w:r w:rsidR="00B04477" w:rsidRPr="00B532D2">
        <w:rPr>
          <w:sz w:val="24"/>
          <w:szCs w:val="24"/>
          <w:lang w:val="cs-CZ"/>
        </w:rPr>
        <w:t>, s. 29.</w:t>
      </w:r>
    </w:p>
  </w:footnote>
  <w:footnote w:id="8">
    <w:p w14:paraId="09EBB3A0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L 305, </w:t>
      </w:r>
      <w:proofErr w:type="gramStart"/>
      <w:r w:rsidRPr="00B532D2">
        <w:rPr>
          <w:sz w:val="24"/>
          <w:szCs w:val="24"/>
          <w:lang w:val="cs-CZ"/>
        </w:rPr>
        <w:t>26.11.2019</w:t>
      </w:r>
      <w:proofErr w:type="gramEnd"/>
      <w:r w:rsidRPr="00B532D2">
        <w:rPr>
          <w:sz w:val="24"/>
          <w:szCs w:val="24"/>
          <w:lang w:val="cs-CZ"/>
        </w:rPr>
        <w:t>, s. 17.</w:t>
      </w:r>
    </w:p>
  </w:footnote>
  <w:footnote w:id="9">
    <w:p w14:paraId="3256CA42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 xml:space="preserve">Evropská komise, Generální ředitelství pro migraci a vnitřní věci, </w:t>
      </w:r>
      <w:proofErr w:type="spellStart"/>
      <w:r w:rsidRPr="00B532D2">
        <w:rPr>
          <w:sz w:val="24"/>
          <w:szCs w:val="24"/>
          <w:lang w:val="cs-CZ"/>
        </w:rPr>
        <w:t>Blondes</w:t>
      </w:r>
      <w:proofErr w:type="spellEnd"/>
      <w:r w:rsidRPr="00B532D2">
        <w:rPr>
          <w:sz w:val="24"/>
          <w:szCs w:val="24"/>
          <w:lang w:val="cs-CZ"/>
        </w:rPr>
        <w:t xml:space="preserve">, E., </w:t>
      </w:r>
      <w:proofErr w:type="spellStart"/>
      <w:r w:rsidRPr="00B532D2">
        <w:rPr>
          <w:sz w:val="24"/>
          <w:szCs w:val="24"/>
          <w:lang w:val="cs-CZ"/>
        </w:rPr>
        <w:t>Disley</w:t>
      </w:r>
      <w:proofErr w:type="spellEnd"/>
      <w:r w:rsidRPr="00B532D2">
        <w:rPr>
          <w:sz w:val="24"/>
          <w:szCs w:val="24"/>
          <w:lang w:val="cs-CZ"/>
        </w:rPr>
        <w:t>, E., Hulme, S. et al., studie nazvaná „</w:t>
      </w:r>
      <w:proofErr w:type="spellStart"/>
      <w:r w:rsidRPr="00B532D2">
        <w:rPr>
          <w:sz w:val="24"/>
          <w:szCs w:val="24"/>
          <w:lang w:val="cs-CZ"/>
        </w:rPr>
        <w:t>Strengthening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the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fight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against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organised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crime</w:t>
      </w:r>
      <w:proofErr w:type="spellEnd"/>
      <w:r w:rsidRPr="00B532D2">
        <w:rPr>
          <w:sz w:val="24"/>
          <w:szCs w:val="24"/>
          <w:lang w:val="cs-CZ"/>
        </w:rPr>
        <w:t xml:space="preserve"> – </w:t>
      </w:r>
      <w:proofErr w:type="spellStart"/>
      <w:r w:rsidRPr="00B532D2">
        <w:rPr>
          <w:sz w:val="24"/>
          <w:szCs w:val="24"/>
          <w:lang w:val="cs-CZ"/>
        </w:rPr>
        <w:t>Assessing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the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legislative</w:t>
      </w:r>
      <w:proofErr w:type="spellEnd"/>
      <w:r w:rsidRPr="00B532D2">
        <w:rPr>
          <w:sz w:val="24"/>
          <w:szCs w:val="24"/>
          <w:lang w:val="cs-CZ"/>
        </w:rPr>
        <w:t xml:space="preserve"> </w:t>
      </w:r>
      <w:proofErr w:type="spellStart"/>
      <w:r w:rsidRPr="00B532D2">
        <w:rPr>
          <w:sz w:val="24"/>
          <w:szCs w:val="24"/>
          <w:lang w:val="cs-CZ"/>
        </w:rPr>
        <w:t>framework</w:t>
      </w:r>
      <w:proofErr w:type="spellEnd"/>
      <w:r w:rsidRPr="00B532D2">
        <w:rPr>
          <w:sz w:val="24"/>
          <w:szCs w:val="24"/>
          <w:lang w:val="cs-CZ"/>
        </w:rPr>
        <w:t>“ (Posílení boje proti organizované trestné činnosti – posouzení legislativního rámce), Úřad pro publikace Evropské unie, 2022.</w:t>
      </w:r>
    </w:p>
  </w:footnote>
  <w:footnote w:id="10">
    <w:p w14:paraId="469A043E" w14:textId="55A2ED70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="00B04477" w:rsidRPr="00B532D2">
        <w:rPr>
          <w:sz w:val="24"/>
          <w:szCs w:val="24"/>
          <w:lang w:val="cs-CZ"/>
        </w:rPr>
        <w:t>Úř</w:t>
      </w:r>
      <w:proofErr w:type="spellEnd"/>
      <w:r w:rsidR="00B04477"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B04477"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="00B04477" w:rsidRPr="00B532D2">
        <w:rPr>
          <w:sz w:val="24"/>
          <w:szCs w:val="24"/>
          <w:lang w:val="cs-CZ"/>
        </w:rPr>
        <w:t xml:space="preserve">. L 172, </w:t>
      </w:r>
      <w:proofErr w:type="gramStart"/>
      <w:r w:rsidR="00B04477" w:rsidRPr="00B532D2">
        <w:rPr>
          <w:sz w:val="24"/>
          <w:szCs w:val="24"/>
          <w:lang w:val="cs-CZ"/>
        </w:rPr>
        <w:t>17.5.2021</w:t>
      </w:r>
      <w:proofErr w:type="gramEnd"/>
      <w:r w:rsidR="00B04477" w:rsidRPr="00B532D2">
        <w:rPr>
          <w:sz w:val="24"/>
          <w:szCs w:val="24"/>
          <w:lang w:val="cs-CZ"/>
        </w:rPr>
        <w:t>, s. 110.</w:t>
      </w:r>
    </w:p>
  </w:footnote>
  <w:footnote w:id="11">
    <w:p w14:paraId="1DA19631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C 224, </w:t>
      </w:r>
      <w:proofErr w:type="gramStart"/>
      <w:r w:rsidRPr="00B532D2">
        <w:rPr>
          <w:sz w:val="24"/>
          <w:szCs w:val="24"/>
          <w:lang w:val="cs-CZ"/>
        </w:rPr>
        <w:t>8.6.2022</w:t>
      </w:r>
      <w:proofErr w:type="gramEnd"/>
      <w:r w:rsidRPr="00B532D2">
        <w:rPr>
          <w:sz w:val="24"/>
          <w:szCs w:val="24"/>
          <w:lang w:val="cs-CZ"/>
        </w:rPr>
        <w:t>, s. 11.</w:t>
      </w:r>
    </w:p>
  </w:footnote>
  <w:footnote w:id="12">
    <w:p w14:paraId="5B0B9D35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C 342, </w:t>
      </w:r>
      <w:proofErr w:type="gramStart"/>
      <w:r w:rsidRPr="00B532D2">
        <w:rPr>
          <w:sz w:val="24"/>
          <w:szCs w:val="24"/>
          <w:lang w:val="cs-CZ"/>
        </w:rPr>
        <w:t>6.9.2022</w:t>
      </w:r>
      <w:proofErr w:type="gramEnd"/>
      <w:r w:rsidRPr="00B532D2">
        <w:rPr>
          <w:sz w:val="24"/>
          <w:szCs w:val="24"/>
          <w:lang w:val="cs-CZ"/>
        </w:rPr>
        <w:t>, s. 295.</w:t>
      </w:r>
    </w:p>
  </w:footnote>
  <w:footnote w:id="13">
    <w:p w14:paraId="679AD810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C 214, </w:t>
      </w:r>
      <w:proofErr w:type="gramStart"/>
      <w:r w:rsidRPr="00B532D2">
        <w:rPr>
          <w:sz w:val="24"/>
          <w:szCs w:val="24"/>
          <w:lang w:val="cs-CZ"/>
        </w:rPr>
        <w:t>16.6.2023</w:t>
      </w:r>
      <w:proofErr w:type="gramEnd"/>
      <w:r w:rsidRPr="00B532D2">
        <w:rPr>
          <w:sz w:val="24"/>
          <w:szCs w:val="24"/>
          <w:lang w:val="cs-CZ"/>
        </w:rPr>
        <w:t>, s. 133.</w:t>
      </w:r>
    </w:p>
  </w:footnote>
  <w:footnote w:id="14">
    <w:p w14:paraId="3A5FC789" w14:textId="667BBBE6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="00B04477" w:rsidRPr="00B532D2">
        <w:rPr>
          <w:sz w:val="24"/>
          <w:szCs w:val="24"/>
          <w:lang w:val="cs-CZ"/>
        </w:rPr>
        <w:t>Úř</w:t>
      </w:r>
      <w:proofErr w:type="spellEnd"/>
      <w:r w:rsidR="00B04477"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B04477"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="00B04477" w:rsidRPr="00B532D2">
        <w:rPr>
          <w:sz w:val="24"/>
          <w:szCs w:val="24"/>
          <w:lang w:val="cs-CZ"/>
        </w:rPr>
        <w:t xml:space="preserve">. L 57, </w:t>
      </w:r>
      <w:proofErr w:type="gramStart"/>
      <w:r w:rsidR="00B04477" w:rsidRPr="00B532D2">
        <w:rPr>
          <w:sz w:val="24"/>
          <w:szCs w:val="24"/>
          <w:lang w:val="cs-CZ"/>
        </w:rPr>
        <w:t>18.2.2021</w:t>
      </w:r>
      <w:proofErr w:type="gramEnd"/>
      <w:r w:rsidR="00B04477" w:rsidRPr="00B532D2">
        <w:rPr>
          <w:sz w:val="24"/>
          <w:szCs w:val="24"/>
          <w:lang w:val="cs-CZ"/>
        </w:rPr>
        <w:t>, s. 17.</w:t>
      </w:r>
    </w:p>
  </w:footnote>
  <w:footnote w:id="15">
    <w:p w14:paraId="0776B7ED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Návrh směrnice Evropského parlamentu a Rady ze dne 3. května 2023 o boji proti korupci, kterou se nahrazuje rámcové rozhodnutí Rady 2003/568/SVV a Úmluva o boji proti korupci úředníků Evropských společenství nebo členských států Evropské unie a kterou se mění směrnice Evropského parlamentu a Rady (EU) 2017/1371 (</w:t>
      </w:r>
      <w:proofErr w:type="gramStart"/>
      <w:r w:rsidRPr="00B532D2">
        <w:rPr>
          <w:sz w:val="24"/>
          <w:szCs w:val="24"/>
          <w:lang w:val="cs-CZ"/>
        </w:rPr>
        <w:t>COM(2023</w:t>
      </w:r>
      <w:proofErr w:type="gramEnd"/>
      <w:r w:rsidRPr="00B532D2">
        <w:rPr>
          <w:sz w:val="24"/>
          <w:szCs w:val="24"/>
          <w:lang w:val="cs-CZ"/>
        </w:rPr>
        <w:t>)0234).</w:t>
      </w:r>
    </w:p>
  </w:footnote>
  <w:footnote w:id="16">
    <w:p w14:paraId="707ABAD0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L 300, </w:t>
      </w:r>
      <w:proofErr w:type="gramStart"/>
      <w:r w:rsidRPr="00B532D2">
        <w:rPr>
          <w:sz w:val="24"/>
          <w:szCs w:val="24"/>
          <w:lang w:val="cs-CZ"/>
        </w:rPr>
        <w:t>11.11.2008</w:t>
      </w:r>
      <w:proofErr w:type="gramEnd"/>
      <w:r w:rsidRPr="00B532D2">
        <w:rPr>
          <w:sz w:val="24"/>
          <w:szCs w:val="24"/>
          <w:lang w:val="cs-CZ"/>
        </w:rPr>
        <w:t>, s. 42.</w:t>
      </w:r>
    </w:p>
  </w:footnote>
  <w:footnote w:id="17">
    <w:p w14:paraId="2F5DB4DA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Sdělení Komise ze dne 14. dubna 2021 o strategii EU pro boj proti organizované trestné činnosti na období 2021–2025 (</w:t>
      </w:r>
      <w:proofErr w:type="gramStart"/>
      <w:r w:rsidRPr="00B532D2">
        <w:rPr>
          <w:sz w:val="24"/>
          <w:szCs w:val="24"/>
          <w:lang w:val="cs-CZ"/>
        </w:rPr>
        <w:t>COM(2021</w:t>
      </w:r>
      <w:proofErr w:type="gramEnd"/>
      <w:r w:rsidRPr="00B532D2">
        <w:rPr>
          <w:sz w:val="24"/>
          <w:szCs w:val="24"/>
          <w:lang w:val="cs-CZ"/>
        </w:rPr>
        <w:t>)0170).</w:t>
      </w:r>
    </w:p>
  </w:footnote>
  <w:footnote w:id="18">
    <w:p w14:paraId="38EFC944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Návrh směrnice Evropského parlamentu a Rady ze dne 25. května 2022 o vymáhání a konfiskaci majetku (</w:t>
      </w:r>
      <w:proofErr w:type="gramStart"/>
      <w:r w:rsidRPr="00B532D2">
        <w:rPr>
          <w:sz w:val="24"/>
          <w:szCs w:val="24"/>
          <w:lang w:val="cs-CZ"/>
        </w:rPr>
        <w:t>COM(2022</w:t>
      </w:r>
      <w:proofErr w:type="gramEnd"/>
      <w:r w:rsidRPr="00B532D2">
        <w:rPr>
          <w:sz w:val="24"/>
          <w:szCs w:val="24"/>
          <w:lang w:val="cs-CZ"/>
        </w:rPr>
        <w:t>)0245).</w:t>
      </w:r>
    </w:p>
  </w:footnote>
  <w:footnote w:id="19">
    <w:p w14:paraId="620906C6" w14:textId="33E45B12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 xml:space="preserve">Usnesení Evropského parlamentu ze dne 4. května 2022 obsahující připomínky, které jsou nedílnou součástí rozhodnutí o udělení absolutoria za plnění souhrnného rozpočtu Evropské unie na rozpočtový rok 2020, oddíl III – Komise a výkonné agentury </w:t>
      </w:r>
      <w:r w:rsidR="00863F1C" w:rsidRPr="00B532D2">
        <w:rPr>
          <w:sz w:val="24"/>
          <w:szCs w:val="24"/>
          <w:lang w:val="cs-CZ"/>
        </w:rPr>
        <w:t>(</w:t>
      </w:r>
      <w:r w:rsidRPr="00B532D2">
        <w:rPr>
          <w:sz w:val="24"/>
          <w:szCs w:val="24"/>
          <w:lang w:val="cs-CZ"/>
        </w:rPr>
        <w:t>Přijaté texty, P9_TA(2022)0144</w:t>
      </w:r>
      <w:r w:rsidR="00863F1C" w:rsidRPr="00B532D2">
        <w:rPr>
          <w:sz w:val="24"/>
          <w:szCs w:val="24"/>
          <w:lang w:val="cs-CZ"/>
        </w:rPr>
        <w:t>)</w:t>
      </w:r>
      <w:r w:rsidRPr="00B532D2">
        <w:rPr>
          <w:sz w:val="24"/>
          <w:szCs w:val="24"/>
          <w:lang w:val="cs-CZ"/>
        </w:rPr>
        <w:t>.</w:t>
      </w:r>
    </w:p>
  </w:footnote>
  <w:footnote w:id="20">
    <w:p w14:paraId="751C8052" w14:textId="679B24DD" w:rsidR="00030BA4" w:rsidRPr="00B532D2" w:rsidRDefault="00030BA4" w:rsidP="00876E88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</w:rPr>
        <w:footnoteRef/>
      </w:r>
      <w:r w:rsidRPr="00B532D2">
        <w:rPr>
          <w:sz w:val="24"/>
          <w:szCs w:val="24"/>
          <w:lang w:val="cs-CZ"/>
        </w:rPr>
        <w:t xml:space="preserve"> </w:t>
      </w:r>
      <w:r w:rsidRPr="00B532D2">
        <w:rPr>
          <w:sz w:val="24"/>
          <w:szCs w:val="24"/>
          <w:lang w:val="cs-CZ"/>
        </w:rPr>
        <w:tab/>
        <w:t>Usnesení Evropského parlamentu ze dne 4. května 2022 obsahující připomínky, které jsou nedílnou součástí rozhodnutí o udělení absolutoria za plnění souhrnného rozpočtu Evropské unie na rozpočtový rok 2020, oddíl III – Komise a výkonné agentury (Přijaté texty, P9_TA(2022)0144).</w:t>
      </w:r>
    </w:p>
  </w:footnote>
  <w:footnote w:id="21">
    <w:p w14:paraId="0F55C84D" w14:textId="75DBEE3F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Ú</w:t>
      </w:r>
      <w:r w:rsidR="008920F0" w:rsidRPr="00B532D2">
        <w:rPr>
          <w:sz w:val="24"/>
          <w:szCs w:val="24"/>
          <w:lang w:val="cs-CZ"/>
        </w:rPr>
        <w:t>četní dvůr</w:t>
      </w:r>
      <w:r w:rsidRPr="00B532D2">
        <w:rPr>
          <w:sz w:val="24"/>
          <w:szCs w:val="24"/>
          <w:lang w:val="cs-CZ"/>
        </w:rPr>
        <w:t>, Stručný audit EU 2022, s. 57.</w:t>
      </w:r>
    </w:p>
  </w:footnote>
  <w:footnote w:id="22">
    <w:p w14:paraId="68F1FACD" w14:textId="42610384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Výroční zpráva Ú</w:t>
      </w:r>
      <w:r w:rsidR="008920F0" w:rsidRPr="00B532D2">
        <w:rPr>
          <w:sz w:val="24"/>
          <w:szCs w:val="24"/>
          <w:lang w:val="cs-CZ"/>
        </w:rPr>
        <w:t>četního dvora</w:t>
      </w:r>
      <w:r w:rsidRPr="00B532D2">
        <w:rPr>
          <w:sz w:val="24"/>
          <w:szCs w:val="24"/>
          <w:lang w:val="cs-CZ"/>
        </w:rPr>
        <w:t xml:space="preserve"> za rok 2022, body 11.47–11:55.</w:t>
      </w:r>
    </w:p>
  </w:footnote>
  <w:footnote w:id="23">
    <w:p w14:paraId="262F7998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Ve Španělsku, na Slovensku, v Estonsku, Dánsku, Řecku, České republice, Itálii, Litvě, na Maltě, ve Slovinsku, Bulharsku, na Kypru, ve Finsku, Irsku, Lotyšsku a Polsku.</w:t>
      </w:r>
    </w:p>
  </w:footnote>
  <w:footnote w:id="24">
    <w:p w14:paraId="06587E02" w14:textId="334E4263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="00A63D00">
        <w:rPr>
          <w:sz w:val="24"/>
          <w:szCs w:val="24"/>
          <w:lang w:val="cs-CZ"/>
        </w:rPr>
        <w:t xml:space="preserve">Zvláštní zpráva </w:t>
      </w:r>
      <w:r w:rsidR="00327DB7">
        <w:rPr>
          <w:szCs w:val="24"/>
        </w:rPr>
        <w:t xml:space="preserve">č. </w:t>
      </w:r>
      <w:r w:rsidRPr="00B532D2">
        <w:rPr>
          <w:sz w:val="24"/>
          <w:szCs w:val="24"/>
          <w:lang w:val="cs-CZ"/>
        </w:rPr>
        <w:t>05/2023 nazvaná „Finanční prostředí EU – nesourodá struktura vyžadující další zjednodušení a odpovědnost“.</w:t>
      </w:r>
    </w:p>
  </w:footnote>
  <w:footnote w:id="25">
    <w:p w14:paraId="0BE6D8A3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Nařízení Rady (EU) 2017/1939 ze dne 12. října 2017, kterým se provádí posílená spolupráce za účelem zřízení Úřadu evropského veřejného žalobce („EPPO“) (</w:t>
      </w:r>
      <w:proofErr w:type="spellStart"/>
      <w:r w:rsidRPr="00B532D2">
        <w:rPr>
          <w:sz w:val="24"/>
          <w:szCs w:val="24"/>
          <w:lang w:val="cs-CZ"/>
        </w:rPr>
        <w:t>Úř</w:t>
      </w:r>
      <w:proofErr w:type="spellEnd"/>
      <w:r w:rsidRPr="00B532D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B532D2">
        <w:rPr>
          <w:sz w:val="24"/>
          <w:szCs w:val="24"/>
          <w:lang w:val="cs-CZ"/>
        </w:rPr>
        <w:t>věst</w:t>
      </w:r>
      <w:proofErr w:type="spellEnd"/>
      <w:proofErr w:type="gramEnd"/>
      <w:r w:rsidRPr="00B532D2">
        <w:rPr>
          <w:sz w:val="24"/>
          <w:szCs w:val="24"/>
          <w:lang w:val="cs-CZ"/>
        </w:rPr>
        <w:t xml:space="preserve">. L 283, </w:t>
      </w:r>
      <w:proofErr w:type="gramStart"/>
      <w:r w:rsidRPr="00B532D2">
        <w:rPr>
          <w:sz w:val="24"/>
          <w:szCs w:val="24"/>
          <w:lang w:val="cs-CZ"/>
        </w:rPr>
        <w:t>31.10.2017</w:t>
      </w:r>
      <w:proofErr w:type="gramEnd"/>
      <w:r w:rsidRPr="00B532D2">
        <w:rPr>
          <w:sz w:val="24"/>
          <w:szCs w:val="24"/>
          <w:lang w:val="cs-CZ"/>
        </w:rPr>
        <w:t>, s. 1).</w:t>
      </w:r>
    </w:p>
  </w:footnote>
  <w:footnote w:id="26">
    <w:p w14:paraId="3211AAC0" w14:textId="1ED0C934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="00B04477" w:rsidRPr="00B532D2">
        <w:rPr>
          <w:sz w:val="24"/>
          <w:szCs w:val="24"/>
          <w:lang w:val="cs-CZ"/>
        </w:rPr>
        <w:t>Sdělení Komise ze dne 13. července 2022 nazvané Zpráva o právním státu 2022 (</w:t>
      </w:r>
      <w:proofErr w:type="gramStart"/>
      <w:r w:rsidR="00B04477" w:rsidRPr="00B532D2">
        <w:rPr>
          <w:sz w:val="24"/>
          <w:szCs w:val="24"/>
          <w:lang w:val="cs-CZ"/>
        </w:rPr>
        <w:t>COM(2022</w:t>
      </w:r>
      <w:proofErr w:type="gramEnd"/>
      <w:r w:rsidR="00B04477" w:rsidRPr="00B532D2">
        <w:rPr>
          <w:sz w:val="24"/>
          <w:szCs w:val="24"/>
          <w:lang w:val="cs-CZ"/>
        </w:rPr>
        <w:t>)0500).</w:t>
      </w:r>
    </w:p>
  </w:footnote>
  <w:footnote w:id="27">
    <w:p w14:paraId="6AD050CE" w14:textId="77777777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Pr="00B532D2">
        <w:rPr>
          <w:sz w:val="24"/>
          <w:szCs w:val="24"/>
          <w:lang w:val="cs-CZ"/>
        </w:rPr>
        <w:t>Pokud jde o nezávislost Státní soudní rady, přetrvávají obavy ohledně fungování státního zastupitelství, neboť funkci ministra spravedlnosti a generálního prokurátora zastává stejná osoba; polské soudy rovněž vyjadřují obavy, že přeřazování státních zástupců lze považovat za určitou formu degradace a diskriminace a že kárné řízení by mohlo být zneužito k omezení nezávislosti soudců, neboť kárný senát Nejvyššího soudu stále vydává rozhodnutí.</w:t>
      </w:r>
    </w:p>
  </w:footnote>
  <w:footnote w:id="28">
    <w:p w14:paraId="54B8CC7F" w14:textId="5C559592" w:rsidR="001458BC" w:rsidRPr="00B532D2" w:rsidRDefault="001458BC" w:rsidP="00120FA9">
      <w:pPr>
        <w:pStyle w:val="FootnoteText"/>
        <w:ind w:left="567" w:hanging="567"/>
        <w:rPr>
          <w:sz w:val="24"/>
          <w:szCs w:val="24"/>
          <w:lang w:val="cs-CZ"/>
        </w:rPr>
      </w:pPr>
      <w:r w:rsidRPr="00B532D2">
        <w:rPr>
          <w:rStyle w:val="FootnoteReference"/>
          <w:sz w:val="24"/>
          <w:szCs w:val="24"/>
          <w:lang w:val="cs-CZ"/>
        </w:rPr>
        <w:footnoteRef/>
      </w:r>
      <w:r w:rsidR="00120FA9" w:rsidRPr="00B532D2">
        <w:rPr>
          <w:sz w:val="24"/>
          <w:szCs w:val="24"/>
          <w:lang w:val="cs-CZ"/>
        </w:rPr>
        <w:t xml:space="preserve"> </w:t>
      </w:r>
      <w:r w:rsidR="00120FA9" w:rsidRPr="00B532D2">
        <w:rPr>
          <w:sz w:val="24"/>
          <w:szCs w:val="24"/>
          <w:lang w:val="cs-CZ"/>
        </w:rPr>
        <w:tab/>
      </w:r>
      <w:r w:rsidR="00A63D00">
        <w:rPr>
          <w:sz w:val="24"/>
          <w:szCs w:val="24"/>
          <w:lang w:val="cs-CZ"/>
        </w:rPr>
        <w:t xml:space="preserve">Zvláštní zpráva </w:t>
      </w:r>
      <w:r w:rsidR="00327DB7">
        <w:rPr>
          <w:szCs w:val="24"/>
        </w:rPr>
        <w:t xml:space="preserve">č. </w:t>
      </w:r>
      <w:bookmarkStart w:id="8" w:name="_GoBack"/>
      <w:bookmarkEnd w:id="8"/>
      <w:r w:rsidRPr="00B532D2">
        <w:rPr>
          <w:sz w:val="24"/>
          <w:szCs w:val="24"/>
          <w:lang w:val="cs-CZ"/>
        </w:rPr>
        <w:t>01/2022 nazvaná „Podpora EU určená na posilování právního státu na západním Balkáně: navzdory úsilí přetrvávají zásadní problémy“.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D1736" w14:textId="77777777" w:rsidR="00064002" w:rsidRPr="00120F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B3DAD" w14:textId="77777777" w:rsidR="00064002" w:rsidRPr="00120F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16076" w14:textId="77777777" w:rsidR="00064002" w:rsidRPr="00120F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4/2023"/>
    <w:docVar w:name="dvlangue" w:val="CS"/>
    <w:docVar w:name="dvnumam" w:val="0"/>
    <w:docVar w:name="dvpe" w:val="753.468"/>
    <w:docVar w:name="dvrapporteur" w:val="Zpravodajka: "/>
    <w:docVar w:name="dvtitre" w:val="Usnesení Evropského parlamentu ze dne 18. ledna 2024 o ochraně finančních zájmů Evropské unie – boji proti podvodům – výroční zprávě za rok 2022(2023/2045(INI))"/>
  </w:docVars>
  <w:rsids>
    <w:rsidRoot w:val="00482D21"/>
    <w:rsid w:val="00002272"/>
    <w:rsid w:val="00030BA4"/>
    <w:rsid w:val="00064002"/>
    <w:rsid w:val="000677B9"/>
    <w:rsid w:val="000710AC"/>
    <w:rsid w:val="000726E0"/>
    <w:rsid w:val="000831BA"/>
    <w:rsid w:val="000A42CC"/>
    <w:rsid w:val="000E7DD9"/>
    <w:rsid w:val="0010095E"/>
    <w:rsid w:val="00120FA9"/>
    <w:rsid w:val="00125B37"/>
    <w:rsid w:val="001458BC"/>
    <w:rsid w:val="00187494"/>
    <w:rsid w:val="001E36F6"/>
    <w:rsid w:val="001F32AE"/>
    <w:rsid w:val="002767FF"/>
    <w:rsid w:val="002B18FE"/>
    <w:rsid w:val="002B5493"/>
    <w:rsid w:val="00327DB7"/>
    <w:rsid w:val="00343214"/>
    <w:rsid w:val="00361C00"/>
    <w:rsid w:val="00395FA1"/>
    <w:rsid w:val="003E15D4"/>
    <w:rsid w:val="003E7F30"/>
    <w:rsid w:val="00411CCE"/>
    <w:rsid w:val="004127EE"/>
    <w:rsid w:val="0041666E"/>
    <w:rsid w:val="00421060"/>
    <w:rsid w:val="00471C19"/>
    <w:rsid w:val="004820D7"/>
    <w:rsid w:val="00482D2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00A5"/>
    <w:rsid w:val="00731ADD"/>
    <w:rsid w:val="00734777"/>
    <w:rsid w:val="00747932"/>
    <w:rsid w:val="00747CE6"/>
    <w:rsid w:val="00751A4A"/>
    <w:rsid w:val="00756632"/>
    <w:rsid w:val="00762C74"/>
    <w:rsid w:val="00775EF4"/>
    <w:rsid w:val="00786EC0"/>
    <w:rsid w:val="0079577D"/>
    <w:rsid w:val="00797C61"/>
    <w:rsid w:val="007D1690"/>
    <w:rsid w:val="007D760F"/>
    <w:rsid w:val="007E22AD"/>
    <w:rsid w:val="00807A43"/>
    <w:rsid w:val="00817416"/>
    <w:rsid w:val="00842779"/>
    <w:rsid w:val="00863F1C"/>
    <w:rsid w:val="00865F67"/>
    <w:rsid w:val="00876E88"/>
    <w:rsid w:val="00881A7B"/>
    <w:rsid w:val="008840E5"/>
    <w:rsid w:val="00887B3E"/>
    <w:rsid w:val="008920F0"/>
    <w:rsid w:val="008A482C"/>
    <w:rsid w:val="008C2AC6"/>
    <w:rsid w:val="00930C23"/>
    <w:rsid w:val="0093193B"/>
    <w:rsid w:val="009509D8"/>
    <w:rsid w:val="00950B64"/>
    <w:rsid w:val="00981893"/>
    <w:rsid w:val="009D63A1"/>
    <w:rsid w:val="00A11DE3"/>
    <w:rsid w:val="00A1687D"/>
    <w:rsid w:val="00A43E52"/>
    <w:rsid w:val="00A4678D"/>
    <w:rsid w:val="00A63D00"/>
    <w:rsid w:val="00A778C7"/>
    <w:rsid w:val="00AB441E"/>
    <w:rsid w:val="00AB6293"/>
    <w:rsid w:val="00AE0928"/>
    <w:rsid w:val="00AF3B82"/>
    <w:rsid w:val="00B04477"/>
    <w:rsid w:val="00B12E95"/>
    <w:rsid w:val="00B22876"/>
    <w:rsid w:val="00B532D2"/>
    <w:rsid w:val="00B558F0"/>
    <w:rsid w:val="00B678D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1B9"/>
    <w:rsid w:val="00D56C11"/>
    <w:rsid w:val="00D834A0"/>
    <w:rsid w:val="00D872DF"/>
    <w:rsid w:val="00D91E21"/>
    <w:rsid w:val="00DA7FCD"/>
    <w:rsid w:val="00E347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0F2"/>
    <w:rsid w:val="00F5134D"/>
    <w:rsid w:val="00F56D52"/>
    <w:rsid w:val="00F64164"/>
    <w:rsid w:val="00F71954"/>
    <w:rsid w:val="00F74202"/>
    <w:rsid w:val="00F87713"/>
    <w:rsid w:val="00FB4360"/>
    <w:rsid w:val="00FC33B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81D1A"/>
  <w15:chartTrackingRefBased/>
  <w15:docId w15:val="{0944B778-B7F5-4EEB-B5DC-BEF70A76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58B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458B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AmNumberTabs">
    <w:name w:val="AmNumberTabs"/>
    <w:basedOn w:val="Normal"/>
    <w:rsid w:val="001458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1458BC"/>
    <w:pPr>
      <w:spacing w:after="240"/>
      <w:jc w:val="center"/>
    </w:pPr>
  </w:style>
  <w:style w:type="character" w:customStyle="1" w:styleId="BoldItalic">
    <w:name w:val="BoldItalic"/>
    <w:uiPriority w:val="1"/>
    <w:rsid w:val="001458BC"/>
    <w:rPr>
      <w:b/>
      <w:i/>
      <w:u w:val="none"/>
    </w:rPr>
  </w:style>
  <w:style w:type="character" w:customStyle="1" w:styleId="Italic">
    <w:name w:val="Italic"/>
    <w:uiPriority w:val="1"/>
    <w:rsid w:val="001458BC"/>
    <w:rPr>
      <w:i/>
    </w:rPr>
  </w:style>
  <w:style w:type="paragraph" w:customStyle="1" w:styleId="Normal12a24b">
    <w:name w:val="Normal12a24b"/>
    <w:basedOn w:val="Normal"/>
    <w:rsid w:val="001458BC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458BC"/>
    <w:rPr>
      <w:snapToGrid w:val="0"/>
      <w:sz w:val="24"/>
      <w:lang w:val="cs-CZ" w:eastAsia="en-US"/>
    </w:rPr>
  </w:style>
  <w:style w:type="character" w:styleId="Hyperlink">
    <w:name w:val="Hyperlink"/>
    <w:basedOn w:val="DefaultParagraphFont"/>
    <w:uiPriority w:val="99"/>
    <w:unhideWhenUsed/>
    <w:rsid w:val="001458B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044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447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E347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478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478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34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478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C2AC5-7E4A-4D35-8AC5-6A166F95C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10568</Words>
  <Characters>61711</Characters>
  <Application>Microsoft Office Word</Application>
  <DocSecurity>0</DocSecurity>
  <Lines>1435</Lines>
  <Paragraphs>1642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2024-02-26T10:35:00Z</dcterms:created>
  <dcterms:modified xsi:type="dcterms:W3CDTF">2024-02-26T10:35:00Z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A9-0434/2023</vt:lpwstr>
  </property>
  <property fmtid="{D5CDD505-2E9C-101B-9397-08002B2CF9AE}" pid="4" name="&lt;Type&gt;">
    <vt:lpwstr>RR</vt:lpwstr>
  </property>
</Properties>
</file>