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587A" w:rsidTr="0010095E">
        <w:trPr>
          <w:trHeight w:hRule="exact" w:val="1418"/>
        </w:trPr>
        <w:tc>
          <w:tcPr>
            <w:tcW w:w="6804" w:type="dxa"/>
            <w:shd w:val="clear" w:color="auto" w:fill="auto"/>
            <w:vAlign w:val="center"/>
          </w:tcPr>
          <w:p w:rsidR="00751A4A" w:rsidRPr="00B5587A" w:rsidRDefault="005759E9" w:rsidP="0010095E">
            <w:pPr>
              <w:pStyle w:val="EPName"/>
            </w:pPr>
            <w:r w:rsidRPr="00B5587A">
              <w:t>Eiropas Parlaments</w:t>
            </w:r>
          </w:p>
          <w:p w:rsidR="00751A4A" w:rsidRPr="00B5587A" w:rsidRDefault="00817416" w:rsidP="00756632">
            <w:pPr>
              <w:pStyle w:val="EPTerm"/>
              <w:rPr>
                <w:rStyle w:val="HideTWBExt"/>
                <w:noProof w:val="0"/>
                <w:vanish w:val="0"/>
                <w:color w:val="auto"/>
              </w:rPr>
            </w:pPr>
            <w:r w:rsidRPr="00B5587A">
              <w:t>2019-2024</w:t>
            </w:r>
          </w:p>
        </w:tc>
        <w:tc>
          <w:tcPr>
            <w:tcW w:w="2268" w:type="dxa"/>
            <w:shd w:val="clear" w:color="auto" w:fill="auto"/>
          </w:tcPr>
          <w:p w:rsidR="00751A4A" w:rsidRPr="00B5587A" w:rsidRDefault="00187494" w:rsidP="0010095E">
            <w:pPr>
              <w:pStyle w:val="EPLogo"/>
            </w:pPr>
            <w:r w:rsidRPr="00B5587A">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587A" w:rsidRDefault="00D058B8" w:rsidP="004C5D52">
      <w:pPr>
        <w:pStyle w:val="LineTop"/>
      </w:pPr>
    </w:p>
    <w:p w:rsidR="00680577" w:rsidRPr="00B5587A" w:rsidRDefault="005759E9" w:rsidP="00680577">
      <w:pPr>
        <w:pStyle w:val="EPBodyTA1"/>
      </w:pPr>
      <w:r w:rsidRPr="00B5587A">
        <w:t>PIEŅEMTIE TEKSTI</w:t>
      </w:r>
    </w:p>
    <w:p w:rsidR="00D058B8" w:rsidRPr="00B5587A" w:rsidRDefault="00D058B8" w:rsidP="00D058B8">
      <w:pPr>
        <w:pStyle w:val="LineBottom"/>
      </w:pPr>
    </w:p>
    <w:p w:rsidR="005759E9" w:rsidRPr="00B5587A" w:rsidRDefault="005759E9" w:rsidP="005759E9">
      <w:pPr>
        <w:pStyle w:val="ATHeading1"/>
      </w:pPr>
      <w:bookmarkStart w:id="0" w:name="TANumber"/>
      <w:r w:rsidRPr="00B5587A">
        <w:t>P9_TA(2024)00</w:t>
      </w:r>
      <w:bookmarkEnd w:id="0"/>
      <w:r w:rsidR="00B5587A" w:rsidRPr="00B5587A">
        <w:t>42</w:t>
      </w:r>
    </w:p>
    <w:p w:rsidR="005759E9" w:rsidRPr="00B5587A" w:rsidRDefault="005759E9" w:rsidP="005759E9">
      <w:pPr>
        <w:pStyle w:val="ATHeading2"/>
      </w:pPr>
      <w:bookmarkStart w:id="1" w:name="title"/>
      <w:r w:rsidRPr="00B5587A">
        <w:t>ES nostājas formulēšana attiecībā uz saistošu ANO instrumentu par uzņēmumiem un cilvēktiesībām, jo īpaši</w:t>
      </w:r>
      <w:r w:rsidR="005715F0" w:rsidRPr="00B5587A">
        <w:t xml:space="preserve"> </w:t>
      </w:r>
      <w:r w:rsidRPr="00B5587A">
        <w:t>piekļuvi tiesiskās aizsardzības līdzekļiem un cietušo aizsardzību</w:t>
      </w:r>
      <w:bookmarkEnd w:id="1"/>
    </w:p>
    <w:p w:rsidR="005759E9" w:rsidRPr="00B5587A" w:rsidRDefault="005759E9" w:rsidP="005759E9">
      <w:pPr>
        <w:rPr>
          <w:i/>
          <w:vanish/>
        </w:rPr>
      </w:pPr>
      <w:r w:rsidRPr="00B5587A">
        <w:rPr>
          <w:i/>
        </w:rPr>
        <w:fldChar w:fldCharType="begin"/>
      </w:r>
      <w:r w:rsidRPr="00B5587A">
        <w:rPr>
          <w:i/>
        </w:rPr>
        <w:instrText xml:space="preserve"> TC"(</w:instrText>
      </w:r>
      <w:bookmarkStart w:id="2" w:name="DocNumber"/>
      <w:r w:rsidRPr="00B5587A">
        <w:rPr>
          <w:i/>
        </w:rPr>
        <w:instrText>A9-0421/2023</w:instrText>
      </w:r>
      <w:bookmarkEnd w:id="2"/>
      <w:r w:rsidRPr="00B5587A">
        <w:rPr>
          <w:i/>
        </w:rPr>
        <w:instrText xml:space="preserve"> - Referente: </w:instrText>
      </w:r>
      <w:proofErr w:type="spellStart"/>
      <w:r w:rsidRPr="00B5587A">
        <w:rPr>
          <w:i/>
        </w:rPr>
        <w:instrText>Heidi</w:instrText>
      </w:r>
      <w:proofErr w:type="spellEnd"/>
      <w:r w:rsidRPr="00B5587A">
        <w:rPr>
          <w:i/>
        </w:rPr>
        <w:instrText xml:space="preserve"> </w:instrText>
      </w:r>
      <w:proofErr w:type="spellStart"/>
      <w:r w:rsidRPr="00B5587A">
        <w:rPr>
          <w:i/>
        </w:rPr>
        <w:instrText>Hautala</w:instrText>
      </w:r>
      <w:proofErr w:type="spellEnd"/>
      <w:r w:rsidRPr="00B5587A">
        <w:rPr>
          <w:i/>
        </w:rPr>
        <w:instrText xml:space="preserve">)"\l3 \n&gt; \* MERGEFORMAT </w:instrText>
      </w:r>
      <w:r w:rsidRPr="00B5587A">
        <w:rPr>
          <w:i/>
        </w:rPr>
        <w:fldChar w:fldCharType="end"/>
      </w:r>
    </w:p>
    <w:p w:rsidR="005759E9" w:rsidRPr="00B5587A" w:rsidRDefault="005759E9" w:rsidP="005759E9">
      <w:pPr>
        <w:rPr>
          <w:vanish/>
        </w:rPr>
      </w:pPr>
      <w:bookmarkStart w:id="3" w:name="Commission"/>
      <w:r w:rsidRPr="00B5587A">
        <w:rPr>
          <w:vanish/>
        </w:rPr>
        <w:t>Ārlietu komiteja</w:t>
      </w:r>
      <w:bookmarkEnd w:id="3"/>
    </w:p>
    <w:p w:rsidR="005759E9" w:rsidRPr="00B5587A" w:rsidRDefault="005759E9" w:rsidP="005759E9">
      <w:pPr>
        <w:rPr>
          <w:vanish/>
        </w:rPr>
      </w:pPr>
      <w:bookmarkStart w:id="4" w:name="PE"/>
      <w:r w:rsidRPr="00B5587A">
        <w:rPr>
          <w:vanish/>
        </w:rPr>
        <w:t>PE751.807</w:t>
      </w:r>
      <w:bookmarkEnd w:id="4"/>
    </w:p>
    <w:p w:rsidR="00B13B87" w:rsidRPr="00B5587A" w:rsidRDefault="005759E9" w:rsidP="005715F0">
      <w:pPr>
        <w:pStyle w:val="ATHeading3"/>
      </w:pPr>
      <w:bookmarkStart w:id="5" w:name="Sujet"/>
      <w:r w:rsidRPr="00B5587A">
        <w:t xml:space="preserve">Eiropas Parlamenta 2024. gada </w:t>
      </w:r>
      <w:r w:rsidR="005715F0" w:rsidRPr="00B5587A">
        <w:t>18</w:t>
      </w:r>
      <w:r w:rsidRPr="00B5587A">
        <w:t xml:space="preserve">. </w:t>
      </w:r>
      <w:r w:rsidR="005715F0" w:rsidRPr="00B5587A">
        <w:t>janvāra</w:t>
      </w:r>
      <w:r w:rsidRPr="00B5587A">
        <w:t xml:space="preserve"> rezolūcija par ES nostājas formulēšanu attiecībā uz saistošu ANO instrumentu par uzņēmumiem un cilvēktiesībām, jo īpaši piekļuvi tiesiskās aizsardzības līdzekļiem un cietušo aizsardzību</w:t>
      </w:r>
      <w:bookmarkEnd w:id="5"/>
      <w:r w:rsidRPr="00B5587A">
        <w:t xml:space="preserve"> </w:t>
      </w:r>
      <w:bookmarkStart w:id="6" w:name="References"/>
      <w:r w:rsidRPr="00B5587A">
        <w:t>(2023/2108(INI))</w:t>
      </w:r>
      <w:bookmarkStart w:id="7" w:name="TextBodyBegin"/>
      <w:bookmarkEnd w:id="6"/>
      <w:bookmarkEnd w:id="7"/>
    </w:p>
    <w:p w:rsidR="00B13B87" w:rsidRPr="00B5587A" w:rsidRDefault="00B13B87" w:rsidP="00B13B87">
      <w:pPr>
        <w:pStyle w:val="EPComma"/>
      </w:pPr>
      <w:r w:rsidRPr="00B5587A">
        <w:rPr>
          <w:i/>
        </w:rPr>
        <w:t>Eiropas Parlaments,</w:t>
      </w:r>
    </w:p>
    <w:p w:rsidR="00B13B87" w:rsidRPr="00B5587A" w:rsidRDefault="00B13B87" w:rsidP="00B13B87">
      <w:pPr>
        <w:pStyle w:val="NormalHanging12a"/>
      </w:pPr>
      <w:r w:rsidRPr="00B5587A">
        <w:t>–</w:t>
      </w:r>
      <w:r w:rsidRPr="00B5587A">
        <w:tab/>
        <w:t>ņemot vērā Līguma par Eiropas Savienību (LES) 2., 3., 8., 21. un 23. pantu,</w:t>
      </w:r>
    </w:p>
    <w:p w:rsidR="00B13B87" w:rsidRPr="00B5587A" w:rsidRDefault="00B13B87" w:rsidP="00B13B87">
      <w:pPr>
        <w:spacing w:after="240"/>
        <w:ind w:left="567" w:hanging="567"/>
        <w:rPr>
          <w:szCs w:val="24"/>
        </w:rPr>
      </w:pPr>
      <w:r w:rsidRPr="00B5587A">
        <w:t>–</w:t>
      </w:r>
      <w:r w:rsidRPr="00B5587A">
        <w:tab/>
        <w:t xml:space="preserve">ņemot vērā Eiropas Savienības </w:t>
      </w:r>
      <w:proofErr w:type="spellStart"/>
      <w:r w:rsidRPr="00B5587A">
        <w:t>Pamattiesību</w:t>
      </w:r>
      <w:proofErr w:type="spellEnd"/>
      <w:r w:rsidRPr="00B5587A">
        <w:t xml:space="preserve"> hartu,</w:t>
      </w:r>
    </w:p>
    <w:p w:rsidR="00B13B87" w:rsidRPr="00B5587A" w:rsidRDefault="00B13B87" w:rsidP="00B13B87">
      <w:pPr>
        <w:pStyle w:val="NormalHanging12a"/>
      </w:pPr>
      <w:r w:rsidRPr="00B5587A">
        <w:t>–</w:t>
      </w:r>
      <w:r w:rsidRPr="00B5587A">
        <w:tab/>
        <w:t>ņemot vērā ANO Vadošos principus (UNGP) uzņēmējdarbībai un cilvēktiesībām, ko ANO Cilvēktiesību padome apstiprināja 2011. gada 16. jūnija Rezolūcijā 17/4,</w:t>
      </w:r>
    </w:p>
    <w:p w:rsidR="00B13B87" w:rsidRPr="00B5587A" w:rsidRDefault="00B13B87" w:rsidP="00B13B87">
      <w:pPr>
        <w:pStyle w:val="NormalHanging12a"/>
      </w:pPr>
      <w:r w:rsidRPr="00B5587A">
        <w:t>–</w:t>
      </w:r>
      <w:r w:rsidRPr="00B5587A">
        <w:tab/>
        <w:t>ņemot vērā ANO Drošības padomes 2</w:t>
      </w:r>
      <w:r w:rsidR="00AC5D2C">
        <w:t>014. gada 26. jūnija Rezolūciju</w:t>
      </w:r>
      <w:r w:rsidRPr="00B5587A">
        <w:t xml:space="preserve"> 26/9, </w:t>
      </w:r>
    </w:p>
    <w:p w:rsidR="00B13B87" w:rsidRPr="00B5587A" w:rsidRDefault="00B13B87" w:rsidP="00B13B87">
      <w:pPr>
        <w:spacing w:after="240"/>
        <w:ind w:left="567" w:hanging="567"/>
        <w:rPr>
          <w:szCs w:val="24"/>
        </w:rPr>
      </w:pPr>
      <w:r w:rsidRPr="00B5587A">
        <w:t>–</w:t>
      </w:r>
      <w:r w:rsidRPr="00B5587A">
        <w:tab/>
        <w:t>ņemot vērā atjaunināto juridiski saistošā instrumenta projektu, ko 2023. gada 31. jūlijā izplatīja beztermiņa s</w:t>
      </w:r>
      <w:bookmarkStart w:id="8" w:name="_GoBack"/>
      <w:bookmarkEnd w:id="8"/>
      <w:r w:rsidRPr="00B5587A">
        <w:t>tarpvaldību darba grupas (OEIGWG) priekšsēdētājs un referents, un pārskatīto tā trešo projektu, kas sagatavots pēc astotās sesijas,</w:t>
      </w:r>
    </w:p>
    <w:p w:rsidR="00B13B87" w:rsidRPr="00B5587A" w:rsidRDefault="00B13B87" w:rsidP="00B13B87">
      <w:pPr>
        <w:spacing w:after="240"/>
        <w:ind w:left="567" w:hanging="567"/>
        <w:rPr>
          <w:szCs w:val="24"/>
        </w:rPr>
      </w:pPr>
      <w:r w:rsidRPr="00B5587A">
        <w:t>–</w:t>
      </w:r>
      <w:r w:rsidRPr="00B5587A">
        <w:tab/>
        <w:t>ņemot vērā ANO Pretkorupcijas konvenciju,</w:t>
      </w:r>
    </w:p>
    <w:p w:rsidR="00B13B87" w:rsidRPr="00B5587A" w:rsidRDefault="00B13B87" w:rsidP="00B13B87">
      <w:pPr>
        <w:pStyle w:val="NormalHanging12a"/>
      </w:pPr>
      <w:r w:rsidRPr="00B5587A">
        <w:t>–</w:t>
      </w:r>
      <w:r w:rsidRPr="00B5587A">
        <w:tab/>
        <w:t>ņemot vērā ANO Ģenerālās asamblejas 2</w:t>
      </w:r>
      <w:r w:rsidR="00AC5D2C">
        <w:t>022. gada 28. jūlija Rezolūciju</w:t>
      </w:r>
      <w:r w:rsidRPr="00B5587A">
        <w:t> 76/300 par cilvēktiesībām uz tīru, veselīgu un ilgtspējīgu vidi,</w:t>
      </w:r>
    </w:p>
    <w:p w:rsidR="00B13B87" w:rsidRPr="00B5587A" w:rsidRDefault="00B13B87" w:rsidP="00B13B87">
      <w:pPr>
        <w:spacing w:after="240"/>
        <w:ind w:left="567" w:hanging="567"/>
      </w:pPr>
      <w:r w:rsidRPr="00B5587A">
        <w:t>–</w:t>
      </w:r>
      <w:r w:rsidRPr="00B5587A">
        <w:tab/>
        <w:t>ņemot vērā Ekonomiskās sadarbības un attīstības organizācijas (ESAO) Atbildīgas uzņēmējdarbības vadlīnijas daudznacionāliem uzņēmumiem,</w:t>
      </w:r>
    </w:p>
    <w:p w:rsidR="00B13B87" w:rsidRPr="00B5587A" w:rsidRDefault="00B13B87" w:rsidP="00B13B87">
      <w:pPr>
        <w:pStyle w:val="NormalHanging12a"/>
      </w:pPr>
      <w:r w:rsidRPr="00B5587A">
        <w:t>–</w:t>
      </w:r>
      <w:r w:rsidRPr="00B5587A">
        <w:tab/>
        <w:t>ņemot vērā Āfrikas Cilvēktiesību un tautu tiesību komisijas 2023. gada 7. marta rezolūciju par uzņēmējdarbību un cilvēktiesībām Āfrikā,</w:t>
      </w:r>
    </w:p>
    <w:p w:rsidR="00B13B87" w:rsidRPr="00B5587A" w:rsidRDefault="00B13B87" w:rsidP="00B13B87">
      <w:pPr>
        <w:pStyle w:val="NormalHanging12a"/>
      </w:pPr>
      <w:r w:rsidRPr="00B5587A">
        <w:t>–</w:t>
      </w:r>
      <w:r w:rsidRPr="00B5587A">
        <w:tab/>
        <w:t xml:space="preserve">ņemot vērā Eiropas Savienības </w:t>
      </w:r>
      <w:proofErr w:type="spellStart"/>
      <w:r w:rsidRPr="00B5587A">
        <w:t>Pamattiesību</w:t>
      </w:r>
      <w:proofErr w:type="spellEnd"/>
      <w:r w:rsidRPr="00B5587A">
        <w:t xml:space="preserve"> aģentūras (FRA) 2017. gada 10. aprīļa atzinumu “Tiesiskās aizsardzības līdzekļu pieejamības uzlabošana uzņēmējdarbības un </w:t>
      </w:r>
      <w:r w:rsidRPr="00B5587A">
        <w:lastRenderedPageBreak/>
        <w:t>cilvēktiesību jomā ES līmenī”</w:t>
      </w:r>
      <w:r w:rsidRPr="00B5587A">
        <w:rPr>
          <w:rStyle w:val="FootnoteReference"/>
        </w:rPr>
        <w:footnoteReference w:id="1"/>
      </w:r>
      <w:r w:rsidRPr="00B5587A">
        <w:t xml:space="preserve"> un tās 2020. gada 6. oktobra ziņojumu “Uzņēmējdarbība un cilvēktiesības — tiesiskās aizsardzības līdzekļu pieejamība”</w:t>
      </w:r>
      <w:r w:rsidRPr="00B5587A">
        <w:rPr>
          <w:rStyle w:val="FootnoteReference"/>
        </w:rPr>
        <w:footnoteReference w:id="2"/>
      </w:r>
      <w:r w:rsidRPr="00B5587A">
        <w:t xml:space="preserve">, </w:t>
      </w:r>
    </w:p>
    <w:p w:rsidR="00B13B87" w:rsidRPr="00B5587A" w:rsidRDefault="00B13B87" w:rsidP="00B13B87">
      <w:pPr>
        <w:pStyle w:val="NormalHanging12a"/>
      </w:pPr>
      <w:r w:rsidRPr="00B5587A">
        <w:t>–</w:t>
      </w:r>
      <w:r w:rsidRPr="00B5587A">
        <w:tab/>
        <w:t>ņemot vērā Padomes 2023. gada 20. februāra secinājumus par ES prioritātēm ANO cilvēktiesību forumos 2023. gadā,</w:t>
      </w:r>
    </w:p>
    <w:p w:rsidR="00B13B87" w:rsidRPr="00B5587A" w:rsidRDefault="00B13B87" w:rsidP="00B13B87">
      <w:pPr>
        <w:pStyle w:val="NormalHanging12a"/>
      </w:pPr>
      <w:r w:rsidRPr="00B5587A">
        <w:t>–</w:t>
      </w:r>
      <w:r w:rsidRPr="00B5587A">
        <w:tab/>
        <w:t>ņemot vērā 2016. gada 25. oktobra rezolūciju par uzņēmumu atbildību par nopietniem cilvēktiesību pārkāpumiem trešās valstīs</w:t>
      </w:r>
      <w:r w:rsidRPr="00B5587A">
        <w:rPr>
          <w:rStyle w:val="FootnoteReference"/>
        </w:rPr>
        <w:footnoteReference w:id="3"/>
      </w:r>
      <w:r w:rsidRPr="00B5587A">
        <w:t xml:space="preserve">, </w:t>
      </w:r>
    </w:p>
    <w:p w:rsidR="00B13B87" w:rsidRPr="00B5587A" w:rsidRDefault="00B13B87" w:rsidP="00B13B87">
      <w:pPr>
        <w:pStyle w:val="NormalHanging12a"/>
      </w:pPr>
      <w:r w:rsidRPr="00B5587A">
        <w:t>–</w:t>
      </w:r>
      <w:r w:rsidRPr="00B5587A">
        <w:tab/>
        <w:t>ņemot vērā 2018. gada 4. oktobra rezolūciju par ES ieguldījumu tāda juridiski saistoša ANO instrumenta izstrādē, ar kuru no cilvēktiesību ievērošanas viedokļa regulē transnacionālu korporāciju un citu tādu uzņēmumu darbību, kuriem piemīt transnacionālas iezīmes</w:t>
      </w:r>
      <w:r w:rsidRPr="00B5587A">
        <w:rPr>
          <w:rStyle w:val="FootnoteReference"/>
        </w:rPr>
        <w:footnoteReference w:id="4"/>
      </w:r>
      <w:r w:rsidRPr="00B5587A">
        <w:t xml:space="preserve">, </w:t>
      </w:r>
    </w:p>
    <w:p w:rsidR="00B13B87" w:rsidRPr="00B5587A" w:rsidRDefault="00B13B87" w:rsidP="00B13B87">
      <w:pPr>
        <w:pStyle w:val="NormalHanging12a"/>
      </w:pPr>
      <w:r w:rsidRPr="00B5587A">
        <w:t>–</w:t>
      </w:r>
      <w:r w:rsidRPr="00B5587A">
        <w:tab/>
        <w:t>ņemot vērā 2023. gada 18. janvāra rezolūciju par 2022. gada ziņojumu par cilvēktiesībām un demokrātiju pasaulē un Eiropas Savienības politiku šajā jomā</w:t>
      </w:r>
      <w:r w:rsidRPr="00B5587A">
        <w:rPr>
          <w:rStyle w:val="FootnoteReference"/>
        </w:rPr>
        <w:footnoteReference w:id="5"/>
      </w:r>
      <w:r w:rsidRPr="00B5587A">
        <w:t>, kā arī iepriekšējās rezolūcijas par agrākajiem gada ziņojumiem,</w:t>
      </w:r>
    </w:p>
    <w:p w:rsidR="00B13B87" w:rsidRPr="00B5587A" w:rsidRDefault="00B13B87" w:rsidP="00B13B87">
      <w:pPr>
        <w:pStyle w:val="NormalHanging12a"/>
      </w:pPr>
      <w:r w:rsidRPr="00B5587A">
        <w:t>–</w:t>
      </w:r>
      <w:r w:rsidRPr="00B5587A">
        <w:tab/>
        <w:t>ņemot vērā Reglamenta 54. pantu,</w:t>
      </w:r>
    </w:p>
    <w:p w:rsidR="00B13B87" w:rsidRPr="00B5587A" w:rsidRDefault="00B13B87" w:rsidP="00B13B87">
      <w:pPr>
        <w:pStyle w:val="NormalHanging12a"/>
      </w:pPr>
      <w:r w:rsidRPr="00B5587A">
        <w:t>–</w:t>
      </w:r>
      <w:r w:rsidRPr="00B5587A">
        <w:tab/>
        <w:t>ņemot vērā Attīstības komitejas atzinumu,</w:t>
      </w:r>
    </w:p>
    <w:p w:rsidR="00B13B87" w:rsidRPr="00B5587A" w:rsidRDefault="00B13B87" w:rsidP="00B13B87">
      <w:pPr>
        <w:pStyle w:val="NormalHanging12a"/>
      </w:pPr>
      <w:r w:rsidRPr="00B5587A">
        <w:t>–</w:t>
      </w:r>
      <w:r w:rsidRPr="00B5587A">
        <w:tab/>
        <w:t>ņemot vērā Ārlietu komitejas ziņojumu (A9-0421/2023),</w:t>
      </w:r>
    </w:p>
    <w:p w:rsidR="00B13B87" w:rsidRPr="00B5587A" w:rsidRDefault="00B13B87" w:rsidP="00B13B87">
      <w:pPr>
        <w:pStyle w:val="NormalHanging12a"/>
      </w:pPr>
      <w:r w:rsidRPr="00B5587A">
        <w:t>A.</w:t>
      </w:r>
      <w:r w:rsidRPr="00B5587A">
        <w:tab/>
        <w:t>tā kā ES ir dibināta, pamatojoties uz tādu vērtību respektēšanu kā cilvēka cieņa, brīvība, demokrātija, vienlīdzība, tiesiskums un cilvēktiesības, kā tas ir noteikts LES 2. pantā; tā kā tās darbībai starptautiskajā arēnā ir jābalstās uz šiem principiem un jāatbilst attīstības politikas saskaņotības principam, kā noteikts Lisabonas līguma 208. pantā;</w:t>
      </w:r>
    </w:p>
    <w:p w:rsidR="00B13B87" w:rsidRPr="00B5587A" w:rsidRDefault="00B13B87" w:rsidP="00B13B87">
      <w:pPr>
        <w:pStyle w:val="NormalHanging12a"/>
      </w:pPr>
      <w:r w:rsidRPr="00B5587A">
        <w:t>B.</w:t>
      </w:r>
      <w:r w:rsidRPr="00B5587A">
        <w:tab/>
        <w:t>tā kā Ilgtspējīgas attīstības programmas 2030. gadam un principa “neatstāt nevienu novārtā” īstenošana nozīmē, ka ekonomikas attīstībai jāiet roku rokā ar sociālo taisnīgumu, labu pārvaldību un cilvēktiesību ievērošanu;</w:t>
      </w:r>
    </w:p>
    <w:p w:rsidR="00B13B87" w:rsidRPr="00B5587A" w:rsidRDefault="00B13B87" w:rsidP="00B13B87">
      <w:pPr>
        <w:pStyle w:val="NormalHanging12a"/>
      </w:pPr>
      <w:r w:rsidRPr="00B5587A">
        <w:t>C.</w:t>
      </w:r>
      <w:r w:rsidRPr="00B5587A">
        <w:tab/>
        <w:t>tā kā korporācijas ir lielākie dalībnieki ekonomikas globalizācijas, finanšu pakalpojumu un starptautiskās tirdzniecības procesos un to pienākums ir ievērot visus piemērojamos tiesību aktus un starptautiskos nolīgumus, kā arī cilvēktiesības. tā kā korporācijas var izraisīt, veicināt vai būt tiešā veidā saistītas ar negatīvu ietekmi uz cilvēktiesībām, kas var izpausties kā, piemēram, mūsdienu verdzība, cilvēku tirdzniecība, piespiedu darbs, bērnu darbs un cita veida darbaspēka ekspluatācija, cilvēku padzīšana no savas zemes, algas, kas ir zem nabadzības sliekšņa un pret arodbiedrībām vērsti pārkāpumi, kā arī nelabvēlīga ietekme uz vidi, tostarp piesārņojums, klimata pārmaiņas, vides degradācija un bioloģiskās daudzveidības zudums;</w:t>
      </w:r>
    </w:p>
    <w:p w:rsidR="00B13B87" w:rsidRPr="00B5587A" w:rsidRDefault="00B13B87" w:rsidP="00B13B87">
      <w:pPr>
        <w:pStyle w:val="NormalHanging12a"/>
      </w:pPr>
      <w:r w:rsidRPr="00B5587A">
        <w:t>D.</w:t>
      </w:r>
      <w:r w:rsidRPr="00B5587A">
        <w:tab/>
        <w:t xml:space="preserve">tā kā korporācijas var veicināt ilgtspējīgu attīstību, radot darbvietas un attīstot </w:t>
      </w:r>
      <w:r w:rsidRPr="00B5587A">
        <w:lastRenderedPageBreak/>
        <w:t>ekonomiku, un tādēļ tām var būt svarīga nozīme cilvēktiesību un vides standartu ievērošanas veicināšanā, kā arī nelabvēlīgas ietekmes uz cilvēktiesībām un vidi novēršanā;</w:t>
      </w:r>
    </w:p>
    <w:p w:rsidR="00B13B87" w:rsidRPr="00B5587A" w:rsidRDefault="00B13B87" w:rsidP="00B13B87">
      <w:pPr>
        <w:pStyle w:val="NormalHanging12a"/>
        <w:rPr>
          <w:rStyle w:val="doceo-font-family-base"/>
        </w:rPr>
      </w:pPr>
      <w:r w:rsidRPr="00B5587A">
        <w:t>E.</w:t>
      </w:r>
      <w:r w:rsidRPr="00B5587A">
        <w:tab/>
      </w:r>
      <w:r w:rsidRPr="00B5587A">
        <w:rPr>
          <w:rStyle w:val="doceo-font-family-base"/>
        </w:rPr>
        <w:t>tā kā uzņēmumu un investoru tiesības būtu jālīdzsvaro ar saistošiem un izpildāmiem pienākumiem attiecībā uz cilvēktiesību, darba tiesību un vides tiesību ievērošanu;</w:t>
      </w:r>
    </w:p>
    <w:p w:rsidR="00B13B87" w:rsidRPr="00B5587A" w:rsidRDefault="00B13B87" w:rsidP="00B13B87">
      <w:pPr>
        <w:pStyle w:val="NormalHanging12a"/>
        <w:rPr>
          <w:rStyle w:val="doceo-font-family-base"/>
          <w:szCs w:val="24"/>
        </w:rPr>
      </w:pPr>
      <w:r w:rsidRPr="00B5587A">
        <w:rPr>
          <w:rStyle w:val="doceo-font-family-base"/>
        </w:rPr>
        <w:t>F.</w:t>
      </w:r>
      <w:r w:rsidRPr="00B5587A">
        <w:rPr>
          <w:rStyle w:val="doceo-font-family-base"/>
        </w:rPr>
        <w:tab/>
        <w:t xml:space="preserve">tā kā personas, kas cietušas no ļaunprātīgas korporāciju rīcības, piekļuvē tiesiskās aizsardzības līdzekļiem, tostarp tiesiskās aizsardzības līdzekļiem un neatkārtošanās garantijām, bieži saskaras ar daudziem šķēršļiem, kuri savstarpēji pārklājas; tā kā šie šķēršļi ir vēl grūtāk pārvarami neaizsargātām vai </w:t>
      </w:r>
      <w:proofErr w:type="spellStart"/>
      <w:r w:rsidRPr="00B5587A">
        <w:rPr>
          <w:rStyle w:val="doceo-font-family-base"/>
        </w:rPr>
        <w:t>marginalizētām</w:t>
      </w:r>
      <w:proofErr w:type="spellEnd"/>
      <w:r w:rsidRPr="00B5587A">
        <w:rPr>
          <w:rStyle w:val="doceo-font-family-base"/>
        </w:rPr>
        <w:t xml:space="preserve"> personām vai grupām; tā kā atsevišķu korporāciju nesodāmība par pastrādātajiem cilvēktiesību pārkāpumiem lielākoties joprojām nav novērsta, jo trūkst stingra un visaptveroša tiesiskā regulējuma un saskaņošanas globālā un reģionālā līmenī;</w:t>
      </w:r>
    </w:p>
    <w:p w:rsidR="00B13B87" w:rsidRPr="00B5587A" w:rsidRDefault="00B13B87" w:rsidP="00B13B87">
      <w:pPr>
        <w:pStyle w:val="NormalHanging12a"/>
        <w:rPr>
          <w:rStyle w:val="doceo-font-family-base"/>
        </w:rPr>
      </w:pPr>
      <w:r w:rsidRPr="00B5587A">
        <w:t>G.</w:t>
      </w:r>
      <w:r w:rsidRPr="00B5587A">
        <w:tab/>
        <w:t>tā kā visā pasaulē pieaug uzņēmumu izdarītie darba ņēmēju tiesību pārkāpumi un saskaņā ar Starptautiskās Arodbiedrību konfederācijas tiesību indeksu jau 113 valstis liedz darba ņēmējiem tiesības dibināt arodbiedrību vai pievienoties tai, salīdzinot ar 106 valstīm 2021. gadā; tā kā 87 % valstu pārkāpa tiesības streikot un katras četras no piecām valstīm bloķēja darba koplīguma slēgšanas sarunas;</w:t>
      </w:r>
    </w:p>
    <w:p w:rsidR="00B13B87" w:rsidRPr="00B5587A" w:rsidRDefault="00B13B87" w:rsidP="00B13B87">
      <w:pPr>
        <w:pStyle w:val="NormalHanging12a"/>
        <w:rPr>
          <w:rStyle w:val="doceo-font-family-base"/>
        </w:rPr>
      </w:pPr>
      <w:r w:rsidRPr="00B5587A">
        <w:rPr>
          <w:rStyle w:val="doceo-font-family-base"/>
        </w:rPr>
        <w:t>H.</w:t>
      </w:r>
      <w:r w:rsidRPr="00B5587A">
        <w:rPr>
          <w:rStyle w:val="doceo-font-family-base"/>
        </w:rPr>
        <w:tab/>
        <w:t>tā kā ANO Cilvēktiesību Padome (UNHRC) 2014. gada 26. jūnijā pieņēma rezolūciju, ar kuru izveido beztermiņa starpvaldību darba grupu (OEIGWG), lai izstrādātu starptautisku juridiski saistošu instrumentu (LBI) nolūkā “starptautiskajos cilvēktiesību aktos regulēt starptautisko korporāciju un citu uzņēmumu darbību”.</w:t>
      </w:r>
    </w:p>
    <w:p w:rsidR="00B13B87" w:rsidRPr="00B5587A" w:rsidRDefault="00B13B87" w:rsidP="00B13B87">
      <w:pPr>
        <w:pStyle w:val="NormalHanging12a"/>
        <w:rPr>
          <w:rStyle w:val="doceo-font-family-base"/>
        </w:rPr>
      </w:pPr>
      <w:r w:rsidRPr="00B5587A">
        <w:t>I.</w:t>
      </w:r>
      <w:r w:rsidRPr="00B5587A">
        <w:tab/>
        <w:t>tā kā OEIGWG, kuru kopš tās dibināšanas vada Ekvadora, līdz šim ir sarīkojusi astoņas darba sesijas un vairākas reģionāla līmeņa un cita veida apspriedes ar ieinteresētajām personām, tostarp no pilsoniskās sabiedrības un privātā sektora; tā kā 2023. gada jūlijā pirms OEIGWG devītās sesijas, kas paredzēta 2023. gada 23.–27. oktobrī, priekšsēdētājs izplatīja atjauninātu instrumenta projektu;</w:t>
      </w:r>
    </w:p>
    <w:p w:rsidR="00B13B87" w:rsidRPr="00B5587A" w:rsidRDefault="00B13B87" w:rsidP="00B13B87">
      <w:pPr>
        <w:pStyle w:val="NormalHanging12a"/>
        <w:rPr>
          <w:rStyle w:val="doceo-font-family-base"/>
        </w:rPr>
      </w:pPr>
      <w:r w:rsidRPr="00B5587A">
        <w:t>J.</w:t>
      </w:r>
      <w:r w:rsidRPr="00B5587A">
        <w:tab/>
        <w:t>tā kā ES ir strādājusi pie vērienīgiem tiesību aktiem cita starpā attiecībā uz pienācīgu rūpību uzņēmumu darbībā, kas kalpotu par pamatu tās sarunu pilnvarām; tā kā ES pārstāvim nebija sarunu mandāta, tāpēc tas OEIGWG sesijās piedalījās tikai novērotāja statusā un sniedza tikai vispārīgus paziņojumus; tā kā arī citu lielo, ārpus ES esošo valstu tautsaimniecību iesaiste diskusijās gadu gaitā ir bijusi neviennozīmīga;</w:t>
      </w:r>
    </w:p>
    <w:p w:rsidR="00B13B87" w:rsidRPr="00B5587A" w:rsidRDefault="00B13B87" w:rsidP="00B13B87">
      <w:pPr>
        <w:pStyle w:val="NormalHanging12a"/>
        <w:rPr>
          <w:rStyle w:val="doceo-font-family-base"/>
        </w:rPr>
      </w:pPr>
      <w:r w:rsidRPr="00B5587A">
        <w:rPr>
          <w:rStyle w:val="doceo-font-family-base"/>
        </w:rPr>
        <w:t>K.</w:t>
      </w:r>
      <w:r w:rsidRPr="00B5587A">
        <w:rPr>
          <w:rStyle w:val="doceo-font-family-base"/>
        </w:rPr>
        <w:tab/>
        <w:t>tā kā laika gaitā ES dalībvalstu nostāja ir pakāpeniski mainījusies un vairākas no tām aktīvi piedalījās pēdējās OEIGWG sesijās; tā kā Francija un Portugāle ir pievienojušās grupai “Priekšsēdētāja draugi” un palīdz priekšsēdētājam izstrādāt konsensā balstītus priekšlikumus no reģionālajiem valstu blokiem; tā kā Padome starp savām prioritātēm attiecībā uz cilvēktiesību forumiem 2023. gadā minēja apņemšanos aktīvi piedalīties ANO diskusijās par LBI un pauda gatavību sadarboties ar OEIGWG priekšsēdētāju un grupu “Priekšsēdētāja draugi”, lai “izpētītu (..) veidus, kā izstrādāt konsensā balstītu instrumentu, ar ko var efektīvi uzlabot cietušo aizsardzību un radīt vienlīdzīgus konkurences apstākļus visā pasaulē”;</w:t>
      </w:r>
    </w:p>
    <w:p w:rsidR="00B13B87" w:rsidRPr="00B5587A" w:rsidRDefault="00B13B87" w:rsidP="00B13B87">
      <w:pPr>
        <w:pStyle w:val="NormalHanging12a"/>
        <w:rPr>
          <w:rStyle w:val="doceo-font-family-base"/>
        </w:rPr>
      </w:pPr>
      <w:r w:rsidRPr="00B5587A">
        <w:t>L.</w:t>
      </w:r>
      <w:r w:rsidRPr="00B5587A">
        <w:tab/>
        <w:t>tā kā Parlaments vairākkārt ir paudis atbalstu LBI apspriešanai ANO, tostarp pieņemot vairākas rezolūcijas, kurās ES un dalībvalstis tiek aicinātas konstruktīvi iesaistīties sarunās;</w:t>
      </w:r>
    </w:p>
    <w:p w:rsidR="00B13B87" w:rsidRPr="00B5587A" w:rsidRDefault="00B13B87" w:rsidP="00B13B87">
      <w:pPr>
        <w:pStyle w:val="NormalHanging12a"/>
        <w:rPr>
          <w:rStyle w:val="doceo-font-family-base"/>
        </w:rPr>
      </w:pPr>
      <w:r w:rsidRPr="00B5587A">
        <w:lastRenderedPageBreak/>
        <w:t>M.</w:t>
      </w:r>
      <w:r w:rsidRPr="00B5587A">
        <w:tab/>
        <w:t>tā kā pēdējo gadu laikā ES ir izrādījusi lielu apņemšanos attiecībā uz uzņēmējdarbību un cilvēktiesībām un sākusi vairākas likumdošanas iniciatīvas, kuru mērķis ir reglamentēt uzņēmējdarbību tā, lai aizsargātu cilvēktiesības un liktu pildīt ar vidi un klimatu saistītus pienākumus, starp kurām minama direktīva par uzņēmumu pienācīgu rūpību, priekšlikums regulai par tādu produktu aizliegšanu Savienības tirgū, kas izgatavoti, izmantojot piespiedu darbu, regula par neatmežojošiem produktiem, regulu par izrakteņiem konfliktu skartās teritorijās un regula par akumulatoriem;</w:t>
      </w:r>
    </w:p>
    <w:p w:rsidR="00B13B87" w:rsidRPr="00B5587A" w:rsidRDefault="00B13B87" w:rsidP="00B13B87">
      <w:pPr>
        <w:pStyle w:val="NormalHanging12a"/>
      </w:pPr>
      <w:r w:rsidRPr="00B5587A">
        <w:t>N.</w:t>
      </w:r>
      <w:r w:rsidRPr="00B5587A">
        <w:tab/>
        <w:t xml:space="preserve">tā kā vairākas ES dalībvalstis, piemēram, Francija, Vācija un </w:t>
      </w:r>
      <w:proofErr w:type="spellStart"/>
      <w:r w:rsidRPr="00B5587A">
        <w:t>Nīderlande,nesen</w:t>
      </w:r>
      <w:proofErr w:type="spellEnd"/>
      <w:r w:rsidRPr="00B5587A">
        <w:t xml:space="preserve"> ir pieņēmušas vai ierosinājušas tiesību aktus par obligātu pienācīgu rūpību, savukārt vairākas citas dalībvalstis apsver iespēju sekot šim piemēram; </w:t>
      </w:r>
      <w:r w:rsidRPr="00B5587A">
        <w:rPr>
          <w:rStyle w:val="doceo-font-family-base"/>
        </w:rPr>
        <w:t>tā kā ir svarīgi nodrošināt saskaņotību starp pienācīgas pārbaudes tiesību aktiem dalībvalstu vai ES līmenī un ANO LBI;</w:t>
      </w:r>
    </w:p>
    <w:p w:rsidR="00B13B87" w:rsidRPr="00B5587A" w:rsidRDefault="00B13B87" w:rsidP="00B13B87">
      <w:pPr>
        <w:pStyle w:val="NormalHanging12a"/>
        <w:rPr>
          <w:szCs w:val="24"/>
        </w:rPr>
      </w:pPr>
      <w:r w:rsidRPr="00B5587A">
        <w:t>O.</w:t>
      </w:r>
      <w:r w:rsidRPr="00B5587A">
        <w:tab/>
        <w:t>tā kā tādās trešās valstīs kā Austrālija, Brazīlija, Kanāda, Gana, Japāna, Meksika, Jaunzēlande, Norvēģija, Dienvidāfrika, Dienvidkoreja, Šveice un ASV ir pieņemtas vai tiek apspriestas regulējuma iniciatīvas, tostarp tiesību akti, par uzņēmējdarbību un cilvēktiesībām; tā kā vēl daudzas citas valstis ir izstrādājušas savus rīcības plānus uzņēmējdarbības un cilvēktiesību jomā;</w:t>
      </w:r>
    </w:p>
    <w:p w:rsidR="00B13B87" w:rsidRPr="00B5587A" w:rsidRDefault="00B13B87" w:rsidP="00B13B87">
      <w:pPr>
        <w:pStyle w:val="NormalHanging12a"/>
        <w:rPr>
          <w:szCs w:val="24"/>
        </w:rPr>
      </w:pPr>
      <w:r w:rsidRPr="00B5587A">
        <w:t>P.</w:t>
      </w:r>
      <w:r w:rsidRPr="00B5587A">
        <w:tab/>
        <w:t>tā kā LBI projektā ir iekļauta reģionālās integrācijas organizācijas klauzula, lai ņemtu vērā attiecīgi ES un tās dalībvalstu lomu;</w:t>
      </w:r>
    </w:p>
    <w:p w:rsidR="00B13B87" w:rsidRPr="00B5587A" w:rsidRDefault="00B13B87" w:rsidP="00B13B87">
      <w:pPr>
        <w:pStyle w:val="NormalHanging12a"/>
        <w:rPr>
          <w:rStyle w:val="doceo-font-family-base"/>
        </w:rPr>
      </w:pPr>
      <w:r w:rsidRPr="00B5587A">
        <w:t>Q.</w:t>
      </w:r>
      <w:r w:rsidRPr="00B5587A">
        <w:tab/>
        <w:t>tā kā skarto kopienu, pirmiedzīvotāju, arodbiedrību, pilsoniskās sabiedrības locekļu, zinātnieku un ekspertu vidū visā pasaulē ir vērojama būtiska un aizvien pieaugoša interese par ANO līmeņa diskusijām par LBI, mobilizēšanās šī jautājuma apspriešanai un arī cerības, kas uz to tiek liktas,</w:t>
      </w:r>
    </w:p>
    <w:p w:rsidR="00B13B87" w:rsidRPr="00B5587A" w:rsidRDefault="00B13B87" w:rsidP="00B13B87">
      <w:pPr>
        <w:pStyle w:val="NormalHanging12a"/>
        <w:rPr>
          <w:rStyle w:val="doceo-font-family-base"/>
          <w:b/>
          <w:i/>
        </w:rPr>
      </w:pPr>
      <w:r w:rsidRPr="00B5587A">
        <w:rPr>
          <w:rStyle w:val="doceo-font-family-base"/>
          <w:b/>
          <w:i/>
        </w:rPr>
        <w:t>Vispārīgas piezīmes un starptautiskais regulējums uzņēmējdarbības un cilvēktiesību jomā</w:t>
      </w:r>
    </w:p>
    <w:p w:rsidR="00B13B87" w:rsidRPr="00B5587A" w:rsidRDefault="00B13B87" w:rsidP="00B13B87">
      <w:pPr>
        <w:pStyle w:val="NormalHanging12a"/>
        <w:rPr>
          <w:rStyle w:val="doceo-font-family-base"/>
        </w:rPr>
      </w:pPr>
      <w:r w:rsidRPr="00B5587A">
        <w:t>1.</w:t>
      </w:r>
      <w:r w:rsidRPr="00B5587A">
        <w:tab/>
        <w:t>uzsver, ka vispārējais cilvēktiesību ievērošanas līmenis visā pasaulē citu faktoru starpā ir atkarīgs no korporāciju rīcības, ņemot vērā pašreizējo globalizācijas un uzņēmējdarbības un vērtību ķēžu internacionalizācijas līmeni; šajā sakarā uzsver, ka ir svarīgi, lai uzņēmumi varētu paļauties uz labu publisko pārvaldību un visaptverošu un labi funkcionējošu tiesību sistēmu un regulējumu un līdz ar to varētu pildīt savus pienākumus cilvēktiesību jomā;</w:t>
      </w:r>
    </w:p>
    <w:p w:rsidR="00B13B87" w:rsidRPr="00B5587A" w:rsidRDefault="00B13B87" w:rsidP="00B13B87">
      <w:pPr>
        <w:pStyle w:val="NormalHanging12a"/>
        <w:rPr>
          <w:rStyle w:val="doceo-font-family-base"/>
        </w:rPr>
      </w:pPr>
      <w:r w:rsidRPr="00B5587A">
        <w:t>2.</w:t>
      </w:r>
      <w:r w:rsidRPr="00B5587A">
        <w:tab/>
        <w:t>stingri atbalsta starptautisko standartu par atbildīgu uzņēmējdarbības praksi pilnīgu īstenošanu ES un ārpus tās nolūkā papildināt un stiprināt UNGP īstenošanu; uzsver UNGP un ESAO pamatnostādņu nozīmi un plašo atbalstu, kas tām tiek izrādīts; atgādina, ka UNGP ir vienīgais globālais satvars, kurā sīki izklāstīta korporatīvā atbildība par tādas nelabvēlīgas ietekmes uz cilvēktiesībām riska novēršanu un risināšanu, kas saistīta ar uzņēmējdarbību; uzsver, ka jebkādam darbam pie iespējamā juridiski saistošā instrumenta būtu jānodrošina pilnīga atbilstība šiem standartiem;</w:t>
      </w:r>
    </w:p>
    <w:p w:rsidR="00B13B87" w:rsidRPr="00B5587A" w:rsidRDefault="00B13B87" w:rsidP="00B13B87">
      <w:pPr>
        <w:pStyle w:val="NormalHanging12a"/>
        <w:rPr>
          <w:rStyle w:val="doceo-font-family-base"/>
        </w:rPr>
      </w:pPr>
      <w:r w:rsidRPr="00B5587A">
        <w:t>3.</w:t>
      </w:r>
      <w:r w:rsidRPr="00B5587A">
        <w:tab/>
        <w:t xml:space="preserve">uzsver, ka uzņēmumu sociālā atbildība, kas balstās tikai uz brīvprātības pamata, proti, tā nav paredzēta piemērojamos instrumentos, un tas var radīt tirgus izkropļojumus un negodīgu konkurenci uzņēmumiem, kuri izvēlas ievērot starptautiskos standartus vai kuriem ir jāievēro valsts vai reģionālā līmeņa saistības; atzīst, ka, lai arī ir panākts zināms progress, cilvēktiesību pārkāpumi joprojām notiek; tādēļ atzinīgi vērtē centienus radīt vienlīdzīgus konkurences apstākļus un pasaules līmenī atbalstītas apņemšanās </w:t>
      </w:r>
      <w:r w:rsidRPr="00B5587A">
        <w:lastRenderedPageBreak/>
        <w:t>īstenošanu attiecībā uz atbildīgu uzņēmējdarbību; turklāt atzinīgi vērtē pašreizējo tiesību aktu izstrādes jomā vērojamo pāreju no rekomendējošām tiesību iniciatīvām uz saistošiem standartiem;</w:t>
      </w:r>
    </w:p>
    <w:p w:rsidR="00B13B87" w:rsidRPr="00B5587A" w:rsidRDefault="00B13B87" w:rsidP="00B13B87">
      <w:pPr>
        <w:pStyle w:val="NormalHanging12a"/>
      </w:pPr>
      <w:r w:rsidRPr="00B5587A">
        <w:t>4.</w:t>
      </w:r>
      <w:r w:rsidRPr="00B5587A">
        <w:tab/>
        <w:t>uzsver, cik svarīgi ir novērst juridiskās un regulējuma nepilnības, ko atsevišķi uzņēmumi un arī investori izmanto, tādējādi radot negatīvu ietekmi uz cilvēktiesībām un vidi;</w:t>
      </w:r>
    </w:p>
    <w:p w:rsidR="00B13B87" w:rsidRPr="00B5587A" w:rsidRDefault="00B13B87" w:rsidP="00B13B87">
      <w:pPr>
        <w:pStyle w:val="NormalHanging12a"/>
        <w:rPr>
          <w:szCs w:val="24"/>
        </w:rPr>
      </w:pPr>
      <w:r w:rsidRPr="00B5587A">
        <w:t>5.</w:t>
      </w:r>
      <w:r w:rsidRPr="00B5587A">
        <w:tab/>
        <w:t xml:space="preserve">ar bažām norāda, ka saistībā ar tiesu iestāžu pieejamību cietušajiem daudzu valstu tiesību sistēmās joprojām pastāv daudzi procesuāli, materiāli un praktiski šķēršļi, tostarp grūtības noteikt kompetento tiesu, šķēršļi, kas saistīti ar jurisdikcijas standartiem, īsi tiesību aktos noteikti noilguma termiņi, pārmērīgs pierādījumu sniegšanas slogs, ierobežota vai neskaidra atbildība uzņēmumu sarežģīto struktūru dēļ, apgrūtināta piekļuve juridiskajai pārstāvībai un informācijai, pārāk dārgas izmaksas, kas saistītas ar pārstāvību ārvalstīs, kā arī cita veida nevienlīdzība starp prasītājiem un atbildētājiem; turklāt ar bažām norāda uz gadījumiem, kad cietušie, kas cenšas panākt taisnību, saskaras ar korporāciju īstenotu iebiedēšanu vai vardarbību; uzsver, ka neaizsargātas vai </w:t>
      </w:r>
      <w:proofErr w:type="spellStart"/>
      <w:r w:rsidRPr="00B5587A">
        <w:t>marginalizētas</w:t>
      </w:r>
      <w:proofErr w:type="spellEnd"/>
      <w:r w:rsidRPr="00B5587A">
        <w:t xml:space="preserve"> personas vai grupas, kurām var būt nepieciešama papildu uzmanība saistībā ar ieinteresēto personu iesaistīšanas darbībām, saskaras ar lielākiem šķēršļiem, kas apgrūtina to iespējas taisnīgi gūt labumu no kompensācijas maksājumiem vai citiem atlīdzināšanas veidiem;</w:t>
      </w:r>
    </w:p>
    <w:p w:rsidR="00B13B87" w:rsidRPr="00B5587A" w:rsidRDefault="00B13B87" w:rsidP="00B13B87">
      <w:pPr>
        <w:pStyle w:val="NormalHanging12a"/>
        <w:rPr>
          <w:rStyle w:val="doceo-font-family-base"/>
        </w:rPr>
      </w:pPr>
      <w:r w:rsidRPr="00B5587A">
        <w:t>6.</w:t>
      </w:r>
      <w:r w:rsidRPr="00B5587A">
        <w:tab/>
        <w:t xml:space="preserve">uzsver, ka ir svarīgi paredzēt uz </w:t>
      </w:r>
      <w:proofErr w:type="spellStart"/>
      <w:r w:rsidRPr="00B5587A">
        <w:t>mātesuzņēmumu</w:t>
      </w:r>
      <w:proofErr w:type="spellEnd"/>
      <w:r w:rsidRPr="00B5587A">
        <w:t xml:space="preserve"> balstītu </w:t>
      </w:r>
      <w:proofErr w:type="spellStart"/>
      <w:r w:rsidRPr="00B5587A">
        <w:t>ekstrateritoriālu</w:t>
      </w:r>
      <w:proofErr w:type="spellEnd"/>
      <w:r w:rsidRPr="00B5587A">
        <w:t xml:space="preserve"> regulējumu un tiesu iestāžu pieejamību personām, kas cietušas no starptautisko uzņēmumu nodarītiem cilvēktiesību pārkāpumiem, tajā valstī, kas ir šīs starptautiskās korporācijas piederības valsts; jo īpaši uzsver nepieciešamību noteikt skaidrus pienākumus starptautiskajām korporācijām attiecībā uz bērnu darba un piespiedu darba izskaušanu no to piegādes ķēdēm un darbībām;</w:t>
      </w:r>
    </w:p>
    <w:p w:rsidR="00B13B87" w:rsidRPr="00B5587A" w:rsidRDefault="00B13B87" w:rsidP="00B13B87">
      <w:pPr>
        <w:pStyle w:val="NormalHanging12a"/>
        <w:rPr>
          <w:rStyle w:val="doceo-font-family-base"/>
        </w:rPr>
      </w:pPr>
      <w:r w:rsidRPr="00B5587A">
        <w:t>7.</w:t>
      </w:r>
      <w:r w:rsidRPr="00B5587A">
        <w:tab/>
        <w:t>atkārtoti pauž stingru atbalstu darbam, kas ar OEIGWG starpniecību tiek veikts ANO nolūkā izstrādāt instrumentu; pauž atzinību par vairāku priekšsēdētāju, kas pārstāvējuši Ekvadoru, veikto darbu, vadot šos sarežģītos centienus, un atzinīgi vērtē grupas “Priekšsēdētāja draugi” atbalstošo lomu;</w:t>
      </w:r>
    </w:p>
    <w:p w:rsidR="00B13B87" w:rsidRPr="00B5587A" w:rsidRDefault="00B13B87" w:rsidP="00B13B87">
      <w:pPr>
        <w:pStyle w:val="NormalHanging12a"/>
        <w:rPr>
          <w:rStyle w:val="doceo-font-family-base"/>
        </w:rPr>
      </w:pPr>
      <w:r w:rsidRPr="00B5587A">
        <w:rPr>
          <w:rStyle w:val="doceo-font-family-base"/>
        </w:rPr>
        <w:t>8.</w:t>
      </w:r>
      <w:r w:rsidRPr="00B5587A">
        <w:rPr>
          <w:rStyle w:val="doceo-font-family-base"/>
        </w:rPr>
        <w:tab/>
      </w:r>
      <w:r w:rsidRPr="00B5587A">
        <w:t>aicina OEIGWG priekšsēdētāju un ANO dalībvalstis nodrošināt, ka sarunas notiek pārredzamā veidā, jēgpilni iesaistot visas ieinteresētās personas, tostarp pilsonisko sabiedrību, arodbiedrības, strādnieku pārstāvjus un privāto sektoru, pienācīgu vērību veltot neaizsargātajām ieinteresētajām personām;</w:t>
      </w:r>
      <w:r w:rsidRPr="00B5587A">
        <w:rPr>
          <w:rStyle w:val="doceo-font-family-base"/>
        </w:rPr>
        <w:t xml:space="preserve"> turklāt uzstāj, ka ir svarīgi nodrošināt visu reģionu aktīvu iesaistīšanos, lai izstrādātu efektīvu instrumentu, kas atspoguļotu cilvēktiesību ievērošanu ietekmējošo juridisko, sociālo un ekonomisko realitāšu daudzveidību pasaulē un kas būtu balstīts </w:t>
      </w:r>
      <w:proofErr w:type="spellStart"/>
      <w:r w:rsidRPr="00B5587A">
        <w:rPr>
          <w:rStyle w:val="doceo-font-family-base"/>
        </w:rPr>
        <w:t>paraugpraksē</w:t>
      </w:r>
      <w:proofErr w:type="spellEnd"/>
      <w:r w:rsidRPr="00B5587A">
        <w:rPr>
          <w:rStyle w:val="doceo-font-family-base"/>
        </w:rPr>
        <w:t>, kura tiek izmantota vietējā un reģionālā līmenī; mudina reģionālās cilvēktiesību un uzņēmējdarbības organizācijas, kā arī iestādes palīdzēt veicināt šādu vispārēju iesaistīšanos;</w:t>
      </w:r>
    </w:p>
    <w:p w:rsidR="00B13B87" w:rsidRPr="00B5587A" w:rsidRDefault="00B13B87" w:rsidP="00B13B87">
      <w:pPr>
        <w:pStyle w:val="NormalHanging12a"/>
        <w:rPr>
          <w:rStyle w:val="doceo-font-family-base"/>
          <w:b/>
          <w:i/>
        </w:rPr>
      </w:pPr>
      <w:r w:rsidRPr="00B5587A">
        <w:rPr>
          <w:rStyle w:val="doceo-font-family-base"/>
          <w:b/>
          <w:i/>
        </w:rPr>
        <w:t>ES un dalībvalstu līdzdalība ANO darba procesā</w:t>
      </w:r>
    </w:p>
    <w:p w:rsidR="00B13B87" w:rsidRPr="00B5587A" w:rsidRDefault="00B13B87" w:rsidP="00B13B87">
      <w:pPr>
        <w:pStyle w:val="NormalHanging12a"/>
        <w:rPr>
          <w:rStyle w:val="doceo-font-family-base"/>
        </w:rPr>
      </w:pPr>
      <w:r w:rsidRPr="00B5587A">
        <w:t>9.</w:t>
      </w:r>
      <w:r w:rsidRPr="00B5587A">
        <w:tab/>
        <w:t>atgādina, ka ES Līgumos ir apņēmusies veicināt cilvēktiesību ievērošanu visā pasaulē un ANO satvarā atrast daudzpusējus risinājumus kopīgajām problēmām, kam vēl jāatspoguļojas tās sarunās apspriestajā mandātā līdzdalībai OEIGWG darbā;</w:t>
      </w:r>
    </w:p>
    <w:p w:rsidR="00B13B87" w:rsidRPr="00B5587A" w:rsidRDefault="00B13B87" w:rsidP="00B13B87">
      <w:pPr>
        <w:pStyle w:val="NormalHanging12a"/>
        <w:rPr>
          <w:rStyle w:val="doceo-font-family-base"/>
        </w:rPr>
      </w:pPr>
      <w:r w:rsidRPr="00B5587A">
        <w:t>10.</w:t>
      </w:r>
      <w:r w:rsidRPr="00B5587A">
        <w:tab/>
        <w:t xml:space="preserve">atzīst OEIGWG par vienīgo globālo un daudzpusējo forumu, kurā tiek apspriesti </w:t>
      </w:r>
      <w:r w:rsidRPr="00B5587A">
        <w:lastRenderedPageBreak/>
        <w:t>obligāti noteikumi attiecībā uz uzņēmējdarbību un cilvēktiesībām, un tāpēc uzskata, ka ir ļoti svarīgi, lai ES kopā ar ANO dalībvalstu kritisko masu aktīvi iesaistītos šajā procesā, lai panāktu konsensā balstītu risinājumu, kas var rēķināties ar plašu starptautisko atbalstu;</w:t>
      </w:r>
    </w:p>
    <w:p w:rsidR="00B13B87" w:rsidRPr="00B5587A" w:rsidRDefault="00B13B87" w:rsidP="00B13B87">
      <w:pPr>
        <w:pStyle w:val="NormalHanging12a"/>
        <w:rPr>
          <w:rStyle w:val="doceo-font-family-base"/>
        </w:rPr>
      </w:pPr>
      <w:r w:rsidRPr="00B5587A">
        <w:t>11.</w:t>
      </w:r>
      <w:r w:rsidRPr="00B5587A">
        <w:tab/>
        <w:t>uzsver, ka jaunākās norises tiesību aktu, kas attiecas uz uzņēmējdarbību un cilvēktiesībām, izstrādes jomā ES līmenī ir pirmie soļi, lai pienācīgi risinātu tiesu iestāžu pieejamības un cietušo tiesību jautājumus, kas ir centrālais elements LBI kā pamatlīgumā par cilvēktiesībām; šajā saistībā uzsver abu tiesību aktu izstrādes scenāriju, kas norisināsies dažādos līmeņos, savstarpēji papildinošo raksturu, mērķus un darbības jomu, kā arī nepieciešamību tos saskaņot;</w:t>
      </w:r>
    </w:p>
    <w:p w:rsidR="00B13B87" w:rsidRPr="00B5587A" w:rsidRDefault="00B13B87" w:rsidP="00B13B87">
      <w:pPr>
        <w:pStyle w:val="NormalHanging12a"/>
      </w:pPr>
      <w:r w:rsidRPr="00B5587A">
        <w:t>12.</w:t>
      </w:r>
      <w:r w:rsidRPr="00B5587A">
        <w:tab/>
        <w:t xml:space="preserve">uzskata, ka ES ir aktīvi jāiesaistās notiekošajās sarunās, jo īpaši, lai palīdzētu izstrādāt LBI projektu, vienlaikus pievēršoties ar uzņēmējdarbību saistītu pārkāpumu upuriem visā vērtības ķēdē, novācot šķēršļus piekļuvei tiesiskumam un efektīviem tiesiskās aizsardzības līdzekļiem, nodrošinot vienlīdzīgus konkurences apstākļus un tiesisko paļāvību uzņēmumiem (ņemot vērā mazo un vidējo uzņēmumu (MVU) īpatnības) un uzlabojot sadarbību, pamatojoties uz starptautiskām perspektīvām un </w:t>
      </w:r>
      <w:proofErr w:type="spellStart"/>
      <w:r w:rsidRPr="00B5587A">
        <w:t>paraugpraksi</w:t>
      </w:r>
      <w:proofErr w:type="spellEnd"/>
      <w:r w:rsidRPr="00B5587A">
        <w:t>; uzskata, ka šī iesaistīšanās galu galā palīdzēs nodrošināt labāku cilvēktiesību īstenošanu un ievērošanu starptautiskā mērogā, vienlaikus veicinot arī līdzvērtīgus konkurences apstākļus starptautiskā mērogā un nodrošinot globālu instrumentu, kas tiek gan plaši atbalstīts, gan ratificēts visu reģionu valstīs, tostarp, taču ne tikai Eiropas Savienībā, un kas joprojām ir būtiski svarīgs, ņemot vērā mainīgos cilvēktiesību apdraudējumus;</w:t>
      </w:r>
    </w:p>
    <w:p w:rsidR="00B13B87" w:rsidRPr="00B5587A" w:rsidRDefault="00B13B87" w:rsidP="00B13B87">
      <w:pPr>
        <w:pStyle w:val="NormalHanging12a"/>
        <w:rPr>
          <w:rStyle w:val="doceo-font-family-base"/>
        </w:rPr>
      </w:pPr>
      <w:r w:rsidRPr="00B5587A">
        <w:t>13.</w:t>
      </w:r>
      <w:r w:rsidRPr="00B5587A">
        <w:tab/>
        <w:t xml:space="preserve">atzinīgi vērtē Padomes apņemšanos stiprināt ES iesaistīšanos un aktīvi piedalīties OEIGWG darbā; tomēr uzskata, ka vienīgais jēgpilnais un uzskatāmais veids, kā īstenot šo apņemšanos, ir pieņemt ES sarunu mandātu; tādēļ mudina Padomi pēc iespējas ātrāk pieņemt vērienīgu sarunu mandātu, lai ES varētu aktīvi piedalīties sarunās un palīdzēt izstrādāt LBI; uzsver, ka ES </w:t>
      </w:r>
      <w:proofErr w:type="spellStart"/>
      <w:r w:rsidRPr="00B5587A">
        <w:t>nostājai</w:t>
      </w:r>
      <w:proofErr w:type="spellEnd"/>
      <w:r w:rsidRPr="00B5587A">
        <w:t xml:space="preserve"> ir jābūt vērstai uz stingriem noteikumiem attiecībā uz izpildes un uzraudzības mehānismiem, kā arī attiecībā uz tiesu iestāžu pieejamību tiem, kurus </w:t>
      </w:r>
      <w:proofErr w:type="spellStart"/>
      <w:r w:rsidRPr="00B5587A">
        <w:t>skāruši</w:t>
      </w:r>
      <w:proofErr w:type="spellEnd"/>
      <w:r w:rsidRPr="00B5587A">
        <w:t xml:space="preserve"> pārkāpumi;</w:t>
      </w:r>
    </w:p>
    <w:p w:rsidR="00B13B87" w:rsidRPr="00B5587A" w:rsidRDefault="00B13B87" w:rsidP="00B13B87">
      <w:pPr>
        <w:pStyle w:val="NormalHanging12a"/>
      </w:pPr>
      <w:r w:rsidRPr="00B5587A">
        <w:t>14.</w:t>
      </w:r>
      <w:r w:rsidRPr="00B5587A">
        <w:tab/>
        <w:t>aicina dalībvalstis tikmēr iesaistīties šajā procesā individuāli, saskaņojot savas nostājas visos sarunu posmos, lai aizstāvētu stingru, kopēju un skaidru ES nostāju, kurā konstruktīvi izklāstītas likumdošanas iniciatīvas, kuru mērķis ir reglamentēt uzņēmējdarbību saistībā ar cilvēktiesībām un pienākumiem klimata jomā, vienlaikus paužot atzinību par līdz šim panākto progresu; sagaida, ka Eiropas Ārējās darbības dienests |(EĀDD) un Komisija, jo īpaši ES delegācija ANO Ženēvā, aktīvi un konstruktīvi piedalīsies šajā procesā;</w:t>
      </w:r>
    </w:p>
    <w:p w:rsidR="00B13B87" w:rsidRPr="00B5587A" w:rsidRDefault="00B13B87" w:rsidP="00B13B87">
      <w:pPr>
        <w:pStyle w:val="NormalHanging12a"/>
      </w:pPr>
      <w:r w:rsidRPr="00B5587A">
        <w:t>15.</w:t>
      </w:r>
      <w:r w:rsidRPr="00B5587A">
        <w:tab/>
        <w:t xml:space="preserve">aicina Komisiju, EĀDD un dalībvalstis </w:t>
      </w:r>
      <w:proofErr w:type="spellStart"/>
      <w:r w:rsidRPr="00B5587A">
        <w:t>proaktīvi</w:t>
      </w:r>
      <w:proofErr w:type="spellEnd"/>
      <w:r w:rsidRPr="00B5587A">
        <w:t xml:space="preserve"> sadarboties ar visām partnervalstīm un piešķirt šim jautājumam prioritāti dialogos ar </w:t>
      </w:r>
      <w:proofErr w:type="spellStart"/>
      <w:r w:rsidRPr="00B5587A">
        <w:t>trešām</w:t>
      </w:r>
      <w:proofErr w:type="spellEnd"/>
      <w:r w:rsidRPr="00B5587A">
        <w:t xml:space="preserve"> valstīm un reģionālajām organizācijām, izmantojot ES strukturētā cilvēktiesību dialoga satvaru;</w:t>
      </w:r>
      <w:r w:rsidRPr="00B5587A">
        <w:rPr>
          <w:rStyle w:val="doceo-font-family-base"/>
        </w:rPr>
        <w:t xml:space="preserve"> </w:t>
      </w:r>
      <w:r w:rsidRPr="00B5587A">
        <w:t>mudina ES jo īpaši vērsties pie galvenajiem partneriem, kuri pašlaik izstrādā savus uzņēmējdarbības un cilvēktiesību satvarus valsts līmenī, piemēram, pie Brazīlijas un Japānas, vai partneriem, kas tos izstrādā reģionālā līmenī, piemēram, pie Āfrikas Cilvēktiesību un tautu tiesību komisijas un Amerikas Cilvēktiesību komisijas;</w:t>
      </w:r>
    </w:p>
    <w:p w:rsidR="00B13B87" w:rsidRPr="00B5587A" w:rsidRDefault="00B13B87" w:rsidP="00B13B87">
      <w:pPr>
        <w:pStyle w:val="NormalHanging12a"/>
        <w:rPr>
          <w:rStyle w:val="doceo-font-family-base"/>
          <w:b/>
          <w:i/>
        </w:rPr>
      </w:pPr>
      <w:r w:rsidRPr="00B5587A">
        <w:rPr>
          <w:rStyle w:val="doceo-font-family-base"/>
          <w:b/>
          <w:i/>
        </w:rPr>
        <w:t>ES nostājas par LBI aspekti</w:t>
      </w:r>
    </w:p>
    <w:p w:rsidR="00B13B87" w:rsidRPr="00B5587A" w:rsidRDefault="00B13B87" w:rsidP="00B13B87">
      <w:pPr>
        <w:pStyle w:val="NormalHanging12a"/>
        <w:rPr>
          <w:rStyle w:val="doceo-font-family-base"/>
        </w:rPr>
      </w:pPr>
      <w:r w:rsidRPr="00B5587A">
        <w:t>16.</w:t>
      </w:r>
      <w:r w:rsidRPr="00B5587A">
        <w:tab/>
        <w:t xml:space="preserve">atzinīgi vērtē 2023. gada jūlijā publicēto atjaunināto LBI projektu un uzskata, ka tas ir </w:t>
      </w:r>
      <w:r w:rsidRPr="00B5587A">
        <w:lastRenderedPageBreak/>
        <w:t xml:space="preserve">stabils un </w:t>
      </w:r>
      <w:proofErr w:type="spellStart"/>
      <w:r w:rsidRPr="00B5587A">
        <w:t>daudzsološs</w:t>
      </w:r>
      <w:proofErr w:type="spellEnd"/>
      <w:r w:rsidRPr="00B5587A">
        <w:t xml:space="preserve"> pamats sarunu turpināšanai, vienlaikus atzīstot arī nepieciešamību veikt uzlabojumus un saskaņojumus ar UNGP, EASO pamatnostādnēm un citiem šobrīd spēkā esošajiem starptautiskajiem standartiem;</w:t>
      </w:r>
    </w:p>
    <w:p w:rsidR="00B13B87" w:rsidRPr="00B5587A" w:rsidRDefault="00B13B87" w:rsidP="00B13B87">
      <w:pPr>
        <w:pStyle w:val="NormalHanging12a"/>
      </w:pPr>
      <w:r w:rsidRPr="00B5587A">
        <w:t>17.</w:t>
      </w:r>
      <w:r w:rsidRPr="00B5587A">
        <w:tab/>
        <w:t>uzskata, ka ES ir jācenšas panākt, lai LBI sader ar ES līmenī notiekošajām normatīvo aktu izmaiņām un tās papildina, tādējādi veicinot saskaņotāka globāla tiesiskā regulējuma izveidi uzņēmējdarbības un cilvēktiesību jomā;</w:t>
      </w:r>
    </w:p>
    <w:p w:rsidR="00B13B87" w:rsidRPr="00B5587A" w:rsidRDefault="00B13B87" w:rsidP="00B13B87">
      <w:pPr>
        <w:pStyle w:val="NormalHanging12a"/>
        <w:rPr>
          <w:szCs w:val="24"/>
        </w:rPr>
      </w:pPr>
      <w:r w:rsidRPr="00B5587A">
        <w:t>18.</w:t>
      </w:r>
      <w:r w:rsidRPr="00B5587A">
        <w:tab/>
        <w:t xml:space="preserve">atbalsta plašu LBI tvērumu, kas nodrošinātu, ka atbildība attiecas uz visām globālajām vērtības ķēdēm; uzskata, ka, ļaujot valstīm, kas būs Konvencijas puses, elastīgi un saskaņā ar valsts tiesību aktiem noteikt, kā uzņēmumiem, īpaši MVU, jāpilda LBI paredzētie profilakses pasākumi, kas atbilst to lielumam, nozarei, īpašnieka profilam, darbības kontekstam vai ietekmes uz cilvēktiesībām smagumam, valstīm tiktu sniegta ievērojama rīcības brīvība un nodrošināta atbilstība UNGP vispārējai darbības jomai; uzsver, ka daudzos pasaules reģionos </w:t>
      </w:r>
      <w:proofErr w:type="spellStart"/>
      <w:r w:rsidRPr="00B5587A">
        <w:t>mikrouzņēmumi</w:t>
      </w:r>
      <w:proofErr w:type="spellEnd"/>
      <w:r w:rsidRPr="00B5587A">
        <w:t>, mazie un vidējie uzņēmumi (MMVU) bieži vien ir vietējās ekonomikas dzinējspēks; uzsver, ka MMVU veido 90 % pasaules uzņēmumu, 60–70 % no nodarbinātības un 50 % no iekšzemes kopprodukta; atkārtoti uzsver, ka ir svarīgi nodrošināt, lai instrumenta pienākumi un prasības būtu samērīgas un saderīgas ar uzņēmumu lielumu, resursiem un tā radīto sviras efektu, un aicina ES sarunās par instrumentu paredzēt MMVU aizsardzības pasākumus;</w:t>
      </w:r>
    </w:p>
    <w:p w:rsidR="00B13B87" w:rsidRPr="00B5587A" w:rsidRDefault="00B13B87" w:rsidP="00B13B87">
      <w:pPr>
        <w:pStyle w:val="NormalHanging12a"/>
      </w:pPr>
      <w:r w:rsidRPr="00B5587A">
        <w:t>19.</w:t>
      </w:r>
      <w:r w:rsidRPr="00B5587A">
        <w:tab/>
        <w:t>uzskata, ka uzņēmējdarbība būtu jāsaprot saskaņā ar UNGP;</w:t>
      </w:r>
    </w:p>
    <w:p w:rsidR="00B13B87" w:rsidRPr="00B5587A" w:rsidRDefault="00B13B87" w:rsidP="00B13B87">
      <w:pPr>
        <w:pStyle w:val="NormalHanging12a"/>
      </w:pPr>
      <w:r w:rsidRPr="00B5587A">
        <w:t>20.</w:t>
      </w:r>
      <w:r w:rsidRPr="00B5587A">
        <w:tab/>
        <w:t xml:space="preserve">uzstāj, ka saskaņā ar cilvēktiesību universāluma un nedalāmības principu LBI būtu jāattiecas uz plašu starptautisko instrumentu loku, tostarp, taču ne tikai, uz Vispārējo cilvēktiesību deklarāciju, visiem galvenajiem starptautiskajiem līgumiem cilvēktiesību jomā un Starptautiskās Darba organizācijas pamatkonvencijām; </w:t>
      </w:r>
    </w:p>
    <w:p w:rsidR="00B13B87" w:rsidRPr="00B5587A" w:rsidRDefault="00B13B87" w:rsidP="00B13B87">
      <w:pPr>
        <w:pStyle w:val="NormalHanging12a"/>
      </w:pPr>
      <w:r w:rsidRPr="00B5587A">
        <w:t>21.</w:t>
      </w:r>
      <w:r w:rsidRPr="00B5587A">
        <w:tab/>
        <w:t>pauž nožēlu par to, ka jaunākajā LBI projektā no tā darbības jomas tika svītrotas vairākas atsauces uz vidi un klimata pārmaiņām, kā arī atbildība par tiem; uzskata, ka ES un dalībvalstīm ir jācenšas panākt, lai uzņēmējdarbības ietekme uz vidi un klimatu tiktu iekļauta LBI darbības jomā atbilstīgi ES tiesību aktiem, politikai un darbības vērienam šajā jomā un tādējādi atspoguļotu pieaugošo izpratni par uzņēmējdarbības ietekmi uz klimata pārmaiņām un vides degradāciju, kas savukārt ietekmē cilvēktiesības;</w:t>
      </w:r>
    </w:p>
    <w:p w:rsidR="00B13B87" w:rsidRPr="00B5587A" w:rsidRDefault="00B13B87" w:rsidP="00B13B87">
      <w:pPr>
        <w:pStyle w:val="NormalHanging12a"/>
      </w:pPr>
      <w:r w:rsidRPr="00B5587A">
        <w:t>22.</w:t>
      </w:r>
      <w:r w:rsidRPr="00B5587A">
        <w:tab/>
        <w:t xml:space="preserve">uzsver, ka LBI būtu jānodrošina vērienīgs, visaptverošs, </w:t>
      </w:r>
      <w:proofErr w:type="spellStart"/>
      <w:r w:rsidRPr="00B5587A">
        <w:t>reaģētspējīgs</w:t>
      </w:r>
      <w:proofErr w:type="spellEnd"/>
      <w:r w:rsidRPr="00B5587A">
        <w:t xml:space="preserve"> un obligāti ievērojams regulējums korporāciju izdarītu cilvēktiesību pārkāpumu novēršanai, jo īpaši nosakot pienākumu valstīm , kas būs Konvencijas puses, pieņemt atbilstīgus un efektīvus likumdošanas, regulatīvos un citus pasākumus, lai nepieļautu ļaunprātīgu uzņēmumu rīcību un nodrošinātu, ka visi uzņēmumi ar pienācīgu rūpību izturas pret vidi un ievēro cilvēktiesības; šajā saistībā norāda, ka, lai nodrošinātu plašu LBI ievērošanu, būtiski svarīgi ir, lai valstis, kas būs Konvencijas puses, varētu elastīgi pielāgot šo preventīvo regulējumu savām tiesību sistēmām, taču tā, lai tiktu saglabāts cilvēktiesību primārums;</w:t>
      </w:r>
    </w:p>
    <w:p w:rsidR="00B13B87" w:rsidRPr="00B5587A" w:rsidRDefault="00B13B87" w:rsidP="00B13B87">
      <w:pPr>
        <w:pStyle w:val="NormalHanging12a"/>
      </w:pPr>
      <w:r w:rsidRPr="00B5587A">
        <w:t>23.</w:t>
      </w:r>
      <w:r w:rsidRPr="00B5587A">
        <w:tab/>
        <w:t xml:space="preserve">aicina ES un dalībvalstis saskaņā ar UNGP noteikumiem nodrošināt, ka LBI </w:t>
      </w:r>
      <w:proofErr w:type="spellStart"/>
      <w:r w:rsidRPr="00B5587A">
        <w:t>prevencijas</w:t>
      </w:r>
      <w:proofErr w:type="spellEnd"/>
      <w:r w:rsidRPr="00B5587A">
        <w:t xml:space="preserve"> satvars uzliek par pienākumu korporācijām rīkoties ar paaugstinātu rūpību vietās, kur ir paaugstināts smagu cilvēktiesību pārkāpumu risks, tādām kā konfliktu skartas, okupētas vai </w:t>
      </w:r>
      <w:proofErr w:type="spellStart"/>
      <w:r w:rsidRPr="00B5587A">
        <w:t>aneksētas</w:t>
      </w:r>
      <w:proofErr w:type="spellEnd"/>
      <w:r w:rsidRPr="00B5587A">
        <w:t xml:space="preserve"> teritorijas, cita starpā LBI iekļaujot atsauces uz starptautiskajām humanitārajām tiesībām, starptautiskajām krimināltiesībām un starptautiskajām paražu </w:t>
      </w:r>
      <w:r w:rsidRPr="00B5587A">
        <w:lastRenderedPageBreak/>
        <w:t>tiesībām; uzskata, ka LBI būtu jāpievēršas arī aspektiem, kas saistīti ar korporatīvām darbībām katastrofu skartās vietās vai saistībā ar klimata pārmaiņām īpaši smagi pakļautām kopienām, un kas kļūst arvien svarīgāki klimata krīzes kontekstā;</w:t>
      </w:r>
    </w:p>
    <w:p w:rsidR="00B13B87" w:rsidRPr="00B5587A" w:rsidRDefault="00B13B87" w:rsidP="00B13B87">
      <w:pPr>
        <w:pStyle w:val="NormalHanging12a"/>
      </w:pPr>
      <w:r w:rsidRPr="00B5587A">
        <w:t>24.</w:t>
      </w:r>
      <w:r w:rsidRPr="00B5587A">
        <w:tab/>
        <w:t xml:space="preserve">uzskata, ka uzņēmumu pienākums piemērot uz risku balstītu pieeju un pirms darbību veikšanas un to laikā regulāri veikt ietekmes uz cilvēktiesībām novērtējumus, kā arī ņemt vērā paaugstināta riska grupu vajadzības, ir īpaši svarīgi LBI preventīvā regulējuma elementi, cita starpā integrējot </w:t>
      </w:r>
      <w:proofErr w:type="spellStart"/>
      <w:r w:rsidRPr="00B5587A">
        <w:t>dzimumperspektīvu</w:t>
      </w:r>
      <w:proofErr w:type="spellEnd"/>
      <w:r w:rsidRPr="00B5587A">
        <w:t>, kā arī ņemot vērā jautājumus, kas attiecas uz neaizsargātām vai atstumtības riskam pakļautām grupām, piemēram, pirmiedzīvotājiem un tradicionālajām kopienām, minoritātēm un cilvēktiesību un vides aizstāvjiem;</w:t>
      </w:r>
    </w:p>
    <w:p w:rsidR="00B13B87" w:rsidRPr="00B5587A" w:rsidRDefault="00B13B87" w:rsidP="00B13B87">
      <w:pPr>
        <w:pStyle w:val="NormalHanging12a"/>
        <w:rPr>
          <w:szCs w:val="24"/>
        </w:rPr>
      </w:pPr>
      <w:r w:rsidRPr="00B5587A">
        <w:t>25.</w:t>
      </w:r>
      <w:r w:rsidRPr="00B5587A">
        <w:tab/>
        <w:t>aicina LBI noteikumos galveno lomu piešķirt skartajām ieinteresētajām personām, jo īpaši nosakot pienākumu veicināt attiecīgo ieinteresēto personu, tostarp arodbiedrību, nevalstisko organizāciju, pirmiedzīvotāju un kopienā balstītu organizāciju, kā arī privātā sektora aktīvu un jēgpilnu līdzdalību tiesību aktu, politikas un citu pasākumu īstenošanā, īpašu uzmanību pievēršot piekļuvei tiesu sistēmai un tiesiskās aizsardzības līdzekļiem;</w:t>
      </w:r>
    </w:p>
    <w:p w:rsidR="00B13B87" w:rsidRPr="00B5587A" w:rsidRDefault="00B13B87" w:rsidP="00B13B87">
      <w:pPr>
        <w:pStyle w:val="NormalHanging12a"/>
        <w:rPr>
          <w:szCs w:val="24"/>
        </w:rPr>
      </w:pPr>
      <w:r w:rsidRPr="00B5587A">
        <w:t>26.</w:t>
      </w:r>
      <w:r w:rsidRPr="00B5587A">
        <w:tab/>
        <w:t>aicina LBI definēt, ko nozīmē attiecīgo ieinteresēto personu aktīva un jēgpilna līdzdalība, tostarp regulāra un godprātīga interaktīva iesaiste, nodrošinot pienācīgu darbu ar iegūtajiem rezultātiem, tostarp identificējot un likvidējot iespējamos šķēršļus iesaistei un nodrošinot, ka ieinteresētās personas droši iesaistās, nebaidoties no represijām;</w:t>
      </w:r>
    </w:p>
    <w:p w:rsidR="00B13B87" w:rsidRPr="00B5587A" w:rsidRDefault="00B13B87" w:rsidP="00B13B87">
      <w:pPr>
        <w:pStyle w:val="NormalHanging12a"/>
        <w:rPr>
          <w:szCs w:val="24"/>
        </w:rPr>
      </w:pPr>
      <w:r w:rsidRPr="00B5587A">
        <w:t>27.</w:t>
      </w:r>
      <w:r w:rsidRPr="00B5587A">
        <w:tab/>
        <w:t xml:space="preserve">uzsver, cik svarīgi ES un dalībvalstīm ir nodrošināt, lai LBI tiktu iekļauts pienākums aizsargāt cilvēktiesību aizstāvju, vides aizstāvju, žurnālistu, darba ņēmēju, </w:t>
      </w:r>
      <w:proofErr w:type="spellStart"/>
      <w:r w:rsidRPr="00B5587A">
        <w:t>pamatiedzīvotāju</w:t>
      </w:r>
      <w:proofErr w:type="spellEnd"/>
      <w:r w:rsidRPr="00B5587A">
        <w:t xml:space="preserve"> un citu atstumto grupu tiesības un drošību, kā arī visā instrumenta tekstā ņemt vērā apsvērumus, kas attiecas uz šīm grupām; jo īpaši uzstāj, ka ir svarīgi tajā nostiprināt pirmiedzīvotāju brīvas, iepriekšējas un apzinātas piekrišanas principu;</w:t>
      </w:r>
    </w:p>
    <w:p w:rsidR="00B13B87" w:rsidRPr="00B5587A" w:rsidRDefault="00B13B87" w:rsidP="00B13B87">
      <w:pPr>
        <w:pStyle w:val="NormalHanging12a"/>
      </w:pPr>
      <w:r w:rsidRPr="00B5587A">
        <w:t>28.</w:t>
      </w:r>
      <w:r w:rsidRPr="00B5587A">
        <w:tab/>
        <w:t xml:space="preserve">aicina ES un dalībvalstis atbalstīt LBI iekļaušanu cīņā pret korupciju saskaņā ar ANO Pretkorupcijas konvenciju, atzīstot, ka korupcija veicina, nostiprina un </w:t>
      </w:r>
      <w:proofErr w:type="spellStart"/>
      <w:r w:rsidRPr="00B5587A">
        <w:t>institucionalizē</w:t>
      </w:r>
      <w:proofErr w:type="spellEnd"/>
      <w:r w:rsidRPr="00B5587A">
        <w:t xml:space="preserve"> cilvēktiesību pārkāpumus;</w:t>
      </w:r>
    </w:p>
    <w:p w:rsidR="00B13B87" w:rsidRPr="00B5587A" w:rsidRDefault="00B13B87" w:rsidP="00B13B87">
      <w:pPr>
        <w:pStyle w:val="NormalHanging12a"/>
      </w:pPr>
      <w:r w:rsidRPr="00B5587A">
        <w:t>29.</w:t>
      </w:r>
      <w:r w:rsidRPr="00B5587A">
        <w:tab/>
        <w:t>pauž bažas par labvēlīgas jurisdikcijas meklēšanas riskiem, arī ES iekšienē, un tās ietekmi uz vienlīdzīgiem konkurences apstākļiem; mudina izmantot ES līmeņa instrumentus šo risku mazināšanai, tostarp uzraudzības mehānismu; tādēļ uzsver nepieciešamību nodrošināt, ka valstis ievieš stingrus un efektīvus, tomēr praktiski īstenojamus un samērīgus izpildes un atbilstības uzraudzības mehānismus; turklāt uzstāj, ka valstīm, kas būs Konvencijas puses, jānosaka pienākums sniegt regulārus un padziļinātus ziņojumus; šajā sakarā norāda uz iespējamo nozīmi, kāda varētu būt procesiem, kas tiek izmantoti, lai izstrādātu valstu rīcības plānus uzņēmējdarbības un cilvēktiesību jomā; norāda, ka ES mandātam būtu jānodrošina, ka prasības ir izstrādātas tā, lai tās varētu saskaņot ar spēkā esošajiem ES tiesību aktiem šajā jomā;</w:t>
      </w:r>
    </w:p>
    <w:p w:rsidR="00B13B87" w:rsidRPr="00B5587A" w:rsidRDefault="00B13B87" w:rsidP="00B13B87">
      <w:pPr>
        <w:pStyle w:val="NormalHanging12a"/>
      </w:pPr>
      <w:r w:rsidRPr="00B5587A">
        <w:t>30.</w:t>
      </w:r>
      <w:r w:rsidRPr="00B5587A">
        <w:tab/>
        <w:t>sagaida, ka ES un dalībvalstis saskaņā ar savu apņemšanos aizsargāt cietušos, cīnīties pret nesodāmību un atbalstīt UNGP ievērošanu veicinās stingru noteikumu izstrādi LBI ietvaros attiecībā uz tiesu iestāžu pieejamību, tostarp piekļuvi valsts nodrošinātiem tiesiskās aizsardzības līdzekļiem;</w:t>
      </w:r>
    </w:p>
    <w:p w:rsidR="00B13B87" w:rsidRPr="00B5587A" w:rsidRDefault="00B13B87" w:rsidP="00B13B87">
      <w:pPr>
        <w:pStyle w:val="NormalHanging12a"/>
      </w:pPr>
      <w:r w:rsidRPr="00B5587A">
        <w:lastRenderedPageBreak/>
        <w:t>31.</w:t>
      </w:r>
      <w:r w:rsidRPr="00B5587A">
        <w:tab/>
        <w:t xml:space="preserve">uzsver, ka LBI noteikumos par cietušo un tiesību subjektu tiesībām ir jāprecizē līdzekļi, ar kuriem tiks nodrošinātas tiesības uz taisnīgu, adekvātu, ātru, nediskriminējošu, atbilstošu un </w:t>
      </w:r>
      <w:proofErr w:type="spellStart"/>
      <w:r w:rsidRPr="00B5587A">
        <w:t>dzimumsensitīvu</w:t>
      </w:r>
      <w:proofErr w:type="spellEnd"/>
      <w:r w:rsidRPr="00B5587A">
        <w:t xml:space="preserve"> piekļuvi tiesu iestādēm, individuālām vai kolektīvām kompensācijām un efektīviem tiesiskās aizsardzības līdzekļiem saistībā ar cilvēktiesību pārkāpumiem, ko izraisījuši vai veicinājuši uzņēmumi; norāda, ka tam būtu jāietver tiesības uz kolektīvu tiesisko aizsardzību, piekļuve juridiskajai palīdzībai, tiesības tikt uzklausītiem visos tiesvedības posmos, informācija, kas ir korporāciju rīcībā, kā noteikts attiecīgajā jurisdikcijā un aizsardzība pret represijām un atkārtotu nonākšanu cietušā lomā; uzskata, ka projektā būtu jāparedz mehānismi cietušo pierādīšanas sloga mazināšanai, lai atvieglotu cietušo iespējas izmantot tiesības uz tiesiskās aizsardzības līdzekļiem; uzskata arī, ka valstīm, kas būs konvencijas Puses, būtu jāļauj steidzamos gadījumos pieņemt pagaidu vai piesardzības pasākumus;</w:t>
      </w:r>
    </w:p>
    <w:p w:rsidR="00B13B87" w:rsidRPr="00B5587A" w:rsidRDefault="00B13B87" w:rsidP="00B13B87">
      <w:pPr>
        <w:pStyle w:val="NormalHanging12a"/>
      </w:pPr>
      <w:r w:rsidRPr="00B5587A">
        <w:t>32.</w:t>
      </w:r>
      <w:r w:rsidRPr="00B5587A">
        <w:tab/>
        <w:t>uzstāj, ka LBI noteikumos būtu jāiekļauj valstu, kas būs Konvencijas puses, pienākums izstrādāt visaptverošu un adekvātu juridiskās atbildības sistēmu, kas spētu reaģēt uz cietušo vajadzībām attiecībā uz tiesiskās aizsardzības līdzekļiem un būtu samērīga ar pārkāpuma smagumu, vienlaikus nepieļaujot prasību ļaunprātību; uzstāj, ka LBI būtu jāparedz nosacījumi, saskaņā ar kuriem var pienācīgi noteikt uzņēmumu atbildību par kaitējumu, par kuru tie ir atbildīgi;</w:t>
      </w:r>
    </w:p>
    <w:p w:rsidR="00B13B87" w:rsidRPr="00B5587A" w:rsidRDefault="00B13B87" w:rsidP="00B13B87">
      <w:pPr>
        <w:pStyle w:val="NormalHanging12a"/>
      </w:pPr>
      <w:r w:rsidRPr="00B5587A">
        <w:t>33.</w:t>
      </w:r>
      <w:r w:rsidRPr="00B5587A">
        <w:tab/>
        <w:t xml:space="preserve">uzstāj, ka LBI ir jānovērš praktiskie un procesuālie šķēršļi, ar kuriem saskaras uzņēmumu nelikumīgas rīcības upuri, cenšoties panākt taisnīgumu, tostarp novēršot problēmas, ar kurām saskaras tiesas, pieprasot jurisdikciju noteiktās situācijās, un jānodrošina, ka noteiktie ierobežojumi ir pienācīgi un nav pārlieku ierobežojoši; uzstāj, ka šajā sakarā ir svarīgi pievērst pienācīgu uzmanību neaizsargātām vai </w:t>
      </w:r>
      <w:proofErr w:type="spellStart"/>
      <w:r w:rsidRPr="00B5587A">
        <w:t>marginalizētām</w:t>
      </w:r>
      <w:proofErr w:type="spellEnd"/>
      <w:r w:rsidRPr="00B5587A">
        <w:t xml:space="preserve"> personām vai grupām;</w:t>
      </w:r>
    </w:p>
    <w:p w:rsidR="00B13B87" w:rsidRPr="00B5587A" w:rsidRDefault="00B13B87" w:rsidP="00B13B87">
      <w:pPr>
        <w:pStyle w:val="NormalHanging12a"/>
      </w:pPr>
      <w:r w:rsidRPr="00B5587A">
        <w:t>34.</w:t>
      </w:r>
      <w:r w:rsidRPr="00B5587A">
        <w:tab/>
        <w:t>atzinīgi vērtē priekšlikumu saskaņā ar LBI izveidot cietušajiem paredzētu starptautisku fondu, kas sniegtu juridisku un finansiālu palīdzību cietušajiem, kuri vēlas saņemt tiesisko aizsardzību;</w:t>
      </w:r>
    </w:p>
    <w:p w:rsidR="00B13B87" w:rsidRPr="00B5587A" w:rsidRDefault="00B13B87" w:rsidP="00B13B87">
      <w:pPr>
        <w:pStyle w:val="NormalHanging12a"/>
        <w:rPr>
          <w:szCs w:val="24"/>
        </w:rPr>
      </w:pPr>
      <w:r w:rsidRPr="00B5587A">
        <w:t>35.</w:t>
      </w:r>
      <w:r w:rsidRPr="00B5587A">
        <w:tab/>
        <w:t>uzstāj, ka LBI būtu jāpiešķir Pušu konferencei pietiekamas pilnvaras izveidot mehānismus LBI īstenošanas uzraudzībai un sniegt ieteikumus iespējamiem tālākiem pasākumiem; uzskata, ka komitejai, kas izveidota saskaņā ar LBI, vajadzētu būt pilnvarotai saņemt un izskatīt paziņojumus un sūdzības no privātpersonām, kopienām vai to pārstāvjiem par uzņēmumu izdarītiem cilvēktiesību pārkāpumiem, kas ietilpst LBI tvērumā un ir pretrunā LBI noteikumiem, un par to, ka kāda dalībvalsts ir pārkāpusi LBI noteiktās tiesības;</w:t>
      </w:r>
    </w:p>
    <w:p w:rsidR="00B13B87" w:rsidRPr="00B5587A" w:rsidRDefault="00B13B87" w:rsidP="00B13B87">
      <w:pPr>
        <w:pStyle w:val="NormalHanging12a"/>
        <w:rPr>
          <w:szCs w:val="24"/>
        </w:rPr>
      </w:pPr>
      <w:r w:rsidRPr="00B5587A">
        <w:t>36.</w:t>
      </w:r>
      <w:r w:rsidRPr="00B5587A">
        <w:tab/>
        <w:t xml:space="preserve">aicina Komisiju pastiprināt finansiālo un tehnisko atbalstu trešo valstu iestādēm uzņēmējdarbības un cilvēktiesību jomā, jo īpaši i) pieņemot un īstenojot valstu rīcības plānus saskaņā ar UNGP, ii) izveidojot nejuridiskus mehānismus tādus kā </w:t>
      </w:r>
      <w:proofErr w:type="spellStart"/>
      <w:r w:rsidRPr="00B5587A">
        <w:t>ombudu</w:t>
      </w:r>
      <w:proofErr w:type="spellEnd"/>
      <w:r w:rsidRPr="00B5587A">
        <w:t xml:space="preserve"> biroji un valstu kontaktpunkti, iii) izveidojot likumdošanas iniciatīvas, kuru mērķis ir aizsargāt trauksmes cēlējus un reglamentēt uzņēmējdarbību saistībā ar cilvēktiesībām un pienākumiem vides jomā, kā arī iv) sekmēt cietušajiem pieejamus un efektīvus tiesiskās aizsardzības līdzekļus un nodrošināt tos; mudina Komisiju palielināt atbalstu pilsoniskās sabiedrības organizācijām šajā jomā;</w:t>
      </w:r>
    </w:p>
    <w:p w:rsidR="00B13B87" w:rsidRPr="00B5587A" w:rsidRDefault="00B13B87" w:rsidP="00B13B87">
      <w:pPr>
        <w:pStyle w:val="NormalHanging12a"/>
        <w:jc w:val="center"/>
      </w:pPr>
      <w:r w:rsidRPr="00B5587A">
        <w:t>°</w:t>
      </w:r>
    </w:p>
    <w:p w:rsidR="00B13B87" w:rsidRPr="00B5587A" w:rsidRDefault="00B13B87" w:rsidP="00B13B87">
      <w:pPr>
        <w:pStyle w:val="NormalHanging12a"/>
        <w:jc w:val="center"/>
      </w:pPr>
      <w:r w:rsidRPr="00B5587A">
        <w:t>°</w:t>
      </w:r>
      <w:r w:rsidRPr="00B5587A">
        <w:tab/>
        <w:t>°</w:t>
      </w:r>
    </w:p>
    <w:p w:rsidR="00B13B87" w:rsidRPr="00B5587A" w:rsidRDefault="00B13B87" w:rsidP="00B13B87">
      <w:pPr>
        <w:pStyle w:val="NormalHanging12a"/>
      </w:pPr>
      <w:r w:rsidRPr="00B5587A">
        <w:lastRenderedPageBreak/>
        <w:t>37.</w:t>
      </w:r>
      <w:r w:rsidRPr="00B5587A">
        <w:tab/>
        <w:t xml:space="preserve">uzdod priekšsēdētājai šo rezolūciju nosūtīt Padomei, Komisijai, Komisijas priekšsēdētājas vietniekam/ Savienības Augstajam pārstāvim ārlietās un drošības politikas jautājumos, ANO Cilvēktiesību padomes priekšsēdētājam un </w:t>
      </w:r>
      <w:r w:rsidRPr="00B5587A">
        <w:rPr>
          <w:rStyle w:val="doceo-font-family-base"/>
        </w:rPr>
        <w:t>beztermiņa starpvaldību darba grupas</w:t>
      </w:r>
      <w:r w:rsidRPr="00B5587A">
        <w:t xml:space="preserve"> priekšsēdētājam.</w:t>
      </w:r>
    </w:p>
    <w:p w:rsidR="00B13B87" w:rsidRPr="00B5587A" w:rsidRDefault="00B13B87" w:rsidP="00B13B87">
      <w:pPr>
        <w:widowControl/>
      </w:pPr>
    </w:p>
    <w:p w:rsidR="00E365E1" w:rsidRPr="00B5587A" w:rsidRDefault="00E365E1" w:rsidP="005759E9"/>
    <w:sectPr w:rsidR="00E365E1" w:rsidRPr="00B5587A" w:rsidSect="00502C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9E9" w:rsidRPr="00502C8A" w:rsidRDefault="005759E9">
      <w:r w:rsidRPr="00502C8A">
        <w:separator/>
      </w:r>
    </w:p>
  </w:endnote>
  <w:endnote w:type="continuationSeparator" w:id="0">
    <w:p w:rsidR="005759E9" w:rsidRPr="00502C8A" w:rsidRDefault="005759E9">
      <w:r w:rsidRPr="00502C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C8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C8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C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9E9" w:rsidRPr="00502C8A" w:rsidRDefault="005759E9">
      <w:r w:rsidRPr="00502C8A">
        <w:separator/>
      </w:r>
    </w:p>
  </w:footnote>
  <w:footnote w:type="continuationSeparator" w:id="0">
    <w:p w:rsidR="005759E9" w:rsidRPr="00502C8A" w:rsidRDefault="005759E9">
      <w:r w:rsidRPr="00502C8A">
        <w:continuationSeparator/>
      </w:r>
    </w:p>
  </w:footnote>
  <w:footnote w:id="1">
    <w:p w:rsidR="00B13B87" w:rsidRPr="00502C8A" w:rsidRDefault="00B13B87" w:rsidP="00502C8A">
      <w:pPr>
        <w:pStyle w:val="FootnoteText"/>
        <w:ind w:left="567" w:hanging="567"/>
        <w:rPr>
          <w:sz w:val="24"/>
          <w:lang w:val="lv-LV"/>
        </w:rPr>
      </w:pPr>
      <w:r w:rsidRPr="00502C8A">
        <w:rPr>
          <w:rStyle w:val="FootnoteReference"/>
          <w:sz w:val="24"/>
          <w:lang w:val="lv-LV"/>
        </w:rPr>
        <w:footnoteRef/>
      </w:r>
      <w:r w:rsidR="00502C8A" w:rsidRPr="00502C8A">
        <w:rPr>
          <w:sz w:val="24"/>
          <w:lang w:val="lv-LV"/>
        </w:rPr>
        <w:t xml:space="preserve"> </w:t>
      </w:r>
      <w:r w:rsidR="00502C8A" w:rsidRPr="00502C8A">
        <w:rPr>
          <w:sz w:val="24"/>
          <w:lang w:val="lv-LV"/>
        </w:rPr>
        <w:tab/>
      </w:r>
      <w:r w:rsidRPr="00502C8A">
        <w:rPr>
          <w:sz w:val="24"/>
          <w:lang w:val="lv-LV"/>
        </w:rPr>
        <w:t xml:space="preserve">Eiropas Savienības </w:t>
      </w:r>
      <w:proofErr w:type="spellStart"/>
      <w:r w:rsidRPr="00502C8A">
        <w:rPr>
          <w:sz w:val="24"/>
          <w:lang w:val="lv-LV"/>
        </w:rPr>
        <w:t>Pamattiesību</w:t>
      </w:r>
      <w:proofErr w:type="spellEnd"/>
      <w:r w:rsidRPr="00502C8A">
        <w:rPr>
          <w:sz w:val="24"/>
          <w:lang w:val="lv-LV"/>
        </w:rPr>
        <w:t xml:space="preserve"> aģentūra, </w:t>
      </w:r>
      <w:hyperlink r:id="rId1" w:history="1">
        <w:proofErr w:type="spellStart"/>
        <w:r w:rsidRPr="005715F0">
          <w:rPr>
            <w:rStyle w:val="Hyperlink"/>
            <w:i/>
            <w:sz w:val="24"/>
            <w:lang w:val="lv-LV"/>
          </w:rPr>
          <w:t>Improving</w:t>
        </w:r>
        <w:proofErr w:type="spellEnd"/>
        <w:r w:rsidRPr="005715F0">
          <w:rPr>
            <w:rStyle w:val="Hyperlink"/>
            <w:i/>
            <w:sz w:val="24"/>
            <w:lang w:val="lv-LV"/>
          </w:rPr>
          <w:t xml:space="preserve"> </w:t>
        </w:r>
        <w:proofErr w:type="spellStart"/>
        <w:r w:rsidRPr="005715F0">
          <w:rPr>
            <w:rStyle w:val="Hyperlink"/>
            <w:i/>
            <w:sz w:val="24"/>
            <w:lang w:val="lv-LV"/>
          </w:rPr>
          <w:t>access</w:t>
        </w:r>
        <w:proofErr w:type="spellEnd"/>
        <w:r w:rsidRPr="005715F0">
          <w:rPr>
            <w:rStyle w:val="Hyperlink"/>
            <w:i/>
            <w:sz w:val="24"/>
            <w:lang w:val="lv-LV"/>
          </w:rPr>
          <w:t xml:space="preserve"> to </w:t>
        </w:r>
        <w:proofErr w:type="spellStart"/>
        <w:r w:rsidRPr="005715F0">
          <w:rPr>
            <w:rStyle w:val="Hyperlink"/>
            <w:i/>
            <w:sz w:val="24"/>
            <w:lang w:val="lv-LV"/>
          </w:rPr>
          <w:t>remedy</w:t>
        </w:r>
        <w:proofErr w:type="spellEnd"/>
        <w:r w:rsidRPr="005715F0">
          <w:rPr>
            <w:rStyle w:val="Hyperlink"/>
            <w:i/>
            <w:sz w:val="24"/>
            <w:lang w:val="lv-LV"/>
          </w:rPr>
          <w:t xml:space="preserve"> </w:t>
        </w:r>
        <w:proofErr w:type="spellStart"/>
        <w:r w:rsidRPr="005715F0">
          <w:rPr>
            <w:rStyle w:val="Hyperlink"/>
            <w:i/>
            <w:sz w:val="24"/>
            <w:lang w:val="lv-LV"/>
          </w:rPr>
          <w:t>in</w:t>
        </w:r>
        <w:proofErr w:type="spellEnd"/>
        <w:r w:rsidRPr="005715F0">
          <w:rPr>
            <w:rStyle w:val="Hyperlink"/>
            <w:i/>
            <w:sz w:val="24"/>
            <w:lang w:val="lv-LV"/>
          </w:rPr>
          <w:t xml:space="preserve"> </w:t>
        </w:r>
        <w:proofErr w:type="spellStart"/>
        <w:r w:rsidRPr="005715F0">
          <w:rPr>
            <w:rStyle w:val="Hyperlink"/>
            <w:i/>
            <w:sz w:val="24"/>
            <w:lang w:val="lv-LV"/>
          </w:rPr>
          <w:t>the</w:t>
        </w:r>
        <w:proofErr w:type="spellEnd"/>
        <w:r w:rsidRPr="005715F0">
          <w:rPr>
            <w:rStyle w:val="Hyperlink"/>
            <w:i/>
            <w:sz w:val="24"/>
            <w:lang w:val="lv-LV"/>
          </w:rPr>
          <w:t xml:space="preserve"> </w:t>
        </w:r>
        <w:proofErr w:type="spellStart"/>
        <w:r w:rsidRPr="005715F0">
          <w:rPr>
            <w:rStyle w:val="Hyperlink"/>
            <w:i/>
            <w:sz w:val="24"/>
            <w:lang w:val="lv-LV"/>
          </w:rPr>
          <w:t>area</w:t>
        </w:r>
        <w:proofErr w:type="spellEnd"/>
        <w:r w:rsidRPr="005715F0">
          <w:rPr>
            <w:rStyle w:val="Hyperlink"/>
            <w:i/>
            <w:sz w:val="24"/>
            <w:lang w:val="lv-LV"/>
          </w:rPr>
          <w:t xml:space="preserve"> </w:t>
        </w:r>
        <w:proofErr w:type="spellStart"/>
        <w:r w:rsidRPr="005715F0">
          <w:rPr>
            <w:rStyle w:val="Hyperlink"/>
            <w:i/>
            <w:sz w:val="24"/>
            <w:lang w:val="lv-LV"/>
          </w:rPr>
          <w:t>of</w:t>
        </w:r>
        <w:proofErr w:type="spellEnd"/>
        <w:r w:rsidRPr="005715F0">
          <w:rPr>
            <w:rStyle w:val="Hyperlink"/>
            <w:i/>
            <w:sz w:val="24"/>
            <w:lang w:val="lv-LV"/>
          </w:rPr>
          <w:t xml:space="preserve"> </w:t>
        </w:r>
        <w:proofErr w:type="spellStart"/>
        <w:r w:rsidRPr="005715F0">
          <w:rPr>
            <w:rStyle w:val="Hyperlink"/>
            <w:i/>
            <w:sz w:val="24"/>
            <w:lang w:val="lv-LV"/>
          </w:rPr>
          <w:t>business</w:t>
        </w:r>
        <w:proofErr w:type="spellEnd"/>
        <w:r w:rsidRPr="005715F0">
          <w:rPr>
            <w:rStyle w:val="Hyperlink"/>
            <w:i/>
            <w:sz w:val="24"/>
            <w:lang w:val="lv-LV"/>
          </w:rPr>
          <w:t xml:space="preserve"> </w:t>
        </w:r>
        <w:proofErr w:type="spellStart"/>
        <w:r w:rsidRPr="005715F0">
          <w:rPr>
            <w:rStyle w:val="Hyperlink"/>
            <w:i/>
            <w:sz w:val="24"/>
            <w:lang w:val="lv-LV"/>
          </w:rPr>
          <w:t>and</w:t>
        </w:r>
        <w:proofErr w:type="spellEnd"/>
        <w:r w:rsidRPr="005715F0">
          <w:rPr>
            <w:rStyle w:val="Hyperlink"/>
            <w:i/>
            <w:sz w:val="24"/>
            <w:lang w:val="lv-LV"/>
          </w:rPr>
          <w:t xml:space="preserve"> </w:t>
        </w:r>
        <w:proofErr w:type="spellStart"/>
        <w:r w:rsidRPr="005715F0">
          <w:rPr>
            <w:rStyle w:val="Hyperlink"/>
            <w:i/>
            <w:sz w:val="24"/>
            <w:lang w:val="lv-LV"/>
          </w:rPr>
          <w:t>human</w:t>
        </w:r>
        <w:proofErr w:type="spellEnd"/>
        <w:r w:rsidRPr="005715F0">
          <w:rPr>
            <w:rStyle w:val="Hyperlink"/>
            <w:i/>
            <w:sz w:val="24"/>
            <w:lang w:val="lv-LV"/>
          </w:rPr>
          <w:t xml:space="preserve"> </w:t>
        </w:r>
        <w:proofErr w:type="spellStart"/>
        <w:r w:rsidRPr="005715F0">
          <w:rPr>
            <w:rStyle w:val="Hyperlink"/>
            <w:i/>
            <w:sz w:val="24"/>
            <w:lang w:val="lv-LV"/>
          </w:rPr>
          <w:t>rights</w:t>
        </w:r>
        <w:proofErr w:type="spellEnd"/>
        <w:r w:rsidRPr="005715F0">
          <w:rPr>
            <w:rStyle w:val="Hyperlink"/>
            <w:i/>
            <w:sz w:val="24"/>
            <w:lang w:val="lv-LV"/>
          </w:rPr>
          <w:t xml:space="preserve"> </w:t>
        </w:r>
        <w:proofErr w:type="spellStart"/>
        <w:r w:rsidRPr="005715F0">
          <w:rPr>
            <w:rStyle w:val="Hyperlink"/>
            <w:i/>
            <w:sz w:val="24"/>
            <w:lang w:val="lv-LV"/>
          </w:rPr>
          <w:t>at</w:t>
        </w:r>
        <w:proofErr w:type="spellEnd"/>
        <w:r w:rsidRPr="005715F0">
          <w:rPr>
            <w:rStyle w:val="Hyperlink"/>
            <w:i/>
            <w:sz w:val="24"/>
            <w:lang w:val="lv-LV"/>
          </w:rPr>
          <w:t xml:space="preserve"> </w:t>
        </w:r>
        <w:proofErr w:type="spellStart"/>
        <w:r w:rsidRPr="005715F0">
          <w:rPr>
            <w:rStyle w:val="Hyperlink"/>
            <w:i/>
            <w:sz w:val="24"/>
            <w:lang w:val="lv-LV"/>
          </w:rPr>
          <w:t>the</w:t>
        </w:r>
        <w:proofErr w:type="spellEnd"/>
        <w:r w:rsidRPr="005715F0">
          <w:rPr>
            <w:rStyle w:val="Hyperlink"/>
            <w:i/>
            <w:sz w:val="24"/>
            <w:lang w:val="lv-LV"/>
          </w:rPr>
          <w:t xml:space="preserve"> EU </w:t>
        </w:r>
        <w:proofErr w:type="spellStart"/>
        <w:r w:rsidRPr="005715F0">
          <w:rPr>
            <w:rStyle w:val="Hyperlink"/>
            <w:i/>
            <w:sz w:val="24"/>
            <w:lang w:val="lv-LV"/>
          </w:rPr>
          <w:t>level</w:t>
        </w:r>
        <w:proofErr w:type="spellEnd"/>
      </w:hyperlink>
      <w:r w:rsidRPr="00502C8A">
        <w:rPr>
          <w:sz w:val="24"/>
          <w:lang w:val="lv-LV"/>
        </w:rPr>
        <w:t xml:space="preserve">, 2017. gads. </w:t>
      </w:r>
    </w:p>
  </w:footnote>
  <w:footnote w:id="2">
    <w:p w:rsidR="00B13B87" w:rsidRPr="00502C8A" w:rsidRDefault="00B13B87" w:rsidP="00502C8A">
      <w:pPr>
        <w:pStyle w:val="FootnoteText"/>
        <w:ind w:left="567" w:hanging="567"/>
        <w:rPr>
          <w:sz w:val="24"/>
          <w:lang w:val="lv-LV"/>
        </w:rPr>
      </w:pPr>
      <w:r w:rsidRPr="00502C8A">
        <w:rPr>
          <w:rStyle w:val="FootnoteReference"/>
          <w:sz w:val="24"/>
          <w:lang w:val="lv-LV"/>
        </w:rPr>
        <w:footnoteRef/>
      </w:r>
      <w:r w:rsidR="00502C8A" w:rsidRPr="00502C8A">
        <w:rPr>
          <w:sz w:val="24"/>
          <w:lang w:val="lv-LV"/>
        </w:rPr>
        <w:t xml:space="preserve"> </w:t>
      </w:r>
      <w:r w:rsidR="00502C8A" w:rsidRPr="00502C8A">
        <w:rPr>
          <w:sz w:val="24"/>
          <w:lang w:val="lv-LV"/>
        </w:rPr>
        <w:tab/>
      </w:r>
      <w:r w:rsidRPr="00502C8A">
        <w:rPr>
          <w:sz w:val="24"/>
          <w:lang w:val="lv-LV"/>
        </w:rPr>
        <w:t xml:space="preserve">Eiropas Savienības </w:t>
      </w:r>
      <w:proofErr w:type="spellStart"/>
      <w:r w:rsidRPr="00502C8A">
        <w:rPr>
          <w:sz w:val="24"/>
          <w:lang w:val="lv-LV"/>
        </w:rPr>
        <w:t>Pamattiesību</w:t>
      </w:r>
      <w:proofErr w:type="spellEnd"/>
      <w:r w:rsidRPr="00502C8A">
        <w:rPr>
          <w:sz w:val="24"/>
          <w:lang w:val="lv-LV"/>
        </w:rPr>
        <w:t xml:space="preserve"> aģentūra, </w:t>
      </w:r>
      <w:hyperlink r:id="rId2" w:history="1">
        <w:proofErr w:type="spellStart"/>
        <w:r w:rsidRPr="005715F0">
          <w:rPr>
            <w:rStyle w:val="Hyperlink"/>
            <w:i/>
            <w:sz w:val="24"/>
            <w:lang w:val="lv-LV"/>
          </w:rPr>
          <w:t>Business</w:t>
        </w:r>
        <w:proofErr w:type="spellEnd"/>
        <w:r w:rsidRPr="005715F0">
          <w:rPr>
            <w:rStyle w:val="Hyperlink"/>
            <w:i/>
            <w:sz w:val="24"/>
            <w:lang w:val="lv-LV"/>
          </w:rPr>
          <w:t xml:space="preserve"> </w:t>
        </w:r>
        <w:proofErr w:type="spellStart"/>
        <w:r w:rsidRPr="005715F0">
          <w:rPr>
            <w:rStyle w:val="Hyperlink"/>
            <w:i/>
            <w:sz w:val="24"/>
            <w:lang w:val="lv-LV"/>
          </w:rPr>
          <w:t>And</w:t>
        </w:r>
        <w:proofErr w:type="spellEnd"/>
        <w:r w:rsidRPr="005715F0">
          <w:rPr>
            <w:rStyle w:val="Hyperlink"/>
            <w:i/>
            <w:sz w:val="24"/>
            <w:lang w:val="lv-LV"/>
          </w:rPr>
          <w:t xml:space="preserve"> </w:t>
        </w:r>
        <w:proofErr w:type="spellStart"/>
        <w:r w:rsidRPr="005715F0">
          <w:rPr>
            <w:rStyle w:val="Hyperlink"/>
            <w:i/>
            <w:sz w:val="24"/>
            <w:lang w:val="lv-LV"/>
          </w:rPr>
          <w:t>Human</w:t>
        </w:r>
        <w:proofErr w:type="spellEnd"/>
        <w:r w:rsidRPr="005715F0">
          <w:rPr>
            <w:rStyle w:val="Hyperlink"/>
            <w:i/>
            <w:sz w:val="24"/>
            <w:lang w:val="lv-LV"/>
          </w:rPr>
          <w:t xml:space="preserve"> </w:t>
        </w:r>
        <w:proofErr w:type="spellStart"/>
        <w:r w:rsidRPr="005715F0">
          <w:rPr>
            <w:rStyle w:val="Hyperlink"/>
            <w:i/>
            <w:sz w:val="24"/>
            <w:lang w:val="lv-LV"/>
          </w:rPr>
          <w:t>Rights</w:t>
        </w:r>
        <w:proofErr w:type="spellEnd"/>
        <w:r w:rsidRPr="005715F0">
          <w:rPr>
            <w:rStyle w:val="Hyperlink"/>
            <w:i/>
            <w:sz w:val="24"/>
            <w:lang w:val="lv-LV"/>
          </w:rPr>
          <w:t xml:space="preserve"> – Access To </w:t>
        </w:r>
        <w:proofErr w:type="spellStart"/>
        <w:r w:rsidRPr="005715F0">
          <w:rPr>
            <w:rStyle w:val="Hyperlink"/>
            <w:i/>
            <w:sz w:val="24"/>
            <w:lang w:val="lv-LV"/>
          </w:rPr>
          <w:t>Remedy</w:t>
        </w:r>
        <w:proofErr w:type="spellEnd"/>
      </w:hyperlink>
      <w:r w:rsidRPr="00502C8A">
        <w:rPr>
          <w:sz w:val="24"/>
          <w:lang w:val="lv-LV"/>
        </w:rPr>
        <w:t xml:space="preserve">, 2020. gads. </w:t>
      </w:r>
    </w:p>
  </w:footnote>
  <w:footnote w:id="3">
    <w:p w:rsidR="00B13B87" w:rsidRPr="00502C8A" w:rsidRDefault="00B13B87" w:rsidP="00502C8A">
      <w:pPr>
        <w:pStyle w:val="FootnoteText"/>
        <w:ind w:left="567" w:hanging="567"/>
        <w:rPr>
          <w:sz w:val="24"/>
          <w:lang w:val="lv-LV"/>
        </w:rPr>
      </w:pPr>
      <w:r w:rsidRPr="00502C8A">
        <w:rPr>
          <w:rStyle w:val="FootnoteReference"/>
          <w:sz w:val="24"/>
          <w:lang w:val="lv-LV"/>
        </w:rPr>
        <w:footnoteRef/>
      </w:r>
      <w:r w:rsidR="00502C8A" w:rsidRPr="00502C8A">
        <w:rPr>
          <w:sz w:val="24"/>
          <w:lang w:val="lv-LV"/>
        </w:rPr>
        <w:t xml:space="preserve"> </w:t>
      </w:r>
      <w:r w:rsidR="00502C8A" w:rsidRPr="00502C8A">
        <w:rPr>
          <w:sz w:val="24"/>
          <w:lang w:val="lv-LV"/>
        </w:rPr>
        <w:tab/>
      </w:r>
      <w:r w:rsidRPr="00502C8A">
        <w:rPr>
          <w:sz w:val="24"/>
          <w:lang w:val="lv-LV"/>
        </w:rPr>
        <w:t xml:space="preserve">OV C 215, 19.6.2018., 125. lpp. </w:t>
      </w:r>
    </w:p>
  </w:footnote>
  <w:footnote w:id="4">
    <w:p w:rsidR="00B13B87" w:rsidRPr="00502C8A" w:rsidRDefault="00B13B87" w:rsidP="00502C8A">
      <w:pPr>
        <w:pStyle w:val="FootnoteText"/>
        <w:ind w:left="567" w:hanging="567"/>
        <w:rPr>
          <w:sz w:val="24"/>
          <w:lang w:val="lv-LV"/>
        </w:rPr>
      </w:pPr>
      <w:r w:rsidRPr="00502C8A">
        <w:rPr>
          <w:rStyle w:val="FootnoteReference"/>
          <w:sz w:val="24"/>
          <w:lang w:val="lv-LV"/>
        </w:rPr>
        <w:footnoteRef/>
      </w:r>
      <w:r w:rsidR="00502C8A" w:rsidRPr="00502C8A">
        <w:rPr>
          <w:sz w:val="24"/>
          <w:lang w:val="lv-LV"/>
        </w:rPr>
        <w:t xml:space="preserve"> </w:t>
      </w:r>
      <w:r w:rsidR="00502C8A" w:rsidRPr="00502C8A">
        <w:rPr>
          <w:sz w:val="24"/>
          <w:lang w:val="lv-LV"/>
        </w:rPr>
        <w:tab/>
      </w:r>
      <w:r w:rsidRPr="00502C8A">
        <w:rPr>
          <w:sz w:val="24"/>
          <w:lang w:val="lv-LV"/>
        </w:rPr>
        <w:t>OV C 11, 13.1.2020., 36. lpp.</w:t>
      </w:r>
    </w:p>
  </w:footnote>
  <w:footnote w:id="5">
    <w:p w:rsidR="00B13B87" w:rsidRPr="00502C8A" w:rsidRDefault="00B13B87" w:rsidP="00502C8A">
      <w:pPr>
        <w:pStyle w:val="FootnoteText"/>
        <w:ind w:left="567" w:hanging="567"/>
        <w:rPr>
          <w:sz w:val="24"/>
          <w:lang w:val="lv-LV"/>
        </w:rPr>
      </w:pPr>
      <w:r w:rsidRPr="00502C8A">
        <w:rPr>
          <w:rStyle w:val="FootnoteReference"/>
          <w:sz w:val="24"/>
          <w:lang w:val="lv-LV"/>
        </w:rPr>
        <w:footnoteRef/>
      </w:r>
      <w:r w:rsidR="00502C8A" w:rsidRPr="00502C8A">
        <w:rPr>
          <w:sz w:val="24"/>
          <w:lang w:val="lv-LV"/>
        </w:rPr>
        <w:t xml:space="preserve"> </w:t>
      </w:r>
      <w:r w:rsidR="00502C8A" w:rsidRPr="00502C8A">
        <w:rPr>
          <w:sz w:val="24"/>
          <w:lang w:val="lv-LV"/>
        </w:rPr>
        <w:tab/>
      </w:r>
      <w:r w:rsidRPr="00502C8A">
        <w:rPr>
          <w:sz w:val="24"/>
          <w:lang w:val="lv-LV"/>
        </w:rPr>
        <w:t>OV C 214, 16.6.2023., 77.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C8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C8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C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LV"/>
    <w:docVar w:name="dvnumam" w:val="0"/>
    <w:docVar w:name="dvpe" w:val="751.807"/>
    <w:docVar w:name="dvrapporteur" w:val="Referente: "/>
    <w:docVar w:name="dvtitre" w:val="Eiropas Parlamenta 2024. gada XX. XXX  rezolūcija par ES nostājas formulēšanu attiecībā uz saistošu ANO instrumentu par uzņēmumiem un cilvēktiesībām, jo īpaši piekļuvi tiesiskās aizsardzības līdzekļiem un cietušo aizsardzību(2023/2108(INI))"/>
  </w:docVars>
  <w:rsids>
    <w:rsidRoot w:val="005759E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C8A"/>
    <w:rsid w:val="0050519A"/>
    <w:rsid w:val="005072A1"/>
    <w:rsid w:val="00514517"/>
    <w:rsid w:val="00545827"/>
    <w:rsid w:val="00560270"/>
    <w:rsid w:val="005715F0"/>
    <w:rsid w:val="005759E9"/>
    <w:rsid w:val="005C2568"/>
    <w:rsid w:val="005E2C7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D2C"/>
    <w:rsid w:val="00AE0928"/>
    <w:rsid w:val="00AF3B82"/>
    <w:rsid w:val="00B12E95"/>
    <w:rsid w:val="00B13B87"/>
    <w:rsid w:val="00B22876"/>
    <w:rsid w:val="00B5587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7C761"/>
  <w15:chartTrackingRefBased/>
  <w15:docId w15:val="{0AD7C44B-C476-4600-B3FE-61586E0D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13B87"/>
    <w:rPr>
      <w:b/>
    </w:rPr>
  </w:style>
  <w:style w:type="paragraph" w:customStyle="1" w:styleId="NormalHanging12a">
    <w:name w:val="NormalHanging12a"/>
    <w:basedOn w:val="Normal"/>
    <w:link w:val="NormalHanging12aChar"/>
    <w:rsid w:val="00B13B87"/>
    <w:pPr>
      <w:spacing w:after="240"/>
      <w:ind w:left="567" w:hanging="567"/>
    </w:pPr>
  </w:style>
  <w:style w:type="paragraph" w:customStyle="1" w:styleId="EPComma">
    <w:name w:val="EPComma"/>
    <w:basedOn w:val="Normal"/>
    <w:rsid w:val="00B13B87"/>
    <w:pPr>
      <w:spacing w:before="480" w:after="240"/>
    </w:pPr>
  </w:style>
  <w:style w:type="character" w:styleId="Hyperlink">
    <w:name w:val="Hyperlink"/>
    <w:basedOn w:val="DefaultParagraphFont"/>
    <w:uiPriority w:val="99"/>
    <w:unhideWhenUsed/>
    <w:rsid w:val="00B13B87"/>
    <w:rPr>
      <w:color w:val="0563C1" w:themeColor="hyperlink"/>
      <w:u w:val="single"/>
    </w:rPr>
  </w:style>
  <w:style w:type="character" w:customStyle="1" w:styleId="doceo-font-family-base">
    <w:name w:val="doceo-font-family-base"/>
    <w:basedOn w:val="DefaultParagraphFont"/>
    <w:rsid w:val="00B13B87"/>
  </w:style>
  <w:style w:type="character" w:customStyle="1" w:styleId="NormalHanging12aChar">
    <w:name w:val="NormalHanging12a Char"/>
    <w:basedOn w:val="DefaultParagraphFont"/>
    <w:link w:val="NormalHanging12a"/>
    <w:rsid w:val="00B13B8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21D45-B0DC-4614-9A8C-0249F5867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3612</Words>
  <Characters>24504</Characters>
  <Application>Microsoft Office Word</Application>
  <DocSecurity>0</DocSecurity>
  <Lines>875</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2024-02-21T13:00:00Z</dcterms:created>
  <dcterms:modified xsi:type="dcterms:W3CDTF">2024-02-21T13:00:00Z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A9-0421/2023</vt:lpwstr>
  </property>
  <property fmtid="{D5CDD505-2E9C-101B-9397-08002B2CF9AE}" pid="4" name="&lt;Type&gt;">
    <vt:lpwstr>RR</vt:lpwstr>
  </property>
</Properties>
</file>