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0859" w:rsidTr="0010095E">
        <w:trPr>
          <w:trHeight w:hRule="exact" w:val="1418"/>
        </w:trPr>
        <w:tc>
          <w:tcPr>
            <w:tcW w:w="6804" w:type="dxa"/>
            <w:shd w:val="clear" w:color="auto" w:fill="auto"/>
            <w:vAlign w:val="center"/>
          </w:tcPr>
          <w:p w:rsidR="00751A4A" w:rsidRPr="00C10859" w:rsidRDefault="00F61122" w:rsidP="0010095E">
            <w:pPr>
              <w:pStyle w:val="EPName"/>
            </w:pPr>
            <w:bookmarkStart w:id="0" w:name="_GoBack"/>
            <w:bookmarkEnd w:id="0"/>
            <w:r w:rsidRPr="00C10859">
              <w:t>Europees Parlement</w:t>
            </w:r>
          </w:p>
          <w:p w:rsidR="00751A4A" w:rsidRPr="00C10859" w:rsidRDefault="00817416" w:rsidP="00756632">
            <w:pPr>
              <w:pStyle w:val="EPTerm"/>
              <w:rPr>
                <w:rStyle w:val="HideTWBExt"/>
                <w:noProof w:val="0"/>
                <w:vanish w:val="0"/>
                <w:color w:val="auto"/>
              </w:rPr>
            </w:pPr>
            <w:r w:rsidRPr="00C10859">
              <w:t>2019-2024</w:t>
            </w:r>
          </w:p>
        </w:tc>
        <w:tc>
          <w:tcPr>
            <w:tcW w:w="2268" w:type="dxa"/>
            <w:shd w:val="clear" w:color="auto" w:fill="auto"/>
          </w:tcPr>
          <w:p w:rsidR="00751A4A" w:rsidRPr="00C10859" w:rsidRDefault="00187494" w:rsidP="0010095E">
            <w:pPr>
              <w:pStyle w:val="EPLogo"/>
            </w:pPr>
            <w:r w:rsidRPr="00C108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0859" w:rsidRDefault="00D058B8" w:rsidP="004C5D52">
      <w:pPr>
        <w:pStyle w:val="LineTop"/>
      </w:pPr>
    </w:p>
    <w:p w:rsidR="00680577" w:rsidRPr="00C10859" w:rsidRDefault="00F61122" w:rsidP="00680577">
      <w:pPr>
        <w:pStyle w:val="EPBodyTA1"/>
      </w:pPr>
      <w:r w:rsidRPr="00C10859">
        <w:t>AANGENOMEN TEKSTEN</w:t>
      </w:r>
    </w:p>
    <w:p w:rsidR="00D058B8" w:rsidRPr="00C10859" w:rsidRDefault="00D058B8" w:rsidP="00D058B8">
      <w:pPr>
        <w:pStyle w:val="LineBottom"/>
      </w:pPr>
    </w:p>
    <w:p w:rsidR="00F61122" w:rsidRPr="00C10859" w:rsidRDefault="00F61122" w:rsidP="00F61122">
      <w:pPr>
        <w:pStyle w:val="ATHeading1"/>
      </w:pPr>
      <w:bookmarkStart w:id="1" w:name="TANumber"/>
      <w:r w:rsidRPr="00C10859">
        <w:t>P9_</w:t>
      </w:r>
      <w:proofErr w:type="gramStart"/>
      <w:r w:rsidRPr="00C10859">
        <w:t>TA(</w:t>
      </w:r>
      <w:proofErr w:type="gramEnd"/>
      <w:r w:rsidRPr="00C10859">
        <w:t>2024)</w:t>
      </w:r>
      <w:bookmarkEnd w:id="1"/>
      <w:r w:rsidR="00C10859" w:rsidRPr="00C10859">
        <w:t>00</w:t>
      </w:r>
      <w:r w:rsidR="00C10859" w:rsidRPr="00C10859">
        <w:t>42</w:t>
      </w:r>
    </w:p>
    <w:p w:rsidR="00F61122" w:rsidRPr="00C10859" w:rsidRDefault="00F61122" w:rsidP="00F61122">
      <w:pPr>
        <w:pStyle w:val="ATHeading2"/>
      </w:pPr>
      <w:bookmarkStart w:id="2" w:name="title"/>
      <w:r w:rsidRPr="00C10859">
        <w:t>Vaststelling van het standpunt van de EU over het bindend VN-instrument inzake bedrijfsleven en mensenrechten, en met name over de toegang tot rechtsmiddelen en de bescherming van slachtoffers</w:t>
      </w:r>
      <w:bookmarkEnd w:id="2"/>
    </w:p>
    <w:p w:rsidR="00F61122" w:rsidRPr="00C10859" w:rsidRDefault="00F61122" w:rsidP="00F61122">
      <w:pPr>
        <w:rPr>
          <w:i/>
          <w:vanish/>
        </w:rPr>
      </w:pPr>
      <w:r w:rsidRPr="00C10859">
        <w:rPr>
          <w:i/>
        </w:rPr>
        <w:fldChar w:fldCharType="begin"/>
      </w:r>
      <w:r w:rsidRPr="00C10859">
        <w:rPr>
          <w:i/>
        </w:rPr>
        <w:instrText xml:space="preserve"> TC"(</w:instrText>
      </w:r>
      <w:bookmarkStart w:id="3" w:name="DocNumber"/>
      <w:r w:rsidRPr="00C10859">
        <w:rPr>
          <w:i/>
        </w:rPr>
        <w:instrText>A9-0421/2023</w:instrText>
      </w:r>
      <w:bookmarkEnd w:id="3"/>
      <w:r w:rsidRPr="00C10859">
        <w:rPr>
          <w:i/>
        </w:rPr>
        <w:instrText xml:space="preserve"> - Rapporteur: Heidi Hautala)"\l3 \n&gt; \* MERGEFORMAT </w:instrText>
      </w:r>
      <w:r w:rsidRPr="00C10859">
        <w:rPr>
          <w:i/>
        </w:rPr>
        <w:fldChar w:fldCharType="end"/>
      </w:r>
    </w:p>
    <w:p w:rsidR="00F61122" w:rsidRPr="00C10859" w:rsidRDefault="00F61122" w:rsidP="00F61122">
      <w:pPr>
        <w:rPr>
          <w:vanish/>
        </w:rPr>
      </w:pPr>
      <w:bookmarkStart w:id="4" w:name="Commission"/>
      <w:r w:rsidRPr="00C10859">
        <w:rPr>
          <w:vanish/>
        </w:rPr>
        <w:t>Commissie buitenlandse zaken</w:t>
      </w:r>
      <w:bookmarkEnd w:id="4"/>
    </w:p>
    <w:p w:rsidR="00F61122" w:rsidRPr="00C10859" w:rsidRDefault="00F61122" w:rsidP="00F61122">
      <w:pPr>
        <w:rPr>
          <w:vanish/>
        </w:rPr>
      </w:pPr>
      <w:bookmarkStart w:id="5" w:name="PE"/>
      <w:r w:rsidRPr="00C10859">
        <w:rPr>
          <w:vanish/>
        </w:rPr>
        <w:t>PE751.807</w:t>
      </w:r>
      <w:bookmarkEnd w:id="5"/>
    </w:p>
    <w:p w:rsidR="00F61122" w:rsidRPr="00C10859" w:rsidRDefault="00F61122" w:rsidP="00F61122">
      <w:pPr>
        <w:pStyle w:val="ATHeading3"/>
      </w:pPr>
      <w:bookmarkStart w:id="6" w:name="Sujet"/>
      <w:r w:rsidRPr="00C10859">
        <w:t xml:space="preserve">Resolutie van het Europees Parlement van </w:t>
      </w:r>
      <w:r w:rsidR="00344D2B" w:rsidRPr="00C10859">
        <w:t xml:space="preserve">18 </w:t>
      </w:r>
      <w:r w:rsidRPr="00C10859">
        <w:t>januari 2024 over de vaststelling van het standpunt van de EU over het bindend VN-instrument inzake bedrijfsleven en mensenrechten, en met name over de toegang tot rechtsmiddelen en de bescherming van slachtoffers</w:t>
      </w:r>
      <w:bookmarkEnd w:id="6"/>
      <w:r w:rsidRPr="00C10859">
        <w:t xml:space="preserve"> </w:t>
      </w:r>
      <w:bookmarkStart w:id="7" w:name="References"/>
      <w:r w:rsidRPr="00C10859">
        <w:t>(2023/2108(INI))</w:t>
      </w:r>
      <w:bookmarkEnd w:id="7"/>
    </w:p>
    <w:p w:rsidR="00543F4B" w:rsidRPr="00C10859" w:rsidRDefault="00543F4B" w:rsidP="00543F4B">
      <w:pPr>
        <w:pStyle w:val="EPComma"/>
      </w:pPr>
      <w:bookmarkStart w:id="8" w:name="TextBodyBegin"/>
      <w:bookmarkEnd w:id="8"/>
      <w:r w:rsidRPr="00C10859">
        <w:rPr>
          <w:i/>
        </w:rPr>
        <w:t>Het Europees Parlement</w:t>
      </w:r>
      <w:r w:rsidRPr="00C10859">
        <w:t>,</w:t>
      </w:r>
    </w:p>
    <w:p w:rsidR="00543F4B" w:rsidRPr="00C10859" w:rsidRDefault="00543F4B" w:rsidP="00543F4B">
      <w:pPr>
        <w:pStyle w:val="NormalHanging12a"/>
      </w:pPr>
      <w:r w:rsidRPr="00C10859">
        <w:t>–</w:t>
      </w:r>
      <w:r w:rsidRPr="00C10859">
        <w:tab/>
        <w:t>gezien de artikelen 2, 3, 8, 21 en 23 van het Verdrag betreffende de Europese Unie (VEU),</w:t>
      </w:r>
    </w:p>
    <w:p w:rsidR="00543F4B" w:rsidRPr="00C10859" w:rsidRDefault="00543F4B" w:rsidP="00543F4B">
      <w:pPr>
        <w:spacing w:after="240"/>
        <w:ind w:left="567" w:hanging="567"/>
        <w:rPr>
          <w:szCs w:val="24"/>
        </w:rPr>
      </w:pPr>
      <w:r w:rsidRPr="00C10859">
        <w:t>–</w:t>
      </w:r>
      <w:r w:rsidRPr="00C10859">
        <w:tab/>
        <w:t>gezien het Handvest van de grondrechten van de Europese Unie,</w:t>
      </w:r>
    </w:p>
    <w:p w:rsidR="00543F4B" w:rsidRPr="00C10859" w:rsidRDefault="00543F4B" w:rsidP="00543F4B">
      <w:pPr>
        <w:pStyle w:val="NormalHanging12a"/>
      </w:pPr>
      <w:r w:rsidRPr="00C10859">
        <w:t>–</w:t>
      </w:r>
      <w:r w:rsidRPr="00C10859">
        <w:tab/>
        <w:t>gezien de leidende beginselen van de VN inzake bedrijfsleven en mensenrechten, die door de VN-Mensenrechtenraad zijn goedgekeurd in resolutie 17/4 van 16 juni 2011,</w:t>
      </w:r>
    </w:p>
    <w:p w:rsidR="00543F4B" w:rsidRPr="00C10859" w:rsidRDefault="00543F4B" w:rsidP="00543F4B">
      <w:pPr>
        <w:pStyle w:val="NormalHanging12a"/>
      </w:pPr>
      <w:r w:rsidRPr="00C10859">
        <w:t>–</w:t>
      </w:r>
      <w:r w:rsidRPr="00C10859">
        <w:tab/>
        <w:t>gezien resolutie 26/9 van de VN-Mensenrechtenraad van 26 juni 2014,</w:t>
      </w:r>
    </w:p>
    <w:p w:rsidR="00543F4B" w:rsidRPr="00C10859" w:rsidRDefault="00543F4B" w:rsidP="00543F4B">
      <w:pPr>
        <w:spacing w:after="240"/>
        <w:ind w:left="567" w:hanging="567"/>
        <w:rPr>
          <w:szCs w:val="24"/>
        </w:rPr>
      </w:pPr>
      <w:r w:rsidRPr="00C10859">
        <w:t>–</w:t>
      </w:r>
      <w:r w:rsidRPr="00C10859">
        <w:tab/>
        <w:t>gezien het geactualiseerde ontwerp van het juridisch bindend instrument dat de voorzitter-rapporteur van de intergouvernementele werkgroep voor onbepaalde duur op 31 juli 2023 heeft verspreid, en de herziene derde versie daarvan die tot stand is gekomen tijdens de achtste vergadering,</w:t>
      </w:r>
    </w:p>
    <w:p w:rsidR="00543F4B" w:rsidRPr="00C10859" w:rsidRDefault="00543F4B" w:rsidP="00543F4B">
      <w:pPr>
        <w:spacing w:after="240"/>
        <w:ind w:left="567" w:hanging="567"/>
        <w:rPr>
          <w:szCs w:val="24"/>
        </w:rPr>
      </w:pPr>
      <w:r w:rsidRPr="00C10859">
        <w:t>–</w:t>
      </w:r>
      <w:r w:rsidRPr="00C10859">
        <w:tab/>
        <w:t>gezien het VN-Verdrag tegen corruptie,</w:t>
      </w:r>
    </w:p>
    <w:p w:rsidR="00543F4B" w:rsidRPr="00C10859" w:rsidRDefault="00543F4B" w:rsidP="00543F4B">
      <w:pPr>
        <w:pStyle w:val="NormalHanging12a"/>
      </w:pPr>
      <w:r w:rsidRPr="00C10859">
        <w:t>–</w:t>
      </w:r>
      <w:r w:rsidRPr="00C10859">
        <w:tab/>
        <w:t>gezien resolutie 76/300 van de Algemene Vergadering van de VN van 28 juli 2022 over het mensenrecht op een schoon, gezond en duurzaam milieu,</w:t>
      </w:r>
    </w:p>
    <w:p w:rsidR="00543F4B" w:rsidRPr="00C10859" w:rsidRDefault="00543F4B" w:rsidP="00543F4B">
      <w:pPr>
        <w:spacing w:after="240"/>
        <w:ind w:left="567" w:hanging="567"/>
      </w:pPr>
      <w:r w:rsidRPr="00C10859">
        <w:t>–</w:t>
      </w:r>
      <w:r w:rsidRPr="00C10859">
        <w:tab/>
        <w:t>gezien de richtsnoeren van de Organisatie voor Economische Samenwerking en Ontwikkeling (OESO) voor multinationale ondernemingen inzake verantwoord ondernemerschap,</w:t>
      </w:r>
    </w:p>
    <w:p w:rsidR="00543F4B" w:rsidRPr="00C10859" w:rsidRDefault="00543F4B" w:rsidP="00543F4B">
      <w:pPr>
        <w:pStyle w:val="NormalHanging12a"/>
      </w:pPr>
      <w:r w:rsidRPr="00C10859">
        <w:t>–</w:t>
      </w:r>
      <w:r w:rsidRPr="00C10859">
        <w:tab/>
        <w:t xml:space="preserve">gezien de resolutie van de Afrikaanse Commissie voor de rechten van de mens en van </w:t>
      </w:r>
      <w:r w:rsidRPr="00C10859">
        <w:lastRenderedPageBreak/>
        <w:t>volken van 7 maart 2023 over bedrijfsleven en mensenrechten in Afrika,</w:t>
      </w:r>
    </w:p>
    <w:p w:rsidR="00543F4B" w:rsidRPr="00C10859" w:rsidRDefault="00543F4B" w:rsidP="00543F4B">
      <w:pPr>
        <w:pStyle w:val="NormalHanging12a"/>
      </w:pPr>
      <w:r w:rsidRPr="00C10859">
        <w:t>–</w:t>
      </w:r>
      <w:r w:rsidRPr="00C10859">
        <w:tab/>
        <w:t>gezien het advies van het Bureau van de Europese Unie voor de grondrechten (FRA) van 10 april 2017 getiteld “Improving access to remedy in the area of business and human rights at EU level” (Betere toegang tot rechtsmiddelen op het gebied van bedrijfsleven en mensenrechten op EU-niveau)</w:t>
      </w:r>
      <w:r w:rsidRPr="00C10859">
        <w:rPr>
          <w:rStyle w:val="FootnoteReference"/>
        </w:rPr>
        <w:footnoteReference w:id="1"/>
      </w:r>
      <w:r w:rsidRPr="00C10859">
        <w:t xml:space="preserve"> en zijn verslag van 6 oktober 2020 getiteld “Business and Human Rights – Access to Remedy” (Bedrijfsleven en mensenrechten – toegang tot rechtsmiddelen)</w:t>
      </w:r>
      <w:r w:rsidRPr="00C10859">
        <w:rPr>
          <w:rStyle w:val="FootnoteReference"/>
        </w:rPr>
        <w:footnoteReference w:id="2"/>
      </w:r>
      <w:r w:rsidRPr="00C10859">
        <w:t xml:space="preserve">, </w:t>
      </w:r>
    </w:p>
    <w:p w:rsidR="00543F4B" w:rsidRPr="00C10859" w:rsidRDefault="00543F4B" w:rsidP="00543F4B">
      <w:pPr>
        <w:pStyle w:val="NormalHanging12a"/>
      </w:pPr>
      <w:r w:rsidRPr="00C10859">
        <w:t>–</w:t>
      </w:r>
      <w:r w:rsidRPr="00C10859">
        <w:tab/>
        <w:t>gezien de conclusies van de Raad van 20 februari 2023 over de prioriteiten van de EU in de VN-mensenrechtenfora in 2023,</w:t>
      </w:r>
    </w:p>
    <w:p w:rsidR="00543F4B" w:rsidRPr="00C10859" w:rsidRDefault="00543F4B" w:rsidP="00543F4B">
      <w:pPr>
        <w:pStyle w:val="NormalHanging12a"/>
      </w:pPr>
      <w:r w:rsidRPr="00C10859">
        <w:t>–</w:t>
      </w:r>
      <w:r w:rsidRPr="00C10859">
        <w:tab/>
        <w:t>gezien zijn resolutie van 25 oktober 2016 over strafrechtelijke aansprakelijkheid van bedrijven voor ernstige schendingen van de mensenrechten in derde landen</w:t>
      </w:r>
      <w:r w:rsidRPr="00C10859">
        <w:rPr>
          <w:rStyle w:val="FootnoteReference"/>
        </w:rPr>
        <w:footnoteReference w:id="3"/>
      </w:r>
      <w:r w:rsidRPr="00C10859">
        <w:t xml:space="preserve">, </w:t>
      </w:r>
    </w:p>
    <w:p w:rsidR="00543F4B" w:rsidRPr="00C10859" w:rsidRDefault="00543F4B" w:rsidP="00543F4B">
      <w:pPr>
        <w:pStyle w:val="NormalHanging12a"/>
      </w:pPr>
      <w:r w:rsidRPr="00C10859">
        <w:t>–</w:t>
      </w:r>
      <w:r w:rsidRPr="00C10859">
        <w:tab/>
        <w:t>gezien zijn resolutie van 4 oktober 2018 over de bijdrage van de EU aan een bindend VN-instrument inzake transnationale bedrijven en andere ondernemingen met transnationale kenmerken met betrekking tot de mensenrechten</w:t>
      </w:r>
      <w:r w:rsidRPr="00C10859">
        <w:rPr>
          <w:rStyle w:val="FootnoteReference"/>
        </w:rPr>
        <w:footnoteReference w:id="4"/>
      </w:r>
      <w:r w:rsidRPr="00C10859">
        <w:t xml:space="preserve">, </w:t>
      </w:r>
    </w:p>
    <w:p w:rsidR="00543F4B" w:rsidRPr="00C10859" w:rsidRDefault="00543F4B" w:rsidP="00543F4B">
      <w:pPr>
        <w:pStyle w:val="NormalHanging12a"/>
      </w:pPr>
      <w:r w:rsidRPr="00C10859">
        <w:t>–</w:t>
      </w:r>
      <w:r w:rsidRPr="00C10859">
        <w:tab/>
        <w:t>gezien zijn resolutie van 18 januari 2023 over mensenrechten en democratie in de wereld en het beleid van de Europese Unie op dit gebied – jaarverslag 2022</w:t>
      </w:r>
      <w:r w:rsidRPr="00C10859">
        <w:rPr>
          <w:rStyle w:val="FootnoteReference"/>
        </w:rPr>
        <w:footnoteReference w:id="5"/>
      </w:r>
      <w:r w:rsidRPr="00C10859">
        <w:t>, en zijn eerdere resoluties over voorgaande jaarverslagen,</w:t>
      </w:r>
    </w:p>
    <w:p w:rsidR="00543F4B" w:rsidRPr="00C10859" w:rsidRDefault="00543F4B" w:rsidP="00543F4B">
      <w:pPr>
        <w:pStyle w:val="NormalHanging12a"/>
      </w:pPr>
      <w:r w:rsidRPr="00C10859">
        <w:t>–</w:t>
      </w:r>
      <w:r w:rsidRPr="00C10859">
        <w:tab/>
        <w:t>gezien artikel 54 van zijn Reglement,</w:t>
      </w:r>
    </w:p>
    <w:p w:rsidR="00543F4B" w:rsidRPr="00C10859" w:rsidRDefault="00543F4B" w:rsidP="00543F4B">
      <w:pPr>
        <w:pStyle w:val="NormalHanging12a"/>
      </w:pPr>
      <w:r w:rsidRPr="00C10859">
        <w:t>–</w:t>
      </w:r>
      <w:r w:rsidRPr="00C10859">
        <w:tab/>
        <w:t>gezien het advies van de Commissie ontwikkelingssamenwerking,</w:t>
      </w:r>
    </w:p>
    <w:p w:rsidR="00543F4B" w:rsidRPr="00C10859" w:rsidRDefault="00543F4B" w:rsidP="00543F4B">
      <w:pPr>
        <w:pStyle w:val="NormalHanging12a"/>
      </w:pPr>
      <w:r w:rsidRPr="00C10859">
        <w:t>–</w:t>
      </w:r>
      <w:r w:rsidRPr="00C10859">
        <w:tab/>
        <w:t>gezien het verslag van de Commissie buitenlandse zaken (A9-0421/2023),</w:t>
      </w:r>
    </w:p>
    <w:p w:rsidR="00543F4B" w:rsidRPr="00C10859" w:rsidRDefault="00543F4B" w:rsidP="00543F4B">
      <w:pPr>
        <w:pStyle w:val="NormalHanging12a"/>
      </w:pPr>
      <w:r w:rsidRPr="00C10859">
        <w:t>A.</w:t>
      </w:r>
      <w:r w:rsidRPr="00C10859">
        <w:tab/>
        <w:t>overwegende dat de EU berust op waarden als eerbied voor de menselijke waardigheid, vrijheid, democratie, gelijkheid, de rechtsstaat en eerbiediging van mensenrechten, zoals vastgelegd in artikel 2 VEU; overwegende dat de EU zich bij haar optreden op het internationale toneel moet laten leiden door die beginselen en moet handelen in overeenstemming met het beginsel van beleidscoherentie voor ontwikkeling, zoals vastgelegd in artikel 208 van het Verdrag van Lissabon;</w:t>
      </w:r>
    </w:p>
    <w:p w:rsidR="00543F4B" w:rsidRPr="00C10859" w:rsidRDefault="00543F4B" w:rsidP="00543F4B">
      <w:pPr>
        <w:pStyle w:val="NormalHanging12a"/>
      </w:pPr>
      <w:r w:rsidRPr="00C10859">
        <w:t>B.</w:t>
      </w:r>
      <w:r w:rsidRPr="00C10859">
        <w:tab/>
        <w:t>overwegende dat de uitvoering van de Agenda 2030 voor duurzame ontwikkeling en van het beginsel “niemand aan zijn lot overlaten” impliceert dat economische ontwikkeling gepaard moet gaan met sociale rechtvaardigheid, goed bestuur en eerbiediging van de mensenrechten;</w:t>
      </w:r>
    </w:p>
    <w:p w:rsidR="00543F4B" w:rsidRPr="00C10859" w:rsidRDefault="00543F4B" w:rsidP="00543F4B">
      <w:pPr>
        <w:pStyle w:val="NormalHanging12a"/>
      </w:pPr>
      <w:r w:rsidRPr="00C10859">
        <w:t>C.</w:t>
      </w:r>
      <w:r w:rsidRPr="00C10859">
        <w:tab/>
        <w:t xml:space="preserve">overwegende dat bedrijven belangrijke spelers zijn in de context van economische globalisering, financiële diensten en internationale handel, en dat zij verplicht zijn alle toepasselijke wetten en internationale verdragen na te leven en de mensenrechten te </w:t>
      </w:r>
      <w:r w:rsidRPr="00C10859">
        <w:lastRenderedPageBreak/>
        <w:t xml:space="preserve">eerbiedigen; overwegende dat bedrijven de oorzaak kunnen zijn van, kunnen bijdragen tot of rechtstreeks in verband kunnen worden gebracht met negatieve effecten op de mensenrechten, zoals </w:t>
      </w:r>
      <w:r w:rsidRPr="00C10859">
        <w:rPr>
          <w:rStyle w:val="doceo-font-family-base"/>
        </w:rPr>
        <w:t>moderne slavernij, mensenhandel, gedwongen arbeid, kinderarbeid en andere vormen van arbeidsuitbuiting, landverdrijving, hongerlonen en schendingen van de vakbondsvrijheid,</w:t>
      </w:r>
      <w:r w:rsidRPr="00C10859">
        <w:t xml:space="preserve"> alsook nadelige gevolgen voor het milieu, met inbegrip van verontreiniging, klimaatverandering, milieudegradatie en biodiversiteitsverlies;</w:t>
      </w:r>
    </w:p>
    <w:p w:rsidR="00543F4B" w:rsidRPr="00C10859" w:rsidRDefault="00543F4B" w:rsidP="00543F4B">
      <w:pPr>
        <w:pStyle w:val="NormalHanging12a"/>
      </w:pPr>
      <w:r w:rsidRPr="00C10859">
        <w:t>D.</w:t>
      </w:r>
      <w:r w:rsidRPr="00C10859">
        <w:tab/>
        <w:t>overwegende dat ondernemingen kunnen bijdragen tot duurzame ontwikkeling door het scheppen van banen en economische ontwikkeling, en dus een belangrijke rol kunnen spelen bij het bevorderen van mensenrechten en milieunormen en het voorkomen van negatieve gevolgen voor de mensenrechten en het milieu;</w:t>
      </w:r>
    </w:p>
    <w:p w:rsidR="00543F4B" w:rsidRPr="00C10859" w:rsidRDefault="00543F4B" w:rsidP="00543F4B">
      <w:pPr>
        <w:pStyle w:val="NormalHanging12a"/>
        <w:rPr>
          <w:rStyle w:val="doceo-font-family-base"/>
        </w:rPr>
      </w:pPr>
      <w:r w:rsidRPr="00C10859">
        <w:t>E.</w:t>
      </w:r>
      <w:r w:rsidRPr="00C10859">
        <w:tab/>
      </w:r>
      <w:r w:rsidRPr="00C10859">
        <w:rPr>
          <w:rStyle w:val="doceo-font-family-base"/>
        </w:rPr>
        <w:t>overwegende dat de rechten van bedrijven en investeerders gepaard moeten gaan met bindende en afdwingbare verplichtingen wat naleving van het recht inzake mensenrechten, arbeid en milieu betreft;</w:t>
      </w:r>
    </w:p>
    <w:p w:rsidR="00543F4B" w:rsidRPr="00C10859" w:rsidRDefault="00543F4B" w:rsidP="00543F4B">
      <w:pPr>
        <w:pStyle w:val="NormalHanging12a"/>
        <w:rPr>
          <w:rStyle w:val="doceo-font-family-base"/>
          <w:szCs w:val="24"/>
        </w:rPr>
      </w:pPr>
      <w:r w:rsidRPr="00C10859">
        <w:rPr>
          <w:rStyle w:val="doceo-font-family-base"/>
        </w:rPr>
        <w:t>F.</w:t>
      </w:r>
      <w:r w:rsidRPr="00C10859">
        <w:rPr>
          <w:rStyle w:val="doceo-font-family-base"/>
        </w:rPr>
        <w:tab/>
        <w:t>overwegende dat slachtoffers van wanpraktijken van bedrijven vaak worden geconfronteerd met talrijke en overlappende obstakels bij de toegang tot rechtsmiddelen, met inbegrip van beroepsprocedures en garanties van niet-herhaling; overwegende dat deze obstakels nog groter zijn voor kwetsbare of gemarginaliseerde personen of groepen; overwegende dat straffeloosheid voor mensenrechtenschendingen door sommige ondernemingen nauwelijks wordt aangepakt doordat het ontbreekt aan een robuust en alomvattend regelgevingskader en afstemming op mondiaal en regionaal niveau;</w:t>
      </w:r>
    </w:p>
    <w:p w:rsidR="00543F4B" w:rsidRPr="00C10859" w:rsidRDefault="00543F4B" w:rsidP="00543F4B">
      <w:pPr>
        <w:pStyle w:val="NormalHanging12a"/>
        <w:rPr>
          <w:rStyle w:val="doceo-font-family-base"/>
        </w:rPr>
      </w:pPr>
      <w:r w:rsidRPr="00C10859">
        <w:t>G.</w:t>
      </w:r>
      <w:r w:rsidRPr="00C10859">
        <w:tab/>
        <w:t>overwegende dat het aantal gevallen waarin bedrijven de rechten van werknemers met voeten treden overal ter wereld toeneemt en dat uit de Global Rights Index van de International Trade Union Confederation blijkt dat 113 landen werknemers het recht ontzeggen om een vakbond op te richten of zich bij een vakbond aan te sluiten, tegenover 106 landen in 2021; overwegende dat in 87 % van de landen het stakingsrecht werd geschonden en dat in vier op vijf landen collectieve onderhandelingen werden geblokkeerd;</w:t>
      </w:r>
    </w:p>
    <w:p w:rsidR="00543F4B" w:rsidRPr="00C10859" w:rsidRDefault="00543F4B" w:rsidP="00543F4B">
      <w:pPr>
        <w:pStyle w:val="NormalHanging12a"/>
        <w:rPr>
          <w:rStyle w:val="doceo-font-family-base"/>
        </w:rPr>
      </w:pPr>
      <w:r w:rsidRPr="00C10859">
        <w:rPr>
          <w:rStyle w:val="doceo-font-family-base"/>
        </w:rPr>
        <w:t>H.</w:t>
      </w:r>
      <w:r w:rsidRPr="00C10859">
        <w:rPr>
          <w:rStyle w:val="doceo-font-family-base"/>
        </w:rPr>
        <w:tab/>
        <w:t>overwegende dat de VN-Mensenrechtenraad op 26 juni 2014 een resolutie heeft aangenomen tot oprichting van een intergouvernementele werkgroep voor onbepaalde duur, die een internationaal juridisch bindend instrument moet uitwerken “om de activiteiten van transnationale ondernemingen en andere bedrijven te reguleren in het kader van het internationaal recht inzake de mensenrechten”;</w:t>
      </w:r>
    </w:p>
    <w:p w:rsidR="00543F4B" w:rsidRPr="00C10859" w:rsidRDefault="00543F4B" w:rsidP="00543F4B">
      <w:pPr>
        <w:pStyle w:val="NormalHanging12a"/>
        <w:rPr>
          <w:rStyle w:val="doceo-font-family-base"/>
        </w:rPr>
      </w:pPr>
      <w:r w:rsidRPr="00C10859">
        <w:t>I.</w:t>
      </w:r>
      <w:r w:rsidRPr="00C10859">
        <w:tab/>
        <w:t>overwegende dat deze intergouvernementele werkgroep, die sinds haar oprichting wordt voorgezeten door Ecuador, tot dusver negen vergaderingen heeft gehouden, alsook een aantal regionale en andere raadplegingen van belanghebbenden, onder meer uit het maatschappelijk middenveld en de particuliere sector; overwegende dat de voorzitter in juli 2023 een geactualiseerd ontwerp van het instrument heeft verspreid in de aanloop naar de negende vergadering van de intergouvernementele werkgroep, die gepland stond van 23 tot en met 27 oktober 2023;</w:t>
      </w:r>
    </w:p>
    <w:p w:rsidR="00543F4B" w:rsidRPr="00C10859" w:rsidRDefault="00543F4B" w:rsidP="00543F4B">
      <w:pPr>
        <w:pStyle w:val="NormalHanging12a"/>
        <w:rPr>
          <w:rStyle w:val="doceo-font-family-base"/>
        </w:rPr>
      </w:pPr>
      <w:r w:rsidRPr="00C10859">
        <w:t>J.</w:t>
      </w:r>
      <w:r w:rsidRPr="00C10859">
        <w:tab/>
        <w:t xml:space="preserve">overwegende dat de EU heeft gewerkt aan ambitieuze wetgeving op het gebied van passende zorgvuldigheid in het bedrijfsleven en andere soorten wetgeving, die als basis kunnen dienen voor haar onderhandelingsmandaat; overwegende dat de </w:t>
      </w:r>
      <w:r w:rsidRPr="00C10859">
        <w:lastRenderedPageBreak/>
        <w:t>vertegenwoordiger van de EU bij gebrek aan een onderhandelingsmandaat slechts als waarnemer aan de vergaderingen van de intergouvernementele werkgroep heeft deelgenomen en alleen algemene verklaringen heeft afgelegd; overwegende dat ook de betrokkenheid waarvan andere grote economieën dan de EU blijk hebben gegeven bij de besprekingen, ambivalent is geweest in de loop der jaren;</w:t>
      </w:r>
    </w:p>
    <w:p w:rsidR="00543F4B" w:rsidRPr="00C10859" w:rsidRDefault="00543F4B" w:rsidP="00543F4B">
      <w:pPr>
        <w:pStyle w:val="NormalHanging12a"/>
        <w:rPr>
          <w:rStyle w:val="doceo-font-family-base"/>
        </w:rPr>
      </w:pPr>
      <w:r w:rsidRPr="00C10859">
        <w:rPr>
          <w:rStyle w:val="doceo-font-family-base"/>
        </w:rPr>
        <w:t>K.</w:t>
      </w:r>
      <w:r w:rsidRPr="00C10859">
        <w:rPr>
          <w:rStyle w:val="doceo-font-family-base"/>
        </w:rPr>
        <w:tab/>
        <w:t>overwegende dat het standpunt van de EU-lidstaten vervolgens geleidelijk is geëvolueerd en dat een aantal van hen actief heeft deelgenomen aan de recentste vergaderingen van de intergouvernementele werkgroep; overwegende dat Frankrijk en Portugal zich hebben aangesloten bij de groep van “vrienden van de voorzitter” en de voorzitter hebben geholpen bij het opstellen van consensusvoorstellen van regionale blokken; overwegende dat de Raad in het kader van zijn prioriteiten in mensenrechtenfora in 2023 heeft beloofd “actief deel te nemen” aan de besprekingen binnen de VN over het juridisch bindend instrument, en zich bereid heeft verklaard om met de voorzitter van de intergouvernementele werkgroep en de vrienden van de voorzitter samen te werken “om na te denken over een op consensus gebaseerd instrument dat de bescherming van slachtoffers effectief kan verbeteren en wereldwijd een gelijk speelveld tot stand kan brengen”;</w:t>
      </w:r>
    </w:p>
    <w:p w:rsidR="00543F4B" w:rsidRPr="00C10859" w:rsidRDefault="00543F4B" w:rsidP="00543F4B">
      <w:pPr>
        <w:pStyle w:val="NormalHanging12a"/>
        <w:rPr>
          <w:rStyle w:val="doceo-font-family-base"/>
        </w:rPr>
      </w:pPr>
      <w:r w:rsidRPr="00C10859">
        <w:t>L.</w:t>
      </w:r>
      <w:r w:rsidRPr="00C10859">
        <w:tab/>
        <w:t xml:space="preserve">overwegende dat het Parlement </w:t>
      </w:r>
      <w:r w:rsidRPr="00C10859">
        <w:rPr>
          <w:rStyle w:val="doceo-font-family-base"/>
        </w:rPr>
        <w:t>meermaals zijn steun heeft uitgesproken</w:t>
      </w:r>
      <w:r w:rsidRPr="00C10859">
        <w:t xml:space="preserve"> voor de VN-besprekingen over het juridisch bindend instrument, onder meer door een aantal resoluties aan te nemen waarin de EU en de lidstaten ertoe worden opgeroepen om constructief aan de onderhandelingen deel te nemen;</w:t>
      </w:r>
    </w:p>
    <w:p w:rsidR="00543F4B" w:rsidRPr="00C10859" w:rsidRDefault="00543F4B" w:rsidP="00543F4B">
      <w:pPr>
        <w:pStyle w:val="NormalHanging12a"/>
        <w:rPr>
          <w:rStyle w:val="doceo-font-family-base"/>
        </w:rPr>
      </w:pPr>
      <w:r w:rsidRPr="00C10859">
        <w:t>M.</w:t>
      </w:r>
      <w:r w:rsidRPr="00C10859">
        <w:tab/>
        <w:t xml:space="preserve">overwegende dat de EU de afgelopen jaren </w:t>
      </w:r>
      <w:r w:rsidRPr="00C10859">
        <w:rPr>
          <w:rStyle w:val="doceo-font-family-base"/>
        </w:rPr>
        <w:t>blijk heeft gegeven van een grote ambitie wat bedrijfsleven en mensenrechten betreft en</w:t>
      </w:r>
      <w:r w:rsidRPr="00C10859">
        <w:t xml:space="preserve"> een aantal wetgevingsinitiatieven heeft opgestart voor het reguleren van bedrijfsactiviteiten met betrekking tot mensenrechten en milieu- en klimaatgerelateerde verplichtingen, zoals de richtlijn inzake passende zorgvuldigheid in het bedrijfsleven op het gebied van duurzaamheid, een voorstel voor een verordening inzake een verbod op met dwangarbeid vervaardigde producten op de markt van de Unie, de verordening inzake ontbossingsvrije producten, de verordening inzake conflictmineralen en de batterijenverordening;</w:t>
      </w:r>
    </w:p>
    <w:p w:rsidR="00543F4B" w:rsidRPr="00C10859" w:rsidRDefault="00543F4B" w:rsidP="00543F4B">
      <w:pPr>
        <w:pStyle w:val="NormalHanging12a"/>
      </w:pPr>
      <w:r w:rsidRPr="00C10859">
        <w:t>N.</w:t>
      </w:r>
      <w:r w:rsidRPr="00C10859">
        <w:tab/>
        <w:t xml:space="preserve">overwegende dat enkele EU-lidstaten, </w:t>
      </w:r>
      <w:r w:rsidRPr="00C10859">
        <w:rPr>
          <w:rStyle w:val="doceo-font-family-base"/>
        </w:rPr>
        <w:t>zoals Frankrijk, Duitsland en Nederland,</w:t>
      </w:r>
      <w:r w:rsidRPr="00C10859">
        <w:t xml:space="preserve"> onlangs bindende wetgeving inzake passende zorgvuldigheid hebben aangenomen of voorgesteld en dat een aantal andere lidstaten overweegt dit voorbeeld te volgen; </w:t>
      </w:r>
      <w:r w:rsidRPr="00C10859">
        <w:rPr>
          <w:rStyle w:val="doceo-font-family-base"/>
        </w:rPr>
        <w:t>overwegende dat het belangrijk is te zorgen voor samenhang tussen de wetgeving inzake passende zorgvuldigheid op het niveau van de lidstaten of de EU en het juridisch bindend instrument van de VN;</w:t>
      </w:r>
    </w:p>
    <w:p w:rsidR="00543F4B" w:rsidRPr="00C10859" w:rsidRDefault="00543F4B" w:rsidP="00543F4B">
      <w:pPr>
        <w:pStyle w:val="NormalHanging12a"/>
        <w:rPr>
          <w:szCs w:val="24"/>
        </w:rPr>
      </w:pPr>
      <w:r w:rsidRPr="00C10859">
        <w:t>O.</w:t>
      </w:r>
      <w:r w:rsidRPr="00C10859">
        <w:tab/>
        <w:t>overwegende dat inzake bedrijfsleven en mensenrechten regelgevingsinitiatieven, waaronder wetgeving, zijn aangenomen of in behandeling zijn in niet-EU-landen als Australië, Brazilië, Canada, Ghana, Japan, Mexico, Nieuw-Zeeland, Noorwegen, de VS, Zuid-Afrika, Zuid-Korea en Zwitserland; overwegende dat tal van andere landen een nationaal actieplan inzake bedrijfsleven en mensenrechten hebben opgesteld;</w:t>
      </w:r>
    </w:p>
    <w:p w:rsidR="00543F4B" w:rsidRPr="00C10859" w:rsidRDefault="00543F4B" w:rsidP="00543F4B">
      <w:pPr>
        <w:pStyle w:val="NormalHanging12a"/>
        <w:rPr>
          <w:szCs w:val="24"/>
        </w:rPr>
      </w:pPr>
      <w:r w:rsidRPr="00C10859">
        <w:t>P.</w:t>
      </w:r>
      <w:r w:rsidRPr="00C10859">
        <w:tab/>
        <w:t>overwegende dat het ontwerp van het juridisch bindend instrument een clausule betreffende organisaties voor regionale integratie bevat om tegemoet te komen aan de respectieve rol van de EU en haar lidstaten;</w:t>
      </w:r>
    </w:p>
    <w:p w:rsidR="00543F4B" w:rsidRPr="00C10859" w:rsidRDefault="00543F4B" w:rsidP="00543F4B">
      <w:pPr>
        <w:pStyle w:val="NormalHanging12a"/>
        <w:rPr>
          <w:rStyle w:val="doceo-font-family-base"/>
        </w:rPr>
      </w:pPr>
      <w:r w:rsidRPr="00C10859">
        <w:t>Q.</w:t>
      </w:r>
      <w:r w:rsidRPr="00C10859">
        <w:tab/>
        <w:t xml:space="preserve">overwegende dat bij getroffen gemeenschappen, inheemse volkeren, vakbonden, leden </w:t>
      </w:r>
      <w:r w:rsidRPr="00C10859">
        <w:lastRenderedPageBreak/>
        <w:t>van het maatschappelijk middenveld, wetenschappers en deskundigen wereldwijd sprake is van aanzienlijke en toenemende belangstelling, mobilisatie en verwachtingen in verband met de besprekingen op VN-niveau over het juridisch bindend instrument;</w:t>
      </w:r>
    </w:p>
    <w:p w:rsidR="00543F4B" w:rsidRPr="00C10859" w:rsidRDefault="00543F4B" w:rsidP="00543F4B">
      <w:pPr>
        <w:pStyle w:val="NormalHanging12a"/>
        <w:rPr>
          <w:rStyle w:val="doceo-font-family-base"/>
          <w:b/>
          <w:i/>
        </w:rPr>
      </w:pPr>
      <w:r w:rsidRPr="00C10859">
        <w:rPr>
          <w:rStyle w:val="doceo-font-family-base"/>
          <w:b/>
          <w:i/>
        </w:rPr>
        <w:t>Algemene opmerkingen en het internationale kader inzake bedrijfsleven en mensenrechten</w:t>
      </w:r>
    </w:p>
    <w:p w:rsidR="00543F4B" w:rsidRPr="00C10859" w:rsidRDefault="00543F4B" w:rsidP="00543F4B">
      <w:pPr>
        <w:pStyle w:val="NormalHanging12a"/>
        <w:rPr>
          <w:rStyle w:val="doceo-font-family-base"/>
        </w:rPr>
      </w:pPr>
      <w:r w:rsidRPr="00C10859">
        <w:t>1.</w:t>
      </w:r>
      <w:r w:rsidRPr="00C10859">
        <w:tab/>
        <w:t>benadrukt dat de algemene mate van uitoefening van de mensenrechten wereldwijd onder andere afhankelijk is van het gedrag van ondernemingen, gezien de huidige omvang van de globalisering en de internationalisering van bedrijfsactiviteiten en waardeketens; beklemtoont in dit verband hoe belangrijk het is dat ondernemingen kunnen vertrouwen op goed openbaar bestuur en een alomvattend en goed functionerend rechtsstelsel en -kader om hun verplichtingen op het gebied van de mensenrechten na te komen;</w:t>
      </w:r>
    </w:p>
    <w:p w:rsidR="00543F4B" w:rsidRPr="00C10859" w:rsidRDefault="00543F4B" w:rsidP="00543F4B">
      <w:pPr>
        <w:pStyle w:val="NormalHanging12a"/>
        <w:rPr>
          <w:rStyle w:val="doceo-font-family-base"/>
        </w:rPr>
      </w:pPr>
      <w:r w:rsidRPr="00C10859">
        <w:t>2.</w:t>
      </w:r>
      <w:r w:rsidRPr="00C10859">
        <w:tab/>
        <w:t>spreekt zijn krachtige steun uit voor de volledige tenuitvoerlegging, binnen en buiten de EU, van de internationale normen inzake verantwoord ondernemerschap, ter aanvulling en versterking van de tenuitvoerlegging van de leidende beginselen van de VN inzake bedrijfsleven en mensenrechten; beklemtoont het belang van de leidende beginselen van de VN en de OESO-richtsnoeren en de brede steun die zij krijgen; herinnert eraan dat de leidende beginselen van de VN het enige mondiale kader vormen waarin de verantwoordelijkheid van ondernemingen voor het voorkomen en aanpakken van het risico op negatieve gevolgen van bedrijfsactiviteiten voor de mensenrechten wordt beschreven; benadrukt dat alle werkzaamheden in verband met het juridisch bindend instrument volledig moeten worden afgestemd op deze normen;</w:t>
      </w:r>
    </w:p>
    <w:p w:rsidR="00543F4B" w:rsidRPr="00C10859" w:rsidRDefault="00543F4B" w:rsidP="00543F4B">
      <w:pPr>
        <w:pStyle w:val="NormalHanging12a"/>
        <w:rPr>
          <w:rStyle w:val="doceo-font-family-base"/>
        </w:rPr>
      </w:pPr>
      <w:r w:rsidRPr="00C10859">
        <w:t>3.</w:t>
      </w:r>
      <w:r w:rsidRPr="00C10859">
        <w:tab/>
        <w:t>benadrukt dat maatschappelijk verantwoord ondernemen louter op vrijwillige basis geschiedt en dus niet in afdwingbare instrumenten is opgenomen, en dat dit dreigt te leiden tot marktverstoringen en oneerlijke concurrentie voor de bedrijven die ervoor kiezen zich aan internationale normen te houden of die aan nationale of regionale verplichtingen onderworpen zijn; erkent dat er weliswaar enige vooruitgang is geboekt, maar dat er nog steeds mensenrechtenschendingen plaatsvinden; is daarom tevreden dat er inspanningen worden geleverd om een gelijk speelveld tot stand te brengen en dat wordt gestreefd naar een wereldwijd gesteunde verbintenis met betrekking tot verantwoord ondernemerschap; is ook tevreden met de verschuiving die momenteel plaatsvindt wat normatieve ontwikkelingen betreft, van “soft law”-initiatieven naar bindende normen;</w:t>
      </w:r>
    </w:p>
    <w:p w:rsidR="00543F4B" w:rsidRPr="00C10859" w:rsidRDefault="00543F4B" w:rsidP="00543F4B">
      <w:pPr>
        <w:pStyle w:val="NormalHanging12a"/>
      </w:pPr>
      <w:r w:rsidRPr="00C10859">
        <w:t>4.</w:t>
      </w:r>
      <w:r w:rsidRPr="00C10859">
        <w:tab/>
        <w:t>beklemtoont dat het belangrijk is om de mazen in de wet- en regelgeving te dichten die door sommige bedrijven en investeerders worden uitgebuit ten koste van de mensenrechten en het milieu;</w:t>
      </w:r>
    </w:p>
    <w:p w:rsidR="00543F4B" w:rsidRPr="00C10859" w:rsidRDefault="00543F4B" w:rsidP="00543F4B">
      <w:pPr>
        <w:pStyle w:val="NormalHanging12a"/>
        <w:rPr>
          <w:szCs w:val="24"/>
        </w:rPr>
      </w:pPr>
      <w:r w:rsidRPr="00C10859">
        <w:t>5.</w:t>
      </w:r>
      <w:r w:rsidRPr="00C10859">
        <w:tab/>
        <w:t xml:space="preserve">constateert met bezorgdheid dat er in de rechtsstelsels van veel landen nog steeds tal van procedurele, materiële en praktische belemmeringen bestaan wat de toegang van slachtoffers tot de rechter betreft, waaronder problemen met het aanwijzen van de bevoegde rechtbank, belemmeringen in verband met bevoegdheidsnormen, korte wettelijke verjaringstermijnen, buitensporige bewijslast, beperkte of onduidelijke aansprakelijkheid als gevolg van complexe bedrijfsstructuren, toegang tot vertegenwoordiging in rechte en juridische informatie, buitensporige vertegenwoordigingskosten in het buitenland en andere ongelijkheden tussen eisers en verweerders; neemt voorts bezorgd kennis van gevallen van slachtoffers die hun recht willen halen en vervolgens worden geconfronteerd met intimidatie of geweld door de </w:t>
      </w:r>
      <w:r w:rsidRPr="00C10859">
        <w:lastRenderedPageBreak/>
        <w:t>betrokken bedrijven; benadrukt dat kwetsbare of gemarginaliseerde personen of groepen, die mogelijk extra aandacht nodig hebben in het kader van activiteiten voor de betrokkenheid van belanghebbenden, worden geconfronteerd met grotere belemmeringen om op gelijke voet compensatiebetalingen of andere vormen van schadeloosstelling te genieten;</w:t>
      </w:r>
    </w:p>
    <w:p w:rsidR="00543F4B" w:rsidRPr="00C10859" w:rsidRDefault="00543F4B" w:rsidP="00543F4B">
      <w:pPr>
        <w:pStyle w:val="NormalHanging12a"/>
        <w:rPr>
          <w:rStyle w:val="doceo-font-family-base"/>
        </w:rPr>
      </w:pPr>
      <w:r w:rsidRPr="00C10859">
        <w:t>6.</w:t>
      </w:r>
      <w:r w:rsidRPr="00C10859">
        <w:tab/>
        <w:t>benadrukt dat het belangrijk is te voorzien in op het moederbedrijf gebaseerde extraterritoriale regelgeving en toegang tot de rechter voor slachtoffers van mensenrechtenschendingen door transnationale ondernemingen in het land van vestiging van transnationale ondernemingen; beklemtoont met name dat het belangrijk is duidelijk vast te leggen aan welke verplichtingen transnationale ondernemingen zich moeten houden in verband met de uitbanning van kinderarbeid en gedwongen arbeid uit hun toeleveringsketens en bedrijfsactiviteiten;</w:t>
      </w:r>
    </w:p>
    <w:p w:rsidR="00543F4B" w:rsidRPr="00C10859" w:rsidRDefault="00543F4B" w:rsidP="00543F4B">
      <w:pPr>
        <w:pStyle w:val="NormalHanging12a"/>
        <w:rPr>
          <w:rStyle w:val="doceo-font-family-base"/>
        </w:rPr>
      </w:pPr>
      <w:r w:rsidRPr="00C10859">
        <w:t>7.</w:t>
      </w:r>
      <w:r w:rsidRPr="00C10859">
        <w:tab/>
        <w:t>herhaalt zijn krachtige steun voor het werk dat in de VN via de intergouvernementele werkgroep wordt verricht om het instrument te ontwikkelen; spreekt zijn waardering uit voor het werk van de opeenvolgende Ecuadoraanse voorzitters bij het sturen van deze complexe inspanning en stelt de ondersteunende rol van de “vrienden van de voorzitter” op prijs;</w:t>
      </w:r>
    </w:p>
    <w:p w:rsidR="00543F4B" w:rsidRPr="00C10859" w:rsidRDefault="00543F4B" w:rsidP="00543F4B">
      <w:pPr>
        <w:pStyle w:val="NormalHanging12a"/>
        <w:rPr>
          <w:rStyle w:val="doceo-font-family-base"/>
        </w:rPr>
      </w:pPr>
      <w:r w:rsidRPr="00C10859">
        <w:rPr>
          <w:rStyle w:val="doceo-font-family-base"/>
        </w:rPr>
        <w:t>8.</w:t>
      </w:r>
      <w:r w:rsidRPr="00C10859">
        <w:rPr>
          <w:rStyle w:val="doceo-font-family-base"/>
        </w:rPr>
        <w:tab/>
        <w:t>verzoekt de voorzitter van de intergouvernementele werkgroep en de VN-lidstaten ervoor te zorgen dat de onderhandelingen op transparante wijze worden gevoerd, met zinvolle betrokkenheid van alle belanghebbenden, waaronder het maatschappelijk middenveld, vakbonden</w:t>
      </w:r>
      <w:r w:rsidRPr="00C10859">
        <w:t xml:space="preserve"> en werknemersvertegenwoordigers </w:t>
      </w:r>
      <w:r w:rsidRPr="00C10859">
        <w:rPr>
          <w:rStyle w:val="doceo-font-family-base"/>
        </w:rPr>
        <w:t>en de particuliere sector,</w:t>
      </w:r>
      <w:r w:rsidRPr="00C10859">
        <w:t xml:space="preserve"> met de nodige aandacht voor kwetsbare belanghebbenden</w:t>
      </w:r>
      <w:r w:rsidRPr="00C10859">
        <w:rPr>
          <w:rStyle w:val="doceo-font-family-base"/>
        </w:rPr>
        <w:t>; benadrukt bovendien dat het belangrijk is actieve betrokkenheid van alle regio’s te waarborgen, teneinde een doeltreffend instrument te ontwikkelen dat rekening houdt met de wereldwijde diversiteit van de juridische, maatschappelijke en economische realiteit die van invloed is op de mensenrechten, en dat voortbouwt op beste praktijken die op nationaal en regionaal niveau worden toegepast; moedigt regionale mensenrechten- en economische organisaties en autoriteiten aan om deze universele betrokkenheid te helpen faciliteren;</w:t>
      </w:r>
    </w:p>
    <w:p w:rsidR="00543F4B" w:rsidRPr="00C10859" w:rsidRDefault="00543F4B" w:rsidP="00543F4B">
      <w:pPr>
        <w:pStyle w:val="NormalHanging12a"/>
        <w:rPr>
          <w:rStyle w:val="doceo-font-family-base"/>
          <w:b/>
          <w:i/>
        </w:rPr>
      </w:pPr>
      <w:r w:rsidRPr="00C10859">
        <w:rPr>
          <w:rStyle w:val="doceo-font-family-base"/>
          <w:b/>
          <w:i/>
        </w:rPr>
        <w:t>Betrokkenheid van de EU en de lidstaten bij het VN-proces</w:t>
      </w:r>
    </w:p>
    <w:p w:rsidR="00543F4B" w:rsidRPr="00C10859" w:rsidRDefault="00543F4B" w:rsidP="00543F4B">
      <w:pPr>
        <w:pStyle w:val="NormalHanging12a"/>
        <w:rPr>
          <w:rStyle w:val="doceo-font-family-base"/>
        </w:rPr>
      </w:pPr>
      <w:r w:rsidRPr="00C10859">
        <w:t>9.</w:t>
      </w:r>
      <w:r w:rsidRPr="00C10859">
        <w:tab/>
        <w:t>herinnert eraan dat de EU zich er op grond van de Verdragen toe heeft verbonden de mensenrechten wereldwijd te bevorderen en in het kader van de VN te pleiten voor multilaterale oplossingen voor gemeenschappelijke problemen, en dat dit nog niet tot uiting is gekomen in haar deelname aan de intergouvernementele werkgroep met een onderhandelingsmandaat;</w:t>
      </w:r>
    </w:p>
    <w:p w:rsidR="00543F4B" w:rsidRPr="00C10859" w:rsidRDefault="00543F4B" w:rsidP="00543F4B">
      <w:pPr>
        <w:pStyle w:val="NormalHanging12a"/>
        <w:rPr>
          <w:rStyle w:val="doceo-font-family-base"/>
        </w:rPr>
      </w:pPr>
      <w:r w:rsidRPr="00C10859">
        <w:t>10.</w:t>
      </w:r>
      <w:r w:rsidRPr="00C10859">
        <w:tab/>
        <w:t>erkent dat de intergouvernementele werkgroep het enige mondiale en multilaterale forum is waar bindende regels inzake bedrijfsleven en mensenrechten worden besproken en acht het daarom van cruciaal belang dat de EU actief aan dit proces deelneemt, samen met een kritische massa van VN-leden, om tot een op consensus gebaseerd resultaat te komen dat wereldwijd op brede steun kan rekenen;</w:t>
      </w:r>
    </w:p>
    <w:p w:rsidR="00543F4B" w:rsidRPr="00C10859" w:rsidRDefault="00543F4B" w:rsidP="00543F4B">
      <w:pPr>
        <w:pStyle w:val="NormalHanging12a"/>
        <w:rPr>
          <w:rStyle w:val="doceo-font-family-base"/>
        </w:rPr>
      </w:pPr>
      <w:r w:rsidRPr="00C10859">
        <w:t>11.</w:t>
      </w:r>
      <w:r w:rsidRPr="00C10859">
        <w:tab/>
        <w:t xml:space="preserve">beklemtoont dat de meest recente normatieve ontwikkelingen op EU-niveau inzake bedrijfsleven en mensenrechten belangrijke eerste stappen zijn om aandacht te besteden aan toegang tot de rechter en de rechten van slachtoffers, hetgeen centraal staat in het juridisch bindend instrument als kernverdrag op het gebied van mensenrechten; benadrukt in dit verband de complementaire aard, doelstellingen en reikwijdte van beide </w:t>
      </w:r>
      <w:r w:rsidRPr="00C10859">
        <w:lastRenderedPageBreak/>
        <w:t>normatieve sporen, alsook de noodzaak van samenhang tussen deze twee sporen, die op verschillende niveaus zullen functioneren;</w:t>
      </w:r>
    </w:p>
    <w:p w:rsidR="00543F4B" w:rsidRPr="00C10859" w:rsidRDefault="00543F4B" w:rsidP="00543F4B">
      <w:pPr>
        <w:pStyle w:val="NormalHanging12a"/>
      </w:pPr>
      <w:r w:rsidRPr="00C10859">
        <w:t>12.</w:t>
      </w:r>
      <w:r w:rsidRPr="00C10859">
        <w:tab/>
        <w:t>is van mening dat de EU actief moet deelnemen aan de lopende onderhandelingen, met name met het oog op de verdere ontwikkeling van het ontwerp van het juridisch bindend instrument, en daarbij de aandacht moet richten op slachtoffers van bedrijfsgerelateerde wanpraktijken in de hele waardeketen, het wegnemen van belemmeringen voor gerechtigheid en een doeltreffende voorziening in rechte, het waarborgen van een gelijk speelveld en rechtszekerheid voor bedrijven, rekening houdend met de specifieke kenmerken van kleine en middelgrote ondernemingen (kmo’s), en intensievere samenwerking die voortbouwt op internationale perspectieven en beste praktijken; is van mening dat deze deelname uiteindelijk zou bijdragen tot een betere toepassing en handhaving van de mensenrechten op internationaal niveau, en eveneens zou bijdragen tot een gelijk internationaal speelveld en een mondiaal instrument zou opleveren dat brede steun krijgt en geratificeerd is in staten uit alle regio’s, met inbegrip van maar niet beperkt tot de Europese Unie, en dat relevant blijft in het licht van evoluerende bedreigingen voor de mensenrechten;</w:t>
      </w:r>
    </w:p>
    <w:p w:rsidR="00543F4B" w:rsidRPr="00C10859" w:rsidRDefault="00543F4B" w:rsidP="00543F4B">
      <w:pPr>
        <w:pStyle w:val="NormalHanging12a"/>
        <w:rPr>
          <w:rStyle w:val="doceo-font-family-base"/>
        </w:rPr>
      </w:pPr>
      <w:r w:rsidRPr="00C10859">
        <w:t>13.</w:t>
      </w:r>
      <w:r w:rsidRPr="00C10859">
        <w:tab/>
        <w:t>is ingenomen met de toezegging van de Raad dat de EU haar betrokkenheid zal versterken en actief zal deelnemen aan de intergouvernementele werkgroep; is echter van mening dat de goedkeuring van een EU-onderhandelingsmandaat de enige zinvolle en tastbare manier is om deze toezegging gestand te doen; dringt er daarom bij de Raad op aan zo spoedig mogelijk een ambitieus onderhandelingsmandaat goed te keuren, zodat de EU actief kan deelnemen aan de onderhandelingen om mee vorm te geven aan het toekomstig juridisch bindend instrument; benadrukt dat de EU in haar standpunt moet streven naar krachtige bepalingen wat handhavings- en monitoringmechanismen betreft, alsook wat toegang tot de rechter voor slachtoffers van schendingen betreft;</w:t>
      </w:r>
    </w:p>
    <w:p w:rsidR="00543F4B" w:rsidRPr="00C10859" w:rsidRDefault="00543F4B" w:rsidP="00543F4B">
      <w:pPr>
        <w:pStyle w:val="NormalHanging12a"/>
      </w:pPr>
      <w:r w:rsidRPr="00C10859">
        <w:t>14.</w:t>
      </w:r>
      <w:r w:rsidRPr="00C10859">
        <w:tab/>
        <w:t xml:space="preserve">verzoekt de lidstaten om in afwachting </w:t>
      </w:r>
      <w:r w:rsidRPr="00C10859">
        <w:rPr>
          <w:rStyle w:val="doceo-font-family-base"/>
        </w:rPr>
        <w:t>afzonderlijk aan het proces deel te nemen en</w:t>
      </w:r>
      <w:r w:rsidRPr="00C10859">
        <w:t xml:space="preserve"> hun standpunten tijdens de onderhandelingen te coördineren, teneinde een sterk, gemeenschappelijk en duidelijk EU-standpunt te verdedigen, waarbij op constructieve wijze de wetgevingsinitiatieven naar voren worden gebracht die gericht zijn op het reguleren van bedrijfsactiviteiten met betrekking tot mensenrechten en klimaatgerelateerde verplichtingen, en tegelijk waardering wordt getoond voor de tot dusver geboekte vooruitgang; verwacht van de Europese Dienst voor extern optreden (EDEO) en de Commissie, met name de EU-delegatie bij de VN in Genève, dat zij een proactieve en constructieve rol in dit proces spelen;</w:t>
      </w:r>
    </w:p>
    <w:p w:rsidR="00543F4B" w:rsidRPr="00C10859" w:rsidRDefault="00543F4B" w:rsidP="00543F4B">
      <w:pPr>
        <w:pStyle w:val="NormalHanging12a"/>
      </w:pPr>
      <w:r w:rsidRPr="00C10859">
        <w:t>15.</w:t>
      </w:r>
      <w:r w:rsidRPr="00C10859">
        <w:tab/>
        <w:t xml:space="preserve">verzoekt de Commissie, de EDEO en de lidstaten proactief in gesprek te gaan met alle partnerlanden en dit onderwerp aan de orde te stellen in hun overleg met niet-EU-landen en regionale organisaties, </w:t>
      </w:r>
      <w:r w:rsidRPr="00C10859">
        <w:rPr>
          <w:rStyle w:val="doceo-font-family-base"/>
        </w:rPr>
        <w:t>met name in het kader van de gestructureerde mensenrechtendialogen van de EU; moedigt de EU aan om met name contact te leggen met belangrijke partners die momenteel hun eigen kader inzake bedrijfsleven en mensenrechten ontwikkelen, hetzij op nationaal niveau, zoals Brazilië en Japan, hetzij op regionaal niveau, zoals de Afrikaanse Commissie voor de rechten van de mens en volken en de Inter-Amerikaanse Commissie voor de mensenrechten</w:t>
      </w:r>
      <w:r w:rsidRPr="00C10859">
        <w:t>;</w:t>
      </w:r>
    </w:p>
    <w:p w:rsidR="00543F4B" w:rsidRPr="00C10859" w:rsidRDefault="00543F4B" w:rsidP="00543F4B">
      <w:pPr>
        <w:pStyle w:val="NormalHanging12a"/>
        <w:rPr>
          <w:rStyle w:val="doceo-font-family-base"/>
          <w:b/>
          <w:i/>
        </w:rPr>
      </w:pPr>
      <w:r w:rsidRPr="00C10859">
        <w:rPr>
          <w:rStyle w:val="doceo-font-family-base"/>
          <w:b/>
          <w:i/>
        </w:rPr>
        <w:t>Elementen voor een EU-standpunt over het juridisch bindend instrument</w:t>
      </w:r>
    </w:p>
    <w:p w:rsidR="00543F4B" w:rsidRPr="00C10859" w:rsidRDefault="00543F4B" w:rsidP="00543F4B">
      <w:pPr>
        <w:pStyle w:val="NormalHanging12a"/>
        <w:rPr>
          <w:rStyle w:val="doceo-font-family-base"/>
        </w:rPr>
      </w:pPr>
      <w:r w:rsidRPr="00C10859">
        <w:t>16.</w:t>
      </w:r>
      <w:r w:rsidRPr="00C10859">
        <w:tab/>
        <w:t xml:space="preserve">is ingenomen met het geactualiseerde ontwerp van het juridisch bindend instrument, dat in juli 2023 is gepubliceerd, en is van mening dat het een solide en veelbelovende basis </w:t>
      </w:r>
      <w:r w:rsidRPr="00C10859">
        <w:lastRenderedPageBreak/>
        <w:t>biedt om de onderhandelingen vooruit te helpen, maar erkent ook dat er verbeteringen nodig zijn, evenals afstemming op de leidende beginselen van de VN, de OESO-richtsnoeren en andere geldende internationale normen;</w:t>
      </w:r>
    </w:p>
    <w:p w:rsidR="00543F4B" w:rsidRPr="00C10859" w:rsidRDefault="00543F4B" w:rsidP="00543F4B">
      <w:pPr>
        <w:pStyle w:val="NormalHanging12a"/>
      </w:pPr>
      <w:r w:rsidRPr="00C10859">
        <w:t>17.</w:t>
      </w:r>
      <w:r w:rsidRPr="00C10859">
        <w:tab/>
        <w:t>is van mening dat de EU zich tot doel moet stellen een juridisch bindend instrument tot stand te brengen dat verenigbaar is met en een aanvulling vormt op de lopende normatieve ontwikkelingen op EU-niveau, en dat zo bijdraagt tot de totstandbrenging van een coherenter wereldwijd rechtskader inzake bedrijfsleven en mensenrechten;</w:t>
      </w:r>
    </w:p>
    <w:p w:rsidR="00543F4B" w:rsidRPr="00C10859" w:rsidRDefault="00543F4B" w:rsidP="00543F4B">
      <w:pPr>
        <w:pStyle w:val="NormalHanging12a"/>
        <w:rPr>
          <w:szCs w:val="24"/>
        </w:rPr>
      </w:pPr>
      <w:r w:rsidRPr="00C10859">
        <w:t>18.</w:t>
      </w:r>
      <w:r w:rsidRPr="00C10859">
        <w:tab/>
        <w:t>is voorstander van een brede reikwijdte voor het juridisch bindend instrument waarmee wordt gewaarborgd dat verantwoordelijkheid in alle mondiale waardeketens van toepassing is; is van mening dat de staten die partij zijn de flexibiliteit moeten hebben om in hun nationale wetgeving een onderscheid te maken in de wijze waarop bedrijven, met name kmo’s, zich van de preventieverplichtingen uit hoofde van het juridisch bindend instrument kwijten, in verhouding tot hun omvang, sector, eigendom, operationele context en de ernst van de effecten op de mensenrechten, aangezien zo belangrijke speelruimte wordt geboden voor nationale aanpassing en wordt gezorgd voor consistentie met de universele reikwijdte van de leidende beginselen van de VN; wijst erop dat micro-, kleine en middelgrote ondernemingen in veel regio’s in de wereld de stuwende kracht achter de plaatselijke economie vormen; beklemtoont dat micro-, kleine en middelgrote ondernemingen wereldwijd 90 % van alle bedrijven uitmaken en goed zijn voor 60 tot 70 % van de werkgelegenheid en voor 50 % van het bruto binnenlands product; herhaalt dat het belangrijk is ervoor te zorgen dat de verplichtingen en vereisten van het instrument evenredig en proportioneel zijn ten opzichte van de omvang, middelen en invloed van bedrijven, en dringt er bij de EU op aan om bij de onderhandelingen over het instrument te voorzien in waarborgen voor micro-, kleine en middelgrote ondernemingen;</w:t>
      </w:r>
    </w:p>
    <w:p w:rsidR="00543F4B" w:rsidRPr="00C10859" w:rsidRDefault="00543F4B" w:rsidP="00543F4B">
      <w:pPr>
        <w:pStyle w:val="NormalHanging12a"/>
      </w:pPr>
      <w:r w:rsidRPr="00C10859">
        <w:t>19.</w:t>
      </w:r>
      <w:r w:rsidRPr="00C10859">
        <w:tab/>
        <w:t>is van mening dat wat wordt verstaan onder bedrijfsactiviteiten in overeenstemming moet zijn met de leidende beginselen van de VN;</w:t>
      </w:r>
    </w:p>
    <w:p w:rsidR="00543F4B" w:rsidRPr="00C10859" w:rsidRDefault="00543F4B" w:rsidP="00543F4B">
      <w:pPr>
        <w:pStyle w:val="NormalHanging12a"/>
      </w:pPr>
      <w:r w:rsidRPr="00C10859">
        <w:t>20.</w:t>
      </w:r>
      <w:r w:rsidRPr="00C10859">
        <w:tab/>
        <w:t xml:space="preserve">benadrukt dat het juridisch bindend instrument betrekking moet hebben op een breed toepassingsgebied van internationale instrumenten, met inbegrip van maar niet beperkt tot de Universele Verklaring van de Rechten van de Mens, alle belangrijke internationale mensenrechtenverdragen en de fundamentele verdragen van de Internationale Arbeidsorganisatie, in overeenstemming met de universaliteit en ondeelbaarheid van de mensenrechten; </w:t>
      </w:r>
    </w:p>
    <w:p w:rsidR="00543F4B" w:rsidRPr="00C10859" w:rsidRDefault="00543F4B" w:rsidP="00543F4B">
      <w:pPr>
        <w:pStyle w:val="NormalHanging12a"/>
      </w:pPr>
      <w:r w:rsidRPr="00C10859">
        <w:t>21.</w:t>
      </w:r>
      <w:r w:rsidRPr="00C10859">
        <w:tab/>
        <w:t>betreurt dat verscheidene verwijzingen naar het milieu en de klimaatverandering, onder meer wat aansprakelijkheid betreft, in het meest recente ontwerp uit het toepassingsgebied van het juridisch bindend instrument zijn geschrapt; is van mening dat de EU en de lidstaten ernaar moeten streven om de milieu- en klimaateffecten van bedrijfsactiviteiten op te nemen in het toepassingsgebied van het juridisch bindend instrument, in overeenstemming met de wetgeving, beleidslijnen en ambitie van de EU op dit gebied, en bijgevolg rekening moeten houden met de toenemende mate waarin de effecten van bedrijfsactiviteiten zich laten voelen wat klimaatverandering en aantasting van het milieu betreft, hetgeen op zijn beurt gevolgen heeft voor de mensenrechten;</w:t>
      </w:r>
    </w:p>
    <w:p w:rsidR="00543F4B" w:rsidRPr="00C10859" w:rsidRDefault="00543F4B" w:rsidP="00543F4B">
      <w:pPr>
        <w:pStyle w:val="NormalHanging12a"/>
      </w:pPr>
      <w:r w:rsidRPr="00C10859">
        <w:t>22.</w:t>
      </w:r>
      <w:r w:rsidRPr="00C10859">
        <w:tab/>
        <w:t xml:space="preserve">benadrukt dat het juridisch bindend instrument moet voorzien in een ambitieus, alomvattend, responsief en verplicht kader voor de preventie van mensenrechtenschendingen door ondernemingen, met name door het vaststellen van de </w:t>
      </w:r>
      <w:r w:rsidRPr="00C10859">
        <w:lastRenderedPageBreak/>
        <w:t>verplichting voor staten die partij zijn om passende en doeltreffende wet- en regelgevingsmaatregelen en andere maatregelen vast te stellen om wanpraktijken van bedrijven te voorkomen en de praktijk van passende zorgvuldigheid op het gebied van milieu en eerbiediging van de mensenrechten door alle bedrijven te waarborgen; merkt in dit verband op dat staten die partij zijn de flexibiliteit moeten hebben om hun preventiekaders aan hun eigen rechtsstelsel aan te passen, waarbij de mensenrechten evenwel voorop moeten blijven staan, en dat dit een sleutelfactor zou zijn om een breed draagvlak voor het juridisch bindend instrument te creëren;</w:t>
      </w:r>
    </w:p>
    <w:p w:rsidR="00543F4B" w:rsidRPr="00C10859" w:rsidRDefault="00543F4B" w:rsidP="00543F4B">
      <w:pPr>
        <w:pStyle w:val="NormalHanging12a"/>
      </w:pPr>
      <w:r w:rsidRPr="00C10859">
        <w:t>23.</w:t>
      </w:r>
      <w:r w:rsidRPr="00C10859">
        <w:tab/>
        <w:t>dringt er bij de EU en de lidstaten op aan om er in overeenstemming met de bepalingen van de leidende beginselen van de VN op toe te zien dat het preventiekader van het juridisch bindend instrument ondernemingen ertoe verplicht verscherpte passende zorgvuldigheid toe te passen wanneer zij actief zijn in gebieden met een verhoogd risico op grove schendingen van de mensenrechten, zoals conflictgebieden of bezette of geannexeerde gebieden, onder meer door verwijzingen naar het internationaal humanitair recht, het internationaal strafrecht en het internationaal gewoonterecht in het toepassingsgebied van het juridisch bindend instrument op te nemen; is van mening dat in het juridisch bindend instrument ook aandacht moet worden besteed aan aspecten die verband houden met bedrijfsactiviteiten in door rampen getroffen gebieden of die betrekking hebben op klimaatgevoelige gemeenschappen, aangezien deze aspecten steeds relevanter worden in de context van de klimaatcrisis;</w:t>
      </w:r>
    </w:p>
    <w:p w:rsidR="00543F4B" w:rsidRPr="00C10859" w:rsidRDefault="00543F4B" w:rsidP="00543F4B">
      <w:pPr>
        <w:pStyle w:val="NormalHanging12a"/>
      </w:pPr>
      <w:r w:rsidRPr="00C10859">
        <w:t>24.</w:t>
      </w:r>
      <w:r w:rsidRPr="00C10859">
        <w:tab/>
        <w:t>is van mening dat de verplichting voor bedrijven om een risicogebaseerde aanpak te hanteren en vóór en tijdens hun activiteiten regelmatig mensenrechteneffectbeoordelingen uit te voeren en rekening te houden met de behoeften van mensen die een verhoogd risico lopen, bijzonder belangrijke elementen zijn voor het preventiekader van het juridisch bindend instrument, onder meer door hier een genderperspectief in op te nemen, maar ook door rekening te houden met kwesties in verband met groepen die risico lopen op kwetsbaarheid of marginalisering, zoals inheemse en traditionele gemeenschappen, minderheden en mensenrechten- en milieuverdedigers;</w:t>
      </w:r>
    </w:p>
    <w:p w:rsidR="00543F4B" w:rsidRPr="00C10859" w:rsidRDefault="00543F4B" w:rsidP="00543F4B">
      <w:pPr>
        <w:pStyle w:val="NormalHanging12a"/>
        <w:rPr>
          <w:szCs w:val="24"/>
        </w:rPr>
      </w:pPr>
      <w:r w:rsidRPr="00C10859">
        <w:t>25.</w:t>
      </w:r>
      <w:r w:rsidRPr="00C10859">
        <w:tab/>
        <w:t>dringt erop aan dat in het juridisch bindend instrument een centrale rol wordt toegekend aan betrokken belanghebbenden, met name door middel van de verplichte bevordering van de actieve en zinvolle participatie van relevante belanghebbenden, waaronder vakbonden, niet-gouvernementele organisaties, inheemse volkeren en gemeenschapsorganisaties, alsook de particuliere sector, bij de uitvoering van wetgeving, beleid en andere maatregelen, met bijzondere aandacht voor toegang tot de rechter en rechtsmiddelen;</w:t>
      </w:r>
    </w:p>
    <w:p w:rsidR="00543F4B" w:rsidRPr="00C10859" w:rsidRDefault="00543F4B" w:rsidP="00543F4B">
      <w:pPr>
        <w:pStyle w:val="NormalHanging12a"/>
        <w:rPr>
          <w:szCs w:val="24"/>
        </w:rPr>
      </w:pPr>
      <w:r w:rsidRPr="00C10859">
        <w:t>26.</w:t>
      </w:r>
      <w:r w:rsidRPr="00C10859">
        <w:tab/>
        <w:t>dringt erop aan dat in het juridisch bindend instrument een definitie wordt opgenomen van actieve en zinvolle participatie van relevante belanghebbenden, onder meer door middel van interactieve contacten die te goeder trouw, doorlopend en met passende follow-up plaatsvinden, waarbij mogelijke belemmeringen die betrokkenheid in de weg staan in kaart worden gebracht en worden weggenomen, en waarbij wordt gewaarborgd dat belanghebbenden veilig kunnen deelnemen zonder te moeten vrezen voor represailles;</w:t>
      </w:r>
    </w:p>
    <w:p w:rsidR="00543F4B" w:rsidRPr="00C10859" w:rsidRDefault="00543F4B" w:rsidP="00543F4B">
      <w:pPr>
        <w:pStyle w:val="NormalHanging12a"/>
        <w:rPr>
          <w:szCs w:val="24"/>
        </w:rPr>
      </w:pPr>
      <w:r w:rsidRPr="00C10859">
        <w:t>27.</w:t>
      </w:r>
      <w:r w:rsidRPr="00C10859">
        <w:tab/>
        <w:t xml:space="preserve">benadrukt dat het belangrijk is dat de EU en de lidstaten ervoor zorgen dat het juridisch bindend instrument de verplichting omvat om de rechten en de veiligheid van mensenrechtenverdedigers, milieubeschermers, journalisten, werknemers en inheemse </w:t>
      </w:r>
      <w:r w:rsidRPr="00C10859">
        <w:lastRenderedPageBreak/>
        <w:t>volkeren en andere gemarginaliseerde groepen te beschermen, en dat aandacht voor deze groepen in het hele instrument wordt gemainstreamd; wijst er met name op dat het belangrijk is het beginsel van vrije, voorafgaande en geïnformeerde toestemming van inheemse volkeren in het instrument vast te leggen;</w:t>
      </w:r>
    </w:p>
    <w:p w:rsidR="00543F4B" w:rsidRPr="00C10859" w:rsidRDefault="00543F4B" w:rsidP="00543F4B">
      <w:pPr>
        <w:pStyle w:val="NormalHanging12a"/>
      </w:pPr>
      <w:r w:rsidRPr="00C10859">
        <w:t>28.</w:t>
      </w:r>
      <w:r w:rsidRPr="00C10859">
        <w:tab/>
        <w:t>verzoekt de EU en de lidstaten er mee voor te ijveren om corruptiebestrijding in het juridisch bindend instrument op te nemen, met het VN-Verdrag tegen corruptie als model, waarbij wordt erkend dat corruptie mensenrechtenschendingen faciliteert, bestendigt en institutionaliseert;</w:t>
      </w:r>
    </w:p>
    <w:p w:rsidR="00543F4B" w:rsidRPr="00C10859" w:rsidRDefault="00543F4B" w:rsidP="00543F4B">
      <w:pPr>
        <w:pStyle w:val="NormalHanging12a"/>
      </w:pPr>
      <w:r w:rsidRPr="00C10859">
        <w:t>29.</w:t>
      </w:r>
      <w:r w:rsidRPr="00C10859">
        <w:tab/>
        <w:t>is bezorgd over de risico’s van forumshopping en de effecten ervan op een gelijk speelveld, ook in de context van de EU; dringt aan op instrumenten op EU-niveau om deze risico’s te beperken, met inbegrip van een monitoringmechanisme; benadrukt bijgevolg dat ervoor moet worden gezorgd dat landen robuuste en doeltreffende, maar ook praktische en evenredige mechanismen voor handhaving en toezicht op naleving invoeren; dringt er voorts op aan dat staten die partij zijn verplicht worden om regelmatig en grondig verslag uit te brengen; wijst op de mogelijke rol in dit verband van de processen die zijn vastgesteld voor de ontwikkeling van nationale actieplannen inzake bedrijfsleven en mensenrechten; merkt op dat het EU-mandaat ervoor moet zorgen dat vereisten zodanig worden ontworpen dat zij kunnen worden afgestemd op de huidige EU-wetgeving op dit gebied;</w:t>
      </w:r>
    </w:p>
    <w:p w:rsidR="00543F4B" w:rsidRPr="00C10859" w:rsidRDefault="00543F4B" w:rsidP="00543F4B">
      <w:pPr>
        <w:pStyle w:val="NormalHanging12a"/>
      </w:pPr>
      <w:r w:rsidRPr="00C10859">
        <w:t>30.</w:t>
      </w:r>
      <w:r w:rsidRPr="00C10859">
        <w:tab/>
        <w:t>verwacht van de EU en de lidstaten dat zij in het kader van het juridisch bindend instrument pleiten voor robuuste bepalingen inzake toegang tot de rechter, met inbegrip van toegang tot door de staat ingestelde rechtsmiddelen, in overeenstemming met hun verbintenis om slachtoffers te beschermen, straffeloosheid te bestrijden en de leidende beginselen van de VN te handhaven;</w:t>
      </w:r>
    </w:p>
    <w:p w:rsidR="00543F4B" w:rsidRPr="00C10859" w:rsidRDefault="00543F4B" w:rsidP="00543F4B">
      <w:pPr>
        <w:pStyle w:val="NormalHanging12a"/>
      </w:pPr>
      <w:r w:rsidRPr="00C10859">
        <w:t>31.</w:t>
      </w:r>
      <w:r w:rsidRPr="00C10859">
        <w:tab/>
        <w:t>benadrukt dat in de bepalingen van het juridisch bindend instrument betreffende de rechten van slachtoffers en rechthebbenden uitdrukkelijk moet worden aangegeven hoe het recht op een eerlijke, adequate, snelle, niet-discriminerende, passende en genderbewuste toegang tot de rechter, individuele of collectieve schadeloosstelling en een doeltreffende voorziening in rechte met betrekking tot mensenrechtenschendingen die door bedrijven zijn veroorzaakt of waarbij bedrijven een rol hebben gespeeld, kunnen worden gewaarborgd; merkt op dat dit het recht op collectieve vorderingen, toegang tot rechtsbijstand, het recht om te worden gehoord in alle fasen van de procedure, toegang tot informatie in het bezit van bedrijven zoals gedefinieerd in de desbetreffende rechtsgebieden, en de bescherming tegen represailles en revictimisatie moet omvatten; is van mening dat in het ontwerp moet worden voorzien in mechanismen om de bewijslast voor slachtoffers te verlichten, teneinde het recht van slachtoffers op toegang tot rechtsmiddelen te vergemakkelijken; meent dat de staten die partij zijn in dringende gevallen de vaststelling van voorlopige of voorzorgsmaatregelen moeten toestaan;</w:t>
      </w:r>
    </w:p>
    <w:p w:rsidR="00543F4B" w:rsidRPr="00C10859" w:rsidRDefault="00543F4B" w:rsidP="00543F4B">
      <w:pPr>
        <w:pStyle w:val="NormalHanging12a"/>
      </w:pPr>
      <w:r w:rsidRPr="00C10859">
        <w:t>32.</w:t>
      </w:r>
      <w:r w:rsidRPr="00C10859">
        <w:tab/>
        <w:t xml:space="preserve">dringt erop aan dat het juridisch bindend instrument de staten die partij zijn ertoe verplicht om een alomvattend en adequaat systeem van wettelijke aansprakelijkheid te ontwikkelen dat aan de behoeften van slachtoffers voldoet wat rechtsmiddelen betreft en in verhouding staat tot de ernst van de wanpraktijk, waarbij wordt voorkomen dat onrechtmatige vorderingen worden gefaciliteerd; dringt er voorts op aan dat in het juridisch bindend instrument voorwaarden worden vastgelegd op basis waarvan de aansprakelijkheid van bedrijven voor schade waarvoor zij verantwoordelijk zijn naar </w:t>
      </w:r>
      <w:r w:rsidRPr="00C10859">
        <w:lastRenderedPageBreak/>
        <w:t>behoren kan worden vastgesteld;</w:t>
      </w:r>
    </w:p>
    <w:p w:rsidR="00543F4B" w:rsidRPr="00C10859" w:rsidRDefault="00543F4B" w:rsidP="00543F4B">
      <w:pPr>
        <w:pStyle w:val="NormalHanging12a"/>
      </w:pPr>
      <w:r w:rsidRPr="00C10859">
        <w:t>33.</w:t>
      </w:r>
      <w:r w:rsidRPr="00C10859">
        <w:tab/>
        <w:t>benadrukt dat het juridisch bindend instrument een antwoord moet bieden op de praktische en procedurele hinderpalen waarmee slachtoffers van wanpraktijken van bedrijven te maken krijgen als ze hun recht willen halen, onder meer door aandacht te besteden aan de problemen die rechtbanken ondervinden bij het opeisen van hun bevoegdheid in een diverse reeks situaties en te waarborgen dat verjaringstermijnen toereikend en niet onnodig restrictief zijn; benadrukt dat het belangrijk is om in dit verband de nodige aandacht te besteden aan kwetsbare of gemarginaliseerde personen of groepen;</w:t>
      </w:r>
    </w:p>
    <w:p w:rsidR="00543F4B" w:rsidRPr="00C10859" w:rsidRDefault="00543F4B" w:rsidP="00543F4B">
      <w:pPr>
        <w:pStyle w:val="NormalHanging12a"/>
      </w:pPr>
      <w:r w:rsidRPr="00C10859">
        <w:t>34.</w:t>
      </w:r>
      <w:r w:rsidRPr="00C10859">
        <w:tab/>
        <w:t>is ingenomen met het voorstel voor de oprichting van een internationaal slachtofferfonds in het kader van het juridisch bindend instrument, waarmee juridische en financiële steun kan worden verleend aan slachtoffers die toegang tot rechtsmiddelen wensen te krijgen;</w:t>
      </w:r>
    </w:p>
    <w:p w:rsidR="00543F4B" w:rsidRPr="00C10859" w:rsidRDefault="00543F4B" w:rsidP="00543F4B">
      <w:pPr>
        <w:pStyle w:val="NormalHanging12a"/>
        <w:rPr>
          <w:szCs w:val="24"/>
        </w:rPr>
      </w:pPr>
      <w:r w:rsidRPr="00C10859">
        <w:t>35.</w:t>
      </w:r>
      <w:r w:rsidRPr="00C10859">
        <w:tab/>
        <w:t>benadrukt dat het juridisch bindend instrument de conferentie van de partijen voldoende bevoegdheden moet toekennen om mechanismen te kunnen instellen voor monitoring van de uitvoering van het juridisch bindend instrument en aanbevelingen te kunnen doen voor mogelijke verdere stappen; is van mening dat het in het kader van het juridisch bindend instrument opgerichte comité bevoegd moet zijn voor het ontvangen en behandelen van mededelingen en klachten van personen, gemeenschappen of hun vertegenwoordigers met betrekking tot onder dit instrument vallende mensenrechtenschendingen door bedrijven die in strijd zijn met de bepalingen van het instrument, alsook met betrekking tot schendingen van de in het juridisch bindend instrument vastgestelde rechten door een staat die partij is;</w:t>
      </w:r>
    </w:p>
    <w:p w:rsidR="00543F4B" w:rsidRPr="00C10859" w:rsidRDefault="00543F4B" w:rsidP="00543F4B">
      <w:pPr>
        <w:pStyle w:val="NormalHanging12a"/>
        <w:rPr>
          <w:szCs w:val="24"/>
        </w:rPr>
      </w:pPr>
      <w:r w:rsidRPr="00C10859">
        <w:t>36.</w:t>
      </w:r>
      <w:r w:rsidRPr="00C10859">
        <w:tab/>
        <w:t>verzoekt de Commissie haar financiële en technische steun aan nationale autoriteiten in niet-EU-landen op het gebied van bedrijfsleven en mensenrechten op te voeren, met name door i) het vaststellen en uitvoeren van nationale actieplannen in het kader van de leidende beginselen van de VN, ii) de ontwikkeling van buitengerechtelijke mechanismen, zoals ombudsdiensten of nationale contactpunten, iii) wetgevingsinitiatieven ter bescherming van klokkenluiders en ter regulering van bedrijfsactiviteiten met betrekking tot mensenrechten en milieugerelateerde verplichtingen, en iv) de bevordering van en voorziening in toegankelijke en efficiënte rechtsmiddelen voor slachtoffers; moedigt de Commissie aan meer steun te verlenen aan maatschappelijke organisaties op deze gebieden;</w:t>
      </w:r>
    </w:p>
    <w:p w:rsidR="00543F4B" w:rsidRPr="00C10859" w:rsidRDefault="00543F4B" w:rsidP="00543F4B">
      <w:pPr>
        <w:pStyle w:val="NormalHanging12a"/>
        <w:jc w:val="center"/>
      </w:pPr>
      <w:r w:rsidRPr="00C10859">
        <w:t>°</w:t>
      </w:r>
    </w:p>
    <w:p w:rsidR="00543F4B" w:rsidRPr="00C10859" w:rsidRDefault="00543F4B" w:rsidP="00543F4B">
      <w:pPr>
        <w:pStyle w:val="NormalHanging12a"/>
        <w:jc w:val="center"/>
      </w:pPr>
      <w:r w:rsidRPr="00C10859">
        <w:t>°</w:t>
      </w:r>
      <w:r w:rsidRPr="00C10859">
        <w:tab/>
        <w:t>°</w:t>
      </w:r>
    </w:p>
    <w:p w:rsidR="00C84549" w:rsidRPr="00C10859" w:rsidRDefault="00543F4B" w:rsidP="00C84549">
      <w:pPr>
        <w:pStyle w:val="NormalHanging12a"/>
      </w:pPr>
      <w:r w:rsidRPr="00C10859">
        <w:t>37.</w:t>
      </w:r>
      <w:r w:rsidRPr="00C10859">
        <w:tab/>
        <w:t xml:space="preserve">verzoekt zijn Voorzitter deze resolutie te doen toekomen aan de Raad, de Commissie, de vicevoorzitter van de Commissie/hoge vertegenwoordiger van de Unie voor buitenlandse zaken en veiligheidsbeleid, de voorzitter van de VN-Mensenrechtenraad en de voorzitter van de </w:t>
      </w:r>
      <w:r w:rsidRPr="00C10859">
        <w:rPr>
          <w:rStyle w:val="doceo-font-family-base"/>
        </w:rPr>
        <w:t>intergouvernementele werkgroep voor onbepaalde duur</w:t>
      </w:r>
      <w:r w:rsidRPr="00C10859">
        <w:t>.</w:t>
      </w:r>
    </w:p>
    <w:p w:rsidR="00E365E1" w:rsidRPr="00C10859" w:rsidRDefault="00E365E1" w:rsidP="00F61122"/>
    <w:sectPr w:rsidR="00E365E1" w:rsidRPr="00C10859" w:rsidSect="004E2B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122" w:rsidRPr="004E2B55" w:rsidRDefault="00F61122">
      <w:r w:rsidRPr="004E2B55">
        <w:separator/>
      </w:r>
    </w:p>
  </w:endnote>
  <w:endnote w:type="continuationSeparator" w:id="0">
    <w:p w:rsidR="00F61122" w:rsidRPr="004E2B55" w:rsidRDefault="00F61122">
      <w:r w:rsidRPr="004E2B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122" w:rsidRPr="004E2B55" w:rsidRDefault="00F61122">
      <w:r w:rsidRPr="004E2B55">
        <w:separator/>
      </w:r>
    </w:p>
  </w:footnote>
  <w:footnote w:type="continuationSeparator" w:id="0">
    <w:p w:rsidR="00F61122" w:rsidRPr="004E2B55" w:rsidRDefault="00F61122">
      <w:r w:rsidRPr="004E2B55">
        <w:continuationSeparator/>
      </w:r>
    </w:p>
  </w:footnote>
  <w:footnote w:id="1">
    <w:p w:rsidR="00543F4B" w:rsidRPr="00C10859" w:rsidRDefault="00543F4B" w:rsidP="004E2B55">
      <w:pPr>
        <w:pStyle w:val="FootnoteText"/>
        <w:ind w:left="567" w:hanging="567"/>
        <w:rPr>
          <w:sz w:val="24"/>
          <w:lang w:val="en-GB"/>
        </w:rPr>
      </w:pPr>
      <w:r w:rsidRPr="004E2B55">
        <w:rPr>
          <w:rStyle w:val="FootnoteReference"/>
          <w:sz w:val="24"/>
          <w:lang w:val="nl-NL"/>
        </w:rPr>
        <w:footnoteRef/>
      </w:r>
      <w:r w:rsidR="004E2B55" w:rsidRPr="00C10859">
        <w:rPr>
          <w:sz w:val="24"/>
          <w:lang w:val="en-GB"/>
        </w:rPr>
        <w:t xml:space="preserve"> </w:t>
      </w:r>
      <w:r w:rsidR="004E2B55" w:rsidRPr="00C10859">
        <w:rPr>
          <w:sz w:val="24"/>
          <w:lang w:val="en-GB"/>
        </w:rPr>
        <w:tab/>
      </w:r>
      <w:r w:rsidRPr="00C10859">
        <w:rPr>
          <w:sz w:val="24"/>
          <w:lang w:val="en-GB"/>
        </w:rPr>
        <w:t>Bureau van de Europese Unie voor de grondrechten, “</w:t>
      </w:r>
      <w:hyperlink r:id="rId1" w:history="1">
        <w:r w:rsidRPr="00C10859">
          <w:rPr>
            <w:rStyle w:val="Hyperlink"/>
            <w:sz w:val="24"/>
            <w:lang w:val="en-GB"/>
          </w:rPr>
          <w:t>Improving access to remedy in the area of business and human rights at the EU level</w:t>
        </w:r>
      </w:hyperlink>
      <w:r w:rsidRPr="00C10859">
        <w:rPr>
          <w:sz w:val="24"/>
          <w:lang w:val="en-GB"/>
        </w:rPr>
        <w:t xml:space="preserve">”, 2017. </w:t>
      </w:r>
    </w:p>
  </w:footnote>
  <w:footnote w:id="2">
    <w:p w:rsidR="00543F4B" w:rsidRPr="004E2B55" w:rsidRDefault="00543F4B" w:rsidP="004E2B55">
      <w:pPr>
        <w:pStyle w:val="FootnoteText"/>
        <w:ind w:left="567" w:hanging="567"/>
        <w:rPr>
          <w:sz w:val="24"/>
          <w:lang w:val="nl-NL"/>
        </w:rPr>
      </w:pPr>
      <w:r w:rsidRPr="004E2B55">
        <w:rPr>
          <w:rStyle w:val="FootnoteReference"/>
          <w:sz w:val="24"/>
          <w:lang w:val="nl-NL"/>
        </w:rPr>
        <w:footnoteRef/>
      </w:r>
      <w:r w:rsidR="004E2B55" w:rsidRPr="004E2B55">
        <w:rPr>
          <w:sz w:val="24"/>
          <w:lang w:val="nl-NL"/>
        </w:rPr>
        <w:t xml:space="preserve"> </w:t>
      </w:r>
      <w:r w:rsidR="004E2B55" w:rsidRPr="004E2B55">
        <w:rPr>
          <w:sz w:val="24"/>
          <w:lang w:val="nl-NL"/>
        </w:rPr>
        <w:tab/>
      </w:r>
      <w:r w:rsidRPr="004E2B55">
        <w:rPr>
          <w:sz w:val="24"/>
          <w:lang w:val="nl-NL"/>
        </w:rPr>
        <w:t>Bureau van de Europese Unie voor de grondrechten, “</w:t>
      </w:r>
      <w:hyperlink r:id="rId2" w:history="1">
        <w:r w:rsidRPr="004E2B55">
          <w:rPr>
            <w:rStyle w:val="Hyperlink"/>
            <w:sz w:val="24"/>
            <w:lang w:val="nl-NL"/>
          </w:rPr>
          <w:t xml:space="preserve">Business </w:t>
        </w:r>
        <w:proofErr w:type="spellStart"/>
        <w:r w:rsidRPr="004E2B55">
          <w:rPr>
            <w:rStyle w:val="Hyperlink"/>
            <w:sz w:val="24"/>
            <w:lang w:val="nl-NL"/>
          </w:rPr>
          <w:t>And</w:t>
        </w:r>
        <w:proofErr w:type="spellEnd"/>
        <w:r w:rsidRPr="004E2B55">
          <w:rPr>
            <w:rStyle w:val="Hyperlink"/>
            <w:sz w:val="24"/>
            <w:lang w:val="nl-NL"/>
          </w:rPr>
          <w:t xml:space="preserve"> Human </w:t>
        </w:r>
        <w:proofErr w:type="spellStart"/>
        <w:r w:rsidRPr="004E2B55">
          <w:rPr>
            <w:rStyle w:val="Hyperlink"/>
            <w:sz w:val="24"/>
            <w:lang w:val="nl-NL"/>
          </w:rPr>
          <w:t>Rights</w:t>
        </w:r>
        <w:proofErr w:type="spellEnd"/>
        <w:r w:rsidRPr="004E2B55">
          <w:rPr>
            <w:rStyle w:val="Hyperlink"/>
            <w:sz w:val="24"/>
            <w:lang w:val="nl-NL"/>
          </w:rPr>
          <w:t xml:space="preserve"> – Access </w:t>
        </w:r>
        <w:proofErr w:type="spellStart"/>
        <w:r w:rsidRPr="004E2B55">
          <w:rPr>
            <w:rStyle w:val="Hyperlink"/>
            <w:sz w:val="24"/>
            <w:lang w:val="nl-NL"/>
          </w:rPr>
          <w:t>To</w:t>
        </w:r>
        <w:proofErr w:type="spellEnd"/>
        <w:r w:rsidRPr="004E2B55">
          <w:rPr>
            <w:rStyle w:val="Hyperlink"/>
            <w:sz w:val="24"/>
            <w:lang w:val="nl-NL"/>
          </w:rPr>
          <w:t xml:space="preserve"> </w:t>
        </w:r>
        <w:proofErr w:type="spellStart"/>
        <w:r w:rsidRPr="004E2B55">
          <w:rPr>
            <w:rStyle w:val="Hyperlink"/>
            <w:sz w:val="24"/>
            <w:lang w:val="nl-NL"/>
          </w:rPr>
          <w:t>Remedy</w:t>
        </w:r>
        <w:proofErr w:type="spellEnd"/>
      </w:hyperlink>
      <w:r w:rsidRPr="004E2B55">
        <w:rPr>
          <w:sz w:val="24"/>
          <w:lang w:val="nl-NL"/>
        </w:rPr>
        <w:t xml:space="preserve">”, 2020. </w:t>
      </w:r>
    </w:p>
  </w:footnote>
  <w:footnote w:id="3">
    <w:p w:rsidR="00543F4B" w:rsidRPr="004E2B55" w:rsidRDefault="00543F4B" w:rsidP="004E2B55">
      <w:pPr>
        <w:pStyle w:val="FootnoteText"/>
        <w:ind w:left="567" w:hanging="567"/>
        <w:rPr>
          <w:sz w:val="24"/>
          <w:lang w:val="nl-NL"/>
        </w:rPr>
      </w:pPr>
      <w:r w:rsidRPr="004E2B55">
        <w:rPr>
          <w:rStyle w:val="FootnoteReference"/>
          <w:sz w:val="24"/>
          <w:lang w:val="nl-NL"/>
        </w:rPr>
        <w:footnoteRef/>
      </w:r>
      <w:r w:rsidR="004E2B55" w:rsidRPr="004E2B55">
        <w:rPr>
          <w:sz w:val="24"/>
          <w:lang w:val="nl-NL"/>
        </w:rPr>
        <w:t xml:space="preserve"> </w:t>
      </w:r>
      <w:r w:rsidR="004E2B55" w:rsidRPr="004E2B55">
        <w:rPr>
          <w:sz w:val="24"/>
          <w:lang w:val="nl-NL"/>
        </w:rPr>
        <w:tab/>
      </w:r>
      <w:r w:rsidRPr="004E2B55">
        <w:rPr>
          <w:sz w:val="24"/>
          <w:lang w:val="nl-NL"/>
        </w:rPr>
        <w:t xml:space="preserve">PB C 215 van 19.6.2018, blz. 125. </w:t>
      </w:r>
    </w:p>
  </w:footnote>
  <w:footnote w:id="4">
    <w:p w:rsidR="00543F4B" w:rsidRPr="004E2B55" w:rsidRDefault="00543F4B" w:rsidP="004E2B55">
      <w:pPr>
        <w:pStyle w:val="FootnoteText"/>
        <w:ind w:left="567" w:hanging="567"/>
        <w:rPr>
          <w:sz w:val="24"/>
          <w:lang w:val="nl-NL"/>
        </w:rPr>
      </w:pPr>
      <w:r w:rsidRPr="004E2B55">
        <w:rPr>
          <w:rStyle w:val="FootnoteReference"/>
          <w:sz w:val="24"/>
          <w:lang w:val="nl-NL"/>
        </w:rPr>
        <w:footnoteRef/>
      </w:r>
      <w:r w:rsidR="004E2B55" w:rsidRPr="004E2B55">
        <w:rPr>
          <w:sz w:val="24"/>
          <w:lang w:val="nl-NL"/>
        </w:rPr>
        <w:t xml:space="preserve"> </w:t>
      </w:r>
      <w:r w:rsidR="004E2B55" w:rsidRPr="004E2B55">
        <w:rPr>
          <w:sz w:val="24"/>
          <w:lang w:val="nl-NL"/>
        </w:rPr>
        <w:tab/>
      </w:r>
      <w:r w:rsidRPr="004E2B55">
        <w:rPr>
          <w:sz w:val="24"/>
          <w:lang w:val="nl-NL"/>
        </w:rPr>
        <w:t>PB C 11 van 13.1.2020, blz. 36.</w:t>
      </w:r>
    </w:p>
  </w:footnote>
  <w:footnote w:id="5">
    <w:p w:rsidR="00543F4B" w:rsidRPr="004E2B55" w:rsidRDefault="00543F4B" w:rsidP="004E2B55">
      <w:pPr>
        <w:pStyle w:val="FootnoteText"/>
        <w:ind w:left="567" w:hanging="567"/>
        <w:rPr>
          <w:sz w:val="24"/>
          <w:lang w:val="nl-NL"/>
        </w:rPr>
      </w:pPr>
      <w:r w:rsidRPr="004E2B55">
        <w:rPr>
          <w:rStyle w:val="FootnoteReference"/>
          <w:sz w:val="24"/>
          <w:lang w:val="nl-NL"/>
        </w:rPr>
        <w:footnoteRef/>
      </w:r>
      <w:r w:rsidR="004E2B55" w:rsidRPr="004E2B55">
        <w:rPr>
          <w:sz w:val="24"/>
          <w:lang w:val="nl-NL"/>
        </w:rPr>
        <w:t xml:space="preserve"> </w:t>
      </w:r>
      <w:r w:rsidR="004E2B55" w:rsidRPr="004E2B55">
        <w:rPr>
          <w:sz w:val="24"/>
          <w:lang w:val="nl-NL"/>
        </w:rPr>
        <w:tab/>
      </w:r>
      <w:r w:rsidRPr="004E2B55">
        <w:rPr>
          <w:sz w:val="24"/>
          <w:lang w:val="nl-NL"/>
        </w:rPr>
        <w:t>PB C 214 van 16.6.2023, blz.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2B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NL"/>
    <w:docVar w:name="dvnumam" w:val="0"/>
    <w:docVar w:name="dvpe" w:val="751.807"/>
    <w:docVar w:name="dvrapporteur" w:val="Rapporteur: "/>
    <w:docVar w:name="dvtitre" w:val="Resolutie van het Europees Parlement van xx januari 2024 over de vaststelling van het standpunt van de EU over het bindend VN-instrument inzake bedrijfsleven en mensenrechten, en met name over de toegang tot rechtsmiddelen en de bescherming van slachtoffers(2023/2108(INI))"/>
  </w:docVars>
  <w:rsids>
    <w:rsidRoot w:val="00F6112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D2B"/>
    <w:rsid w:val="00361C00"/>
    <w:rsid w:val="00395FA1"/>
    <w:rsid w:val="003E15D4"/>
    <w:rsid w:val="00411CCE"/>
    <w:rsid w:val="0041666E"/>
    <w:rsid w:val="00421060"/>
    <w:rsid w:val="00471C19"/>
    <w:rsid w:val="004867E3"/>
    <w:rsid w:val="00494A28"/>
    <w:rsid w:val="004C0004"/>
    <w:rsid w:val="004C5D52"/>
    <w:rsid w:val="004E2B55"/>
    <w:rsid w:val="0050519A"/>
    <w:rsid w:val="005072A1"/>
    <w:rsid w:val="00514517"/>
    <w:rsid w:val="00543F4B"/>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859"/>
    <w:rsid w:val="00C23CD4"/>
    <w:rsid w:val="00C61C0C"/>
    <w:rsid w:val="00C8454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250"/>
    <w:rsid w:val="00F5134D"/>
    <w:rsid w:val="00F6112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2CD88"/>
  <w15:chartTrackingRefBased/>
  <w15:docId w15:val="{66B2C7AA-DA46-43ED-8022-F5A024DD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3F4B"/>
    <w:pPr>
      <w:spacing w:after="240"/>
      <w:ind w:left="567" w:hanging="567"/>
    </w:pPr>
  </w:style>
  <w:style w:type="paragraph" w:customStyle="1" w:styleId="EPComma">
    <w:name w:val="EPComma"/>
    <w:basedOn w:val="Normal"/>
    <w:rsid w:val="00543F4B"/>
    <w:pPr>
      <w:spacing w:before="480" w:after="240"/>
    </w:pPr>
  </w:style>
  <w:style w:type="character" w:styleId="Hyperlink">
    <w:name w:val="Hyperlink"/>
    <w:basedOn w:val="DefaultParagraphFont"/>
    <w:uiPriority w:val="99"/>
    <w:unhideWhenUsed/>
    <w:rsid w:val="00543F4B"/>
    <w:rPr>
      <w:color w:val="0563C1" w:themeColor="hyperlink"/>
      <w:u w:val="single"/>
    </w:rPr>
  </w:style>
  <w:style w:type="character" w:customStyle="1" w:styleId="doceo-font-family-base">
    <w:name w:val="doceo-font-family-base"/>
    <w:basedOn w:val="DefaultParagraphFont"/>
    <w:rsid w:val="00543F4B"/>
  </w:style>
  <w:style w:type="character" w:customStyle="1" w:styleId="NormalHanging12aChar">
    <w:name w:val="NormalHanging12a Char"/>
    <w:basedOn w:val="DefaultParagraphFont"/>
    <w:link w:val="NormalHanging12a"/>
    <w:rsid w:val="00543F4B"/>
    <w:rPr>
      <w:sz w:val="24"/>
      <w:lang w:val="nl-NL"/>
    </w:rPr>
  </w:style>
  <w:style w:type="paragraph" w:styleId="BalloonText">
    <w:name w:val="Balloon Text"/>
    <w:basedOn w:val="Normal"/>
    <w:link w:val="BalloonTextChar"/>
    <w:rsid w:val="00F15250"/>
    <w:rPr>
      <w:rFonts w:ascii="Segoe UI" w:hAnsi="Segoe UI" w:cs="Segoe UI"/>
      <w:sz w:val="18"/>
      <w:szCs w:val="18"/>
    </w:rPr>
  </w:style>
  <w:style w:type="character" w:customStyle="1" w:styleId="BalloonTextChar">
    <w:name w:val="Balloon Text Char"/>
    <w:basedOn w:val="DefaultParagraphFont"/>
    <w:link w:val="BalloonText"/>
    <w:rsid w:val="00F1525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3221A-800B-41BF-BE39-10CD6EE30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4906</Words>
  <Characters>29980</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2024-01-18T12:50:00Z</dcterms:created>
  <dcterms:modified xsi:type="dcterms:W3CDTF">2024-01-18T12:50:00Z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A9-0421/2023</vt:lpwstr>
  </property>
  <property fmtid="{D5CDD505-2E9C-101B-9397-08002B2CF9AE}" pid="4" name="&lt;Type&gt;">
    <vt:lpwstr>RR</vt:lpwstr>
  </property>
</Properties>
</file>