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5BF" w:rsidTr="0010095E">
        <w:trPr>
          <w:trHeight w:hRule="exact" w:val="1418"/>
        </w:trPr>
        <w:tc>
          <w:tcPr>
            <w:tcW w:w="6804" w:type="dxa"/>
            <w:shd w:val="clear" w:color="auto" w:fill="auto"/>
            <w:vAlign w:val="center"/>
          </w:tcPr>
          <w:p w:rsidR="00751A4A" w:rsidRPr="00E855BF" w:rsidRDefault="001955CD" w:rsidP="0010095E">
            <w:pPr>
              <w:pStyle w:val="EPName"/>
            </w:pPr>
            <w:r w:rsidRPr="00E855BF">
              <w:t>Europaparlamentet</w:t>
            </w:r>
          </w:p>
          <w:p w:rsidR="00751A4A" w:rsidRPr="00E855BF" w:rsidRDefault="00817416" w:rsidP="00756632">
            <w:pPr>
              <w:pStyle w:val="EPTerm"/>
              <w:rPr>
                <w:rStyle w:val="HideTWBExt"/>
                <w:noProof w:val="0"/>
                <w:vanish w:val="0"/>
                <w:color w:val="auto"/>
              </w:rPr>
            </w:pPr>
            <w:r w:rsidRPr="00E855BF">
              <w:t>2019-2024</w:t>
            </w:r>
          </w:p>
        </w:tc>
        <w:tc>
          <w:tcPr>
            <w:tcW w:w="2268" w:type="dxa"/>
            <w:shd w:val="clear" w:color="auto" w:fill="auto"/>
          </w:tcPr>
          <w:p w:rsidR="00751A4A" w:rsidRPr="00E855BF" w:rsidRDefault="00187494" w:rsidP="0010095E">
            <w:pPr>
              <w:pStyle w:val="EPLogo"/>
            </w:pPr>
            <w:r w:rsidRPr="00E855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55BF" w:rsidRDefault="00D058B8" w:rsidP="004C5D52">
      <w:pPr>
        <w:pStyle w:val="LineTop"/>
      </w:pPr>
    </w:p>
    <w:p w:rsidR="00680577" w:rsidRPr="00E855BF" w:rsidRDefault="001955CD" w:rsidP="00680577">
      <w:pPr>
        <w:pStyle w:val="EPBodyTA1"/>
      </w:pPr>
      <w:r w:rsidRPr="00E855BF">
        <w:t>ANTAGNA TEXTER</w:t>
      </w:r>
    </w:p>
    <w:p w:rsidR="00D058B8" w:rsidRPr="00E855BF" w:rsidRDefault="00D058B8" w:rsidP="00D058B8">
      <w:pPr>
        <w:pStyle w:val="LineBottom"/>
      </w:pPr>
    </w:p>
    <w:p w:rsidR="001955CD" w:rsidRPr="00E855BF" w:rsidRDefault="001955CD" w:rsidP="001955CD">
      <w:pPr>
        <w:pStyle w:val="ATHeading1"/>
      </w:pPr>
      <w:bookmarkStart w:id="0" w:name="TANumber"/>
      <w:r w:rsidRPr="00E855BF">
        <w:t>P9_TA(2024)00</w:t>
      </w:r>
      <w:r w:rsidR="003572B9">
        <w:t>42</w:t>
      </w:r>
      <w:bookmarkEnd w:id="0"/>
    </w:p>
    <w:p w:rsidR="001955CD" w:rsidRPr="00E855BF" w:rsidRDefault="001955CD" w:rsidP="001955CD">
      <w:pPr>
        <w:pStyle w:val="ATHeading2"/>
      </w:pPr>
      <w:bookmarkStart w:id="1" w:name="title"/>
      <w:r w:rsidRPr="00E855BF">
        <w:t>Utarbetande av EU:s ståndpunkt om FN:s bindande instrument för företag och mänskliga rättigheter, särskilt för tillgång till rättsmedel och skydd av offer</w:t>
      </w:r>
      <w:bookmarkEnd w:id="1"/>
    </w:p>
    <w:p w:rsidR="001955CD" w:rsidRPr="00E855BF" w:rsidRDefault="001955CD" w:rsidP="001955CD">
      <w:pPr>
        <w:rPr>
          <w:i/>
          <w:vanish/>
        </w:rPr>
      </w:pPr>
      <w:r w:rsidRPr="00E855BF">
        <w:rPr>
          <w:i/>
        </w:rPr>
        <w:fldChar w:fldCharType="begin"/>
      </w:r>
      <w:r w:rsidRPr="00E855BF">
        <w:rPr>
          <w:i/>
        </w:rPr>
        <w:instrText xml:space="preserve"> TC"(</w:instrText>
      </w:r>
      <w:bookmarkStart w:id="2" w:name="DocNumber"/>
      <w:r w:rsidRPr="00E855BF">
        <w:rPr>
          <w:i/>
        </w:rPr>
        <w:instrText>A9-0421/2023</w:instrText>
      </w:r>
      <w:bookmarkEnd w:id="2"/>
      <w:r w:rsidRPr="00E855BF">
        <w:rPr>
          <w:i/>
        </w:rPr>
        <w:instrText xml:space="preserve"> - Föredragande: Heidi Hautala)"\l3 \n&gt; \* MERGEFORMAT </w:instrText>
      </w:r>
      <w:r w:rsidRPr="00E855BF">
        <w:rPr>
          <w:i/>
        </w:rPr>
        <w:fldChar w:fldCharType="end"/>
      </w:r>
    </w:p>
    <w:p w:rsidR="001955CD" w:rsidRPr="00E855BF" w:rsidRDefault="001955CD" w:rsidP="001955CD">
      <w:pPr>
        <w:rPr>
          <w:vanish/>
        </w:rPr>
      </w:pPr>
      <w:bookmarkStart w:id="3" w:name="Commission"/>
      <w:r w:rsidRPr="00E855BF">
        <w:rPr>
          <w:vanish/>
        </w:rPr>
        <w:t>Utskottet för utrikesfrågor</w:t>
      </w:r>
      <w:bookmarkEnd w:id="3"/>
    </w:p>
    <w:p w:rsidR="001955CD" w:rsidRPr="00E855BF" w:rsidRDefault="001955CD" w:rsidP="001955CD">
      <w:pPr>
        <w:rPr>
          <w:vanish/>
        </w:rPr>
      </w:pPr>
      <w:bookmarkStart w:id="4" w:name="PE"/>
      <w:r w:rsidRPr="00E855BF">
        <w:rPr>
          <w:vanish/>
        </w:rPr>
        <w:t>PE751.807</w:t>
      </w:r>
      <w:bookmarkEnd w:id="4"/>
    </w:p>
    <w:p w:rsidR="001955CD" w:rsidRPr="00E855BF" w:rsidRDefault="001955CD" w:rsidP="001955CD">
      <w:pPr>
        <w:pStyle w:val="ATHeading3"/>
      </w:pPr>
      <w:bookmarkStart w:id="5" w:name="Sujet"/>
      <w:r w:rsidRPr="00E855BF">
        <w:t>Europap</w:t>
      </w:r>
      <w:r w:rsidR="00DE5468">
        <w:t>arla</w:t>
      </w:r>
      <w:bookmarkStart w:id="6" w:name="_GoBack"/>
      <w:bookmarkEnd w:id="6"/>
      <w:r w:rsidR="00DE5468">
        <w:t>mentets resolution av den 18</w:t>
      </w:r>
      <w:r w:rsidRPr="00E855BF">
        <w:t xml:space="preserve"> </w:t>
      </w:r>
      <w:r w:rsidR="00DE1479">
        <w:t>januari</w:t>
      </w:r>
      <w:r w:rsidRPr="00E855BF">
        <w:t xml:space="preserve"> 2024 om utarbetande av EU:s ståndpunkt om FN:s bindande instrument för företag och mänskliga rättigheter, särskilt för tillgång till rättsmedel och skydd av offer</w:t>
      </w:r>
      <w:bookmarkEnd w:id="5"/>
      <w:r w:rsidRPr="00E855BF">
        <w:t xml:space="preserve"> </w:t>
      </w:r>
      <w:bookmarkStart w:id="7" w:name="References"/>
      <w:r w:rsidRPr="00E855BF">
        <w:t>(2023/2108(INI))</w:t>
      </w:r>
      <w:bookmarkEnd w:id="7"/>
    </w:p>
    <w:p w:rsidR="00D076A8" w:rsidRPr="00E855BF" w:rsidRDefault="00D076A8" w:rsidP="00D076A8">
      <w:pPr>
        <w:pStyle w:val="EPComma"/>
        <w:widowControl/>
      </w:pPr>
      <w:bookmarkStart w:id="8" w:name="TextBodyBegin"/>
      <w:bookmarkEnd w:id="8"/>
      <w:r w:rsidRPr="00E855BF">
        <w:rPr>
          <w:i/>
        </w:rPr>
        <w:t>Europaparlamentet utfärdar denna resolution</w:t>
      </w:r>
    </w:p>
    <w:p w:rsidR="00D076A8" w:rsidRPr="00E855BF" w:rsidRDefault="00D076A8" w:rsidP="00D076A8">
      <w:pPr>
        <w:pStyle w:val="NormalHanging12a"/>
      </w:pPr>
      <w:r w:rsidRPr="00E855BF">
        <w:t>–</w:t>
      </w:r>
      <w:r w:rsidRPr="00E855BF">
        <w:tab/>
        <w:t>med beaktande av artiklarna 2, 3, 8, 21 och 23 i fördraget om Europeiska unionen (EU</w:t>
      </w:r>
      <w:r w:rsidRPr="00E855BF">
        <w:noBreakHyphen/>
        <w:t>fördraget),</w:t>
      </w:r>
    </w:p>
    <w:p w:rsidR="00D076A8" w:rsidRPr="00E855BF" w:rsidRDefault="00D076A8" w:rsidP="00D076A8">
      <w:pPr>
        <w:spacing w:after="240"/>
        <w:ind w:left="567" w:hanging="567"/>
        <w:rPr>
          <w:szCs w:val="24"/>
        </w:rPr>
      </w:pPr>
      <w:r w:rsidRPr="00E855BF">
        <w:t>–</w:t>
      </w:r>
      <w:r w:rsidRPr="00E855BF">
        <w:tab/>
        <w:t>med beaktande av Europeiska unionens stadga om de grundläggande rättigheterna,</w:t>
      </w:r>
    </w:p>
    <w:p w:rsidR="00D076A8" w:rsidRPr="00E855BF" w:rsidRDefault="00D076A8" w:rsidP="00D076A8">
      <w:pPr>
        <w:pStyle w:val="NormalHanging12a"/>
      </w:pPr>
      <w:r w:rsidRPr="00E855BF">
        <w:t>–</w:t>
      </w:r>
      <w:r w:rsidRPr="00E855BF">
        <w:tab/>
        <w:t>med beaktande av FN:s vägledande principer för företag och mänskliga rättigheter, som antogs genom FN:s människorättsråds resolution 17/4 av den 16 juni 2011,</w:t>
      </w:r>
    </w:p>
    <w:p w:rsidR="00D076A8" w:rsidRPr="00E855BF" w:rsidRDefault="00D076A8" w:rsidP="00D076A8">
      <w:pPr>
        <w:pStyle w:val="NormalHanging12a"/>
      </w:pPr>
      <w:r w:rsidRPr="00E855BF">
        <w:t>–</w:t>
      </w:r>
      <w:r w:rsidRPr="00E855BF">
        <w:tab/>
        <w:t xml:space="preserve">med beaktande av FN:s säkerhetsråds resolution 26/9 av den 26 juni 2014, </w:t>
      </w:r>
    </w:p>
    <w:p w:rsidR="00D076A8" w:rsidRPr="00E855BF" w:rsidRDefault="00D076A8" w:rsidP="00D076A8">
      <w:pPr>
        <w:spacing w:after="240"/>
        <w:ind w:left="567" w:hanging="567"/>
        <w:rPr>
          <w:szCs w:val="24"/>
        </w:rPr>
      </w:pPr>
      <w:r w:rsidRPr="00E855BF">
        <w:t>–</w:t>
      </w:r>
      <w:r w:rsidRPr="00E855BF">
        <w:tab/>
        <w:t>med beaktande av det uppdaterade utkast till rättsligt bindande instrument som ordföranden/rapportören för den öppna mellanstatliga arbetsgruppen skickade ut den 31 juli 2023 samt av det reviderade tredje utkastet från det åttonde sammanträdet,</w:t>
      </w:r>
    </w:p>
    <w:p w:rsidR="00D076A8" w:rsidRPr="00E855BF" w:rsidRDefault="00D076A8" w:rsidP="00D076A8">
      <w:pPr>
        <w:spacing w:after="240"/>
        <w:ind w:left="567" w:hanging="567"/>
        <w:rPr>
          <w:szCs w:val="24"/>
        </w:rPr>
      </w:pPr>
      <w:r w:rsidRPr="00E855BF">
        <w:t>–</w:t>
      </w:r>
      <w:r w:rsidRPr="00E855BF">
        <w:tab/>
        <w:t>med beaktande av FN:s konvention mot korruption,</w:t>
      </w:r>
    </w:p>
    <w:p w:rsidR="00D076A8" w:rsidRPr="00E855BF" w:rsidRDefault="00D076A8" w:rsidP="00D076A8">
      <w:pPr>
        <w:pStyle w:val="NormalHanging12a"/>
      </w:pPr>
      <w:r w:rsidRPr="00E855BF">
        <w:t>–</w:t>
      </w:r>
      <w:r w:rsidRPr="00E855BF">
        <w:tab/>
        <w:t>med beaktande av FN:s generalförsamlings resolution 76/300 av den 28 juli 2022 om tillgång till en ren, hälsosam och hållbar miljö som en mänsklig rättighet,</w:t>
      </w:r>
    </w:p>
    <w:p w:rsidR="00D076A8" w:rsidRPr="00E855BF" w:rsidRDefault="00D076A8" w:rsidP="00D076A8">
      <w:pPr>
        <w:spacing w:after="240"/>
        <w:ind w:left="567" w:hanging="567"/>
      </w:pPr>
      <w:r w:rsidRPr="00E855BF">
        <w:t>–</w:t>
      </w:r>
      <w:r w:rsidRPr="00E855BF">
        <w:tab/>
        <w:t>med beaktande av Organisationen för ekonomiskt samarbete och utvecklings (OECD) riktlinjer för multinationella företag om ansvarsfullt företagande,</w:t>
      </w:r>
    </w:p>
    <w:p w:rsidR="00D076A8" w:rsidRPr="00E855BF" w:rsidRDefault="00D076A8" w:rsidP="00D076A8">
      <w:pPr>
        <w:pStyle w:val="NormalHanging12a"/>
      </w:pPr>
      <w:r w:rsidRPr="00E855BF">
        <w:t>–</w:t>
      </w:r>
      <w:r w:rsidRPr="00E855BF">
        <w:tab/>
        <w:t>med beaktande av resolutionen av den 7 mars 2023 om företag och mänskliga rättigheter i Afrika från Afrikanska kommissionen för mänskliga och folkens rättigheter,</w:t>
      </w:r>
    </w:p>
    <w:p w:rsidR="00D076A8" w:rsidRPr="00E855BF" w:rsidRDefault="00D076A8" w:rsidP="00D076A8">
      <w:pPr>
        <w:pStyle w:val="NormalHanging12a"/>
      </w:pPr>
      <w:r w:rsidRPr="00E855BF">
        <w:t>–</w:t>
      </w:r>
      <w:r w:rsidRPr="00E855BF">
        <w:tab/>
        <w:t xml:space="preserve">med beaktande av yttrandet från Europeiska unionens byrå för grundläggande rättigheter (FRA) av den 10 april 2017 </w:t>
      </w:r>
      <w:r w:rsidRPr="00E855BF">
        <w:rPr>
          <w:i/>
          <w:iCs/>
        </w:rPr>
        <w:t xml:space="preserve">Improving access to remedy in the area of </w:t>
      </w:r>
      <w:r w:rsidRPr="00E855BF">
        <w:rPr>
          <w:i/>
          <w:iCs/>
        </w:rPr>
        <w:lastRenderedPageBreak/>
        <w:t>business and human rights at EU level</w:t>
      </w:r>
      <w:r w:rsidRPr="00E855BF">
        <w:rPr>
          <w:rStyle w:val="FootnoteReference"/>
        </w:rPr>
        <w:footnoteReference w:id="1"/>
      </w:r>
      <w:r w:rsidRPr="00E855BF">
        <w:t xml:space="preserve"> och dess rapport av den 6 oktober 2020 </w:t>
      </w:r>
      <w:r w:rsidRPr="00E855BF">
        <w:rPr>
          <w:i/>
          <w:iCs/>
        </w:rPr>
        <w:t>Business and Human Rights – Access to Remedy</w:t>
      </w:r>
      <w:r w:rsidRPr="00E855BF">
        <w:rPr>
          <w:rStyle w:val="FootnoteReference"/>
        </w:rPr>
        <w:footnoteReference w:id="2"/>
      </w:r>
      <w:r w:rsidRPr="00E855BF">
        <w:t xml:space="preserve">, </w:t>
      </w:r>
    </w:p>
    <w:p w:rsidR="00D076A8" w:rsidRPr="00E855BF" w:rsidRDefault="00D076A8" w:rsidP="00D076A8">
      <w:pPr>
        <w:pStyle w:val="NormalHanging12a"/>
      </w:pPr>
      <w:r w:rsidRPr="00E855BF">
        <w:t>–</w:t>
      </w:r>
      <w:r w:rsidRPr="00E855BF">
        <w:tab/>
        <w:t>med beaktande av rådets slutsatser av den 20 februari 2023 om EU:s prioriteringar i FN:s forum för mänskliga rättigheter 2023,</w:t>
      </w:r>
    </w:p>
    <w:p w:rsidR="00D076A8" w:rsidRPr="00E855BF" w:rsidRDefault="00D076A8" w:rsidP="00D076A8">
      <w:pPr>
        <w:pStyle w:val="NormalHanging12a"/>
      </w:pPr>
      <w:r w:rsidRPr="00E855BF">
        <w:t>–</w:t>
      </w:r>
      <w:r w:rsidRPr="00E855BF">
        <w:tab/>
        <w:t>med beaktande av sin resolution av den 25 oktober 2016 om företagens ansvar för allvarliga kränkningar av de mänskliga rättigheterna i tredjeländer</w:t>
      </w:r>
      <w:r w:rsidRPr="00E855BF">
        <w:rPr>
          <w:rStyle w:val="FootnoteReference"/>
        </w:rPr>
        <w:footnoteReference w:id="3"/>
      </w:r>
      <w:r w:rsidRPr="00E855BF">
        <w:t xml:space="preserve">, </w:t>
      </w:r>
    </w:p>
    <w:p w:rsidR="00D076A8" w:rsidRPr="00E855BF" w:rsidRDefault="00D076A8" w:rsidP="00D076A8">
      <w:pPr>
        <w:pStyle w:val="NormalHanging12a"/>
      </w:pPr>
      <w:r w:rsidRPr="00E855BF">
        <w:t>–</w:t>
      </w:r>
      <w:r w:rsidRPr="00E855BF">
        <w:tab/>
        <w:t>med beaktande av sin resolution av den 4 oktober 2018 om EU:s bidrag till ett bindande FN-instrument för transnationella bolag och andra affärsrörelser med transnationella drag med avseende på mänskliga rättigheter</w:t>
      </w:r>
      <w:r w:rsidRPr="00E855BF">
        <w:rPr>
          <w:rStyle w:val="FootnoteReference"/>
        </w:rPr>
        <w:footnoteReference w:id="4"/>
      </w:r>
      <w:r w:rsidRPr="00E855BF">
        <w:t xml:space="preserve">, </w:t>
      </w:r>
    </w:p>
    <w:p w:rsidR="00D076A8" w:rsidRPr="00E855BF" w:rsidRDefault="00D076A8" w:rsidP="00D076A8">
      <w:pPr>
        <w:pStyle w:val="NormalHanging12a"/>
      </w:pPr>
      <w:r w:rsidRPr="00E855BF">
        <w:t>–</w:t>
      </w:r>
      <w:r w:rsidRPr="00E855BF">
        <w:tab/>
        <w:t>med beaktande av sin resolution av den 18 januari 2023 om mänskliga rättigheter och demokrati i världen och Europeiska unionens politik på området – årsrapport 2022</w:t>
      </w:r>
      <w:r w:rsidRPr="00E855BF">
        <w:rPr>
          <w:rStyle w:val="FootnoteReference"/>
        </w:rPr>
        <w:footnoteReference w:id="5"/>
      </w:r>
      <w:r w:rsidRPr="00E855BF">
        <w:t>, och sina tidigare resolutioner om föregående årsrapporter,</w:t>
      </w:r>
    </w:p>
    <w:p w:rsidR="00D076A8" w:rsidRPr="00E855BF" w:rsidRDefault="00D076A8" w:rsidP="00D076A8">
      <w:pPr>
        <w:pStyle w:val="NormalHanging12a"/>
      </w:pPr>
      <w:r w:rsidRPr="00E855BF">
        <w:t>–</w:t>
      </w:r>
      <w:r w:rsidRPr="00E855BF">
        <w:tab/>
        <w:t>med beaktande av artikel 54 i arbetsordningen,</w:t>
      </w:r>
    </w:p>
    <w:p w:rsidR="00D076A8" w:rsidRPr="00E855BF" w:rsidRDefault="00D076A8" w:rsidP="00D076A8">
      <w:pPr>
        <w:pStyle w:val="NormalHanging12a"/>
      </w:pPr>
      <w:r w:rsidRPr="00E855BF">
        <w:t>–</w:t>
      </w:r>
      <w:r w:rsidRPr="00E855BF">
        <w:tab/>
        <w:t>med beaktande av yttrandet från utskottet för utveckling,</w:t>
      </w:r>
    </w:p>
    <w:p w:rsidR="00D076A8" w:rsidRPr="00E855BF" w:rsidRDefault="00D076A8" w:rsidP="00D076A8">
      <w:pPr>
        <w:pStyle w:val="NormalHanging12a"/>
      </w:pPr>
      <w:r w:rsidRPr="00E855BF">
        <w:t>–</w:t>
      </w:r>
      <w:r w:rsidRPr="00E855BF">
        <w:tab/>
        <w:t>med beaktande av betänkandet från utskottet för utrikes frågor (A9-0421/2023), och av följande skäl:</w:t>
      </w:r>
    </w:p>
    <w:p w:rsidR="00D076A8" w:rsidRPr="00E855BF" w:rsidRDefault="00D076A8" w:rsidP="00D076A8">
      <w:pPr>
        <w:pStyle w:val="NormalHanging12a"/>
      </w:pPr>
      <w:r w:rsidRPr="00E855BF">
        <w:t>A.</w:t>
      </w:r>
      <w:r w:rsidRPr="00E855BF">
        <w:tab/>
        <w:t>EU bygger på värdena respekt för människans värdighet, frihet, demokrati, jämlikhet, rättsstaten och respekt för de mänskliga rättigheterna, enligt vad som fastställs i artikel 2 i EU-fördraget. EU:s agerande på den internationella arenan måste utgå från dessa principer och vara förenligt med principen om en konsekvent politik för utveckling i enlighet med artikel 208 i Lissabonfördraget.</w:t>
      </w:r>
    </w:p>
    <w:p w:rsidR="00D076A8" w:rsidRPr="00E855BF" w:rsidRDefault="00D076A8" w:rsidP="00D076A8">
      <w:pPr>
        <w:pStyle w:val="NormalHanging12a"/>
      </w:pPr>
      <w:r w:rsidRPr="00E855BF">
        <w:t>B.</w:t>
      </w:r>
      <w:r w:rsidRPr="00E855BF">
        <w:tab/>
        <w:t>Genomförandet av Agenda 2030 för hållbar utveckling och principen att ”ingen får lämnas utanför” innebär att ekonomisk utveckling går hand i hand med social rättvisa, god samhällsstyrning och respekt för mänskliga rättigheter.</w:t>
      </w:r>
    </w:p>
    <w:p w:rsidR="00D076A8" w:rsidRPr="00E855BF" w:rsidRDefault="00D076A8" w:rsidP="00D076A8">
      <w:pPr>
        <w:pStyle w:val="NormalHanging12a"/>
      </w:pPr>
      <w:r w:rsidRPr="00E855BF">
        <w:t>C.</w:t>
      </w:r>
      <w:r w:rsidRPr="00E855BF">
        <w:tab/>
        <w:t xml:space="preserve">Företag är viktiga aktörer inom ekonomisk globalisering, finansiella tjänster och internationell handel, och de är skyldiga att följa alla gällande lagar och internationella fördrag och respektera de mänskliga rättigheterna. Företag kan orsaka, bidra till eller vara direkt kopplade till negativa effekter för de mänskliga rättigheterna, såsom </w:t>
      </w:r>
      <w:r w:rsidRPr="00E855BF">
        <w:rPr>
          <w:rStyle w:val="doceo-font-family-base"/>
        </w:rPr>
        <w:t>modernt slaveri, människohandel, tvångsarbete, barnarbete och andra former av arbetskraftsexploatering, tvångsförflyttning, fattigdomslöner och kränkningar av fackföreningsrättigheter</w:t>
      </w:r>
      <w:r w:rsidRPr="00E855BF">
        <w:t>, samt negativa konsekvenser för miljön, däribland föroreningar, klimatförändringar, miljöförstöring och förlust av biologisk mångfald.</w:t>
      </w:r>
    </w:p>
    <w:p w:rsidR="00D076A8" w:rsidRPr="00E855BF" w:rsidRDefault="00D076A8" w:rsidP="00D076A8">
      <w:pPr>
        <w:pStyle w:val="NormalHanging12a"/>
      </w:pPr>
      <w:r w:rsidRPr="00E855BF">
        <w:t>D.</w:t>
      </w:r>
      <w:r w:rsidRPr="00E855BF">
        <w:tab/>
        <w:t xml:space="preserve">Företag kan bidra till hållbar utveckling genom skapande av arbetstillfällen och </w:t>
      </w:r>
      <w:r w:rsidRPr="00E855BF">
        <w:lastRenderedPageBreak/>
        <w:t>ekonomisk utveckling och kan därför spela en viktig roll för att främja mänskliga rättigheter och miljönormer samt för att förebygga negativa konsekvenser för mänskliga rättigheter och miljön.</w:t>
      </w:r>
    </w:p>
    <w:p w:rsidR="00D076A8" w:rsidRPr="00E855BF" w:rsidRDefault="00D076A8" w:rsidP="00D076A8">
      <w:pPr>
        <w:pStyle w:val="NormalHanging12a"/>
        <w:rPr>
          <w:rStyle w:val="doceo-font-family-base"/>
        </w:rPr>
      </w:pPr>
      <w:r w:rsidRPr="00E855BF">
        <w:t>E.</w:t>
      </w:r>
      <w:r w:rsidRPr="00E855BF">
        <w:tab/>
      </w:r>
      <w:r w:rsidRPr="00E855BF">
        <w:rPr>
          <w:rStyle w:val="doceo-font-family-base"/>
        </w:rPr>
        <w:t>Företagens och investerarnas rättigheter bör motsvaras av bindande och verkställbara skyldigheter när det gäller efterlevnad av mänskliga rättigheter, arbetsrätt och miljölagstiftning.</w:t>
      </w:r>
    </w:p>
    <w:p w:rsidR="00D076A8" w:rsidRPr="00E855BF" w:rsidRDefault="00D076A8" w:rsidP="00D076A8">
      <w:pPr>
        <w:pStyle w:val="NormalHanging12a"/>
        <w:rPr>
          <w:rStyle w:val="doceo-font-family-base"/>
          <w:szCs w:val="24"/>
        </w:rPr>
      </w:pPr>
      <w:r w:rsidRPr="00E855BF">
        <w:rPr>
          <w:rStyle w:val="doceo-font-family-base"/>
        </w:rPr>
        <w:t>F.</w:t>
      </w:r>
      <w:r w:rsidRPr="00E855BF">
        <w:rPr>
          <w:rStyle w:val="doceo-font-family-base"/>
        </w:rPr>
        <w:tab/>
        <w:t>De som utsatts för överträdelser från företagens sida möter ofta flera och överlappande hinder för att få tillgång till rättsmedel, däribland rättsmedel och garantier för att dessa överträdelser inte ska upprepas. Dessa hinder drabbar utsatta eller marginaliserade personer eller grupper extra hårt. Problemet med straffrihet för företag som kränker de mänskliga rättigheterna är till stor del fortfarande olöst eftersom ett kraftfullt och heltäckande regelverk och rättslig anpassning på global och regional nivå saknas.</w:t>
      </w:r>
    </w:p>
    <w:p w:rsidR="00D076A8" w:rsidRPr="00E855BF" w:rsidRDefault="00D076A8" w:rsidP="00D076A8">
      <w:pPr>
        <w:pStyle w:val="NormalHanging12a"/>
        <w:rPr>
          <w:rStyle w:val="doceo-font-family-base"/>
        </w:rPr>
      </w:pPr>
      <w:r w:rsidRPr="00E855BF">
        <w:t>G.</w:t>
      </w:r>
      <w:r w:rsidRPr="00E855BF">
        <w:tab/>
        <w:t>Antalet fall där företag kränker arbetstagares rättigheter ökar i hela världen enligt Internationella fackliga samorganisationens globala rättighetsindex, där det även har rapporterats att 113 länder – en ökning från 106 länder 2021 – förvägrar arbetstagarna rätten att starta eller ansluta sig till en fackförening, 87 procent av länderna bröt mot strejkrätten och fyra av fem länder blockerade kollektivförhandlingar.</w:t>
      </w:r>
    </w:p>
    <w:p w:rsidR="00D076A8" w:rsidRPr="00E855BF" w:rsidRDefault="00D076A8" w:rsidP="00D076A8">
      <w:pPr>
        <w:pStyle w:val="NormalHanging12a"/>
        <w:rPr>
          <w:rStyle w:val="doceo-font-family-base"/>
        </w:rPr>
      </w:pPr>
      <w:r w:rsidRPr="00E855BF">
        <w:rPr>
          <w:rStyle w:val="doceo-font-family-base"/>
        </w:rPr>
        <w:t>H.</w:t>
      </w:r>
      <w:r w:rsidRPr="00E855BF">
        <w:rPr>
          <w:rStyle w:val="doceo-font-family-base"/>
        </w:rPr>
        <w:tab/>
        <w:t>Den 26 juni 2014 antog FN:s råd för mänskliga rättigheter en resolution om att inrätta en öppen mellanstatlig arbetsgrupp med uppdraget att utarbeta ett internationellt rättsligt bindande instrument för att i internationell människorättslagstiftning reglera transnationella företags och andra affärsrörelsers verksamhet.</w:t>
      </w:r>
    </w:p>
    <w:p w:rsidR="00D076A8" w:rsidRPr="00E855BF" w:rsidRDefault="00D076A8" w:rsidP="00D076A8">
      <w:pPr>
        <w:pStyle w:val="NormalHanging12a"/>
        <w:rPr>
          <w:rStyle w:val="doceo-font-family-base"/>
        </w:rPr>
      </w:pPr>
      <w:r w:rsidRPr="00E855BF">
        <w:t>I.</w:t>
      </w:r>
      <w:r w:rsidRPr="00E855BF">
        <w:tab/>
        <w:t>Denna arbetsgrupp, som har letts av Ecuador sedan starten, har hittills hållit åtta sammanträden och ett antal regionala och andra samråd med berörda parter, bland annat från det civila samhället och den privata sektorn. I juli 2023 skickade ordföranden ut ett uppdaterat utkast till instrumentet inför arbetsgruppens nionde sammanträde, som är planerat till den 23–27 oktober 2023.</w:t>
      </w:r>
    </w:p>
    <w:p w:rsidR="00D076A8" w:rsidRPr="00E855BF" w:rsidRDefault="00D076A8" w:rsidP="00D076A8">
      <w:pPr>
        <w:pStyle w:val="NormalHanging12a"/>
        <w:rPr>
          <w:rStyle w:val="doceo-font-family-base"/>
        </w:rPr>
      </w:pPr>
      <w:r w:rsidRPr="00E855BF">
        <w:t>J.</w:t>
      </w:r>
      <w:r w:rsidRPr="00E855BF">
        <w:tab/>
        <w:t>EU har arbetat med ambitiös lagstiftning om bland annat företags tillbörliga aktsamhet, vilket skulle tjäna som grund för EU:s förhandlingsmandat. I avsaknad av ett förhandlingsmandat deltog EU:s företrädare i arbetsgruppens möten endast som observatör och bidrog bara med allmänna uttalanden. Vidare har andra stora ekonomier utanför EU intagit en ambivalent hållning under årens lopp.</w:t>
      </w:r>
    </w:p>
    <w:p w:rsidR="00D076A8" w:rsidRPr="00E855BF" w:rsidRDefault="00D076A8" w:rsidP="00D076A8">
      <w:pPr>
        <w:pStyle w:val="NormalHanging12a"/>
        <w:rPr>
          <w:rStyle w:val="doceo-font-family-base"/>
        </w:rPr>
      </w:pPr>
      <w:r w:rsidRPr="00E855BF">
        <w:rPr>
          <w:rStyle w:val="doceo-font-family-base"/>
        </w:rPr>
        <w:t>K.</w:t>
      </w:r>
      <w:r w:rsidRPr="00E855BF">
        <w:rPr>
          <w:rStyle w:val="doceo-font-family-base"/>
        </w:rPr>
        <w:tab/>
        <w:t>Därefter har EU-medlemsstaternas ståndpunkt gradvis utvecklats, och flera av dem har deltagit aktivt i de senaste sammanträdena i arbetsgruppen. Frankrike och Portugal har anslutit sig till gruppen ”ordförandens vänner” och bistått ordföranden med att utarbeta konsensusförslag från regionala block. Bland sina prioriteringar i människorättsforum under 2023 uttryckte rådet sitt åtagande att ”aktivt delta” i FN-diskussionerna om det rättsligt bindande instrumentet och uttryckte sin beredvillighet att samarbeta med ordföranden för arbetsgruppen och ordförandens vänner för att ”för att undersöka [...] ett konsensusbaserat instrument som effektivt kan stärka skyddet av offer och skapa lika villkor globalt”.</w:t>
      </w:r>
    </w:p>
    <w:p w:rsidR="00D076A8" w:rsidRPr="00E855BF" w:rsidRDefault="00D076A8" w:rsidP="00D076A8">
      <w:pPr>
        <w:pStyle w:val="NormalHanging12a"/>
        <w:rPr>
          <w:rStyle w:val="doceo-font-family-base"/>
        </w:rPr>
      </w:pPr>
      <w:r w:rsidRPr="00E855BF">
        <w:t>L.</w:t>
      </w:r>
      <w:r w:rsidRPr="00E855BF">
        <w:tab/>
        <w:t xml:space="preserve">Parlamentet har </w:t>
      </w:r>
      <w:r w:rsidRPr="00E855BF">
        <w:rPr>
          <w:rStyle w:val="doceo-font-family-base"/>
        </w:rPr>
        <w:t>vid upprepade tillfällen uttryckt</w:t>
      </w:r>
      <w:r w:rsidRPr="00E855BF">
        <w:t xml:space="preserve"> stöd för FN-diskussionerna om det rättsligt bindande instrumentet, bland annat genom att anta ett antal resolutioner där EU och medlemsstaterna uppmanas att delta konstruktivt i förhandlingarna.</w:t>
      </w:r>
    </w:p>
    <w:p w:rsidR="00D076A8" w:rsidRPr="00E855BF" w:rsidRDefault="00D076A8" w:rsidP="00D076A8">
      <w:pPr>
        <w:pStyle w:val="NormalHanging12a"/>
        <w:rPr>
          <w:rStyle w:val="doceo-font-family-base"/>
        </w:rPr>
      </w:pPr>
      <w:r w:rsidRPr="00E855BF">
        <w:lastRenderedPageBreak/>
        <w:t>M.</w:t>
      </w:r>
      <w:r w:rsidRPr="00E855BF">
        <w:tab/>
        <w:t xml:space="preserve">EU har på senare år </w:t>
      </w:r>
      <w:r w:rsidRPr="00E855BF">
        <w:rPr>
          <w:rStyle w:val="doceo-font-family-base"/>
        </w:rPr>
        <w:t>haft höga ambitioner avseende företag och mänskliga rättigheter och</w:t>
      </w:r>
      <w:r w:rsidRPr="00E855BF">
        <w:t xml:space="preserve"> har lanserat ett antal lagstiftningsinitiativ som syftar till att reglera företagens verksamhet när det gäller mänskliga rättigheter och miljö- och klimatrelaterade skyldigheter, däribland direktivet om tillbörlig aktsamhet för företag i fråga om hållbarhet, ett förslag till förordning om förbud mot produkter som tillverkats genom tvångsarbete på unionens marknad, förordningen om avskogningsfria produkter, förordningen om konfliktmineraler och batteriförordningen.</w:t>
      </w:r>
    </w:p>
    <w:p w:rsidR="00D076A8" w:rsidRPr="00E855BF" w:rsidRDefault="00D076A8" w:rsidP="00D076A8">
      <w:pPr>
        <w:pStyle w:val="NormalHanging12a"/>
        <w:keepNext/>
        <w:keepLines/>
        <w:widowControl/>
      </w:pPr>
      <w:r w:rsidRPr="00E855BF">
        <w:t>N.</w:t>
      </w:r>
      <w:r w:rsidRPr="00E855BF">
        <w:tab/>
        <w:t xml:space="preserve">Ett antal medlemsstater i EU, </w:t>
      </w:r>
      <w:r w:rsidRPr="00E855BF">
        <w:rPr>
          <w:rStyle w:val="doceo-font-family-base"/>
        </w:rPr>
        <w:t>däribland Frankrike, Tyskland och Nederländerna,</w:t>
      </w:r>
      <w:r w:rsidRPr="00E855BF">
        <w:t xml:space="preserve"> har nyligen antagit eller föreslagit obligatorisk lagstiftning om tillbörlig aktsamhet, och ett antal andra medlemsstater överväger att följa efter. </w:t>
      </w:r>
      <w:r w:rsidRPr="00E855BF">
        <w:rPr>
          <w:rStyle w:val="doceo-font-family-base"/>
        </w:rPr>
        <w:t>Det är viktigt att säkerställa samstämmighet mellan lagstiftningen om tillbörlig aktsamhet på medlemsstats- eller EU-nivå och FN:s rättsligt bindande instrument.</w:t>
      </w:r>
    </w:p>
    <w:p w:rsidR="00D076A8" w:rsidRPr="00E855BF" w:rsidRDefault="00D076A8" w:rsidP="00D076A8">
      <w:pPr>
        <w:pStyle w:val="NormalHanging12a"/>
        <w:rPr>
          <w:szCs w:val="24"/>
        </w:rPr>
      </w:pPr>
      <w:r w:rsidRPr="00E855BF">
        <w:t>O.</w:t>
      </w:r>
      <w:r w:rsidRPr="00E855BF">
        <w:tab/>
        <w:t>Initiativ till reglering, inklusive lagstiftning, om företag och mänskliga rättigheter har antagits eller håller på att diskuteras i länder utanför EU, däribland Australien, Brasilien, Kanada, Ghana, Japan, Mexiko, Nya Zeeland, Norge, Sydafrika, Sydkorea, Schweiz och USA. Flera andra länder har utarbetat en nationell handlingsplan för företag och mänskliga rättigheter.</w:t>
      </w:r>
    </w:p>
    <w:p w:rsidR="00D076A8" w:rsidRPr="00E855BF" w:rsidRDefault="00D076A8" w:rsidP="00D076A8">
      <w:pPr>
        <w:pStyle w:val="NormalHanging12a"/>
        <w:rPr>
          <w:szCs w:val="24"/>
        </w:rPr>
      </w:pPr>
      <w:r w:rsidRPr="00E855BF">
        <w:t>P.</w:t>
      </w:r>
      <w:r w:rsidRPr="00E855BF">
        <w:tab/>
        <w:t>Utkastet till rättsligt bindande instrument innehåller en klausul om en organisation för regional integration för att ta hänsyn till EU:s och dess medlemsstaters respektive roll.</w:t>
      </w:r>
    </w:p>
    <w:p w:rsidR="00D076A8" w:rsidRPr="00E855BF" w:rsidRDefault="00D076A8" w:rsidP="00D076A8">
      <w:pPr>
        <w:pStyle w:val="NormalHanging12a"/>
        <w:rPr>
          <w:rStyle w:val="doceo-font-family-base"/>
        </w:rPr>
      </w:pPr>
      <w:r w:rsidRPr="00E855BF">
        <w:t>Q.</w:t>
      </w:r>
      <w:r w:rsidRPr="00E855BF">
        <w:tab/>
        <w:t>Det finns ett stort och växande intresse för, mobilisering kring och förväntningar på diskussionerna på FN-nivå om det rättsligt bindande instrumentet bland berörda befolkningsgrupper, ursprungsbefolkningar, fackföreningar, medlemmar av det civila samhället, forskare och experter globalt.</w:t>
      </w:r>
    </w:p>
    <w:p w:rsidR="00D076A8" w:rsidRPr="00E855BF" w:rsidRDefault="00D076A8" w:rsidP="00D076A8">
      <w:pPr>
        <w:pStyle w:val="NormalHanging12a"/>
        <w:ind w:left="0" w:firstLine="0"/>
        <w:rPr>
          <w:rStyle w:val="doceo-font-family-base"/>
          <w:b/>
          <w:i/>
        </w:rPr>
      </w:pPr>
      <w:r w:rsidRPr="00E855BF">
        <w:rPr>
          <w:rStyle w:val="doceo-font-family-base"/>
          <w:b/>
          <w:i/>
        </w:rPr>
        <w:t>Allmänna kommentarer och de internationella ramarna för företag och mänskliga rättigheter</w:t>
      </w:r>
    </w:p>
    <w:p w:rsidR="00D076A8" w:rsidRPr="00E855BF" w:rsidRDefault="00D076A8" w:rsidP="00D076A8">
      <w:pPr>
        <w:pStyle w:val="NormalHanging12a"/>
        <w:rPr>
          <w:rStyle w:val="doceo-font-family-base"/>
        </w:rPr>
      </w:pPr>
      <w:r w:rsidRPr="00E855BF">
        <w:t>1.</w:t>
      </w:r>
      <w:r w:rsidRPr="00E855BF">
        <w:tab/>
        <w:t>Europaparlamentet betonar att det allmänna utövandet av de mänskliga rättigheterna i hela världen bland annat är beroende av företagens beteende, med tanke på globaliseringens nuvarande omfattning och internationaliseringen av affärsverksamhet och värdekedjor. Parlamentet betonar i detta sammanhang vikten av att företag kan förlita sig på god offentlig styrning och heltäckande och välfungerande rättssystem och regelverk för att kunna fullgöra sina skyldigheter i fråga om mänskliga rättigheter.</w:t>
      </w:r>
    </w:p>
    <w:p w:rsidR="00D076A8" w:rsidRPr="00E855BF" w:rsidRDefault="00D076A8" w:rsidP="00D076A8">
      <w:pPr>
        <w:pStyle w:val="NormalHanging12a"/>
        <w:rPr>
          <w:rStyle w:val="doceo-font-family-base"/>
        </w:rPr>
      </w:pPr>
      <w:r w:rsidRPr="00E855BF">
        <w:t>2.</w:t>
      </w:r>
      <w:r w:rsidRPr="00E855BF">
        <w:tab/>
        <w:t>Europaparlamentet stöder helhjärtat ett fullständigt genomförande, inom och utanför EU, av de internationella standarderna för ansvarsfullt företagande för att komplettera och stärka genomförandet av FN:s vägledande principer. Parlamentet understryker vikten av FN:s vägledande principer och OECD:s riktlinjer och det breda stöd de åtnjuter. Parlamentet påminner om att FN:s vägledande principer är den enda globala ram som beskriver företagens ansvar för att förebygga och hantera risken för negativa konsekvenser för de mänskliga rättigheterna i samband med affärsverksamhet. Parlamentet betonar att allt arbete med det rättsligt bindande instrumentet bör säkerställa fullständig anpassning till dessa standarder.</w:t>
      </w:r>
    </w:p>
    <w:p w:rsidR="00D076A8" w:rsidRPr="00E855BF" w:rsidRDefault="00D076A8" w:rsidP="00D076A8">
      <w:pPr>
        <w:pStyle w:val="NormalHanging12a"/>
        <w:rPr>
          <w:rStyle w:val="doceo-font-family-base"/>
        </w:rPr>
      </w:pPr>
      <w:r w:rsidRPr="00E855BF">
        <w:t>3.</w:t>
      </w:r>
      <w:r w:rsidRPr="00E855BF">
        <w:tab/>
        <w:t xml:space="preserve">Europaparlamentet betonar att eftersom företagens sociala ansvar enbart vilar på frivillig grund och därmed inte ingår i verkställbara instrument, riskerar detta att skapa marknadssnedvridningar och illojal konkurrens för de företag som väljer att följa </w:t>
      </w:r>
      <w:r w:rsidRPr="00E855BF">
        <w:lastRenderedPageBreak/>
        <w:t>internationella standarder eller som omfattas av nationella eller regionala skyldigheter. Parlamentet konstaterar att kränkningar av de mänskliga rättigheterna fortfarande förekommer, trots att vissa framsteg har gjorts. Parlamentet välkomnar därför arbetet med att införa lika villkor och att få på plats ett åtagande om ansvarsfullt företagande med brett stöd globalt. Vidare välkomnar parlamentet det pågående skiftet i den normativa utvecklingen från mjuk lagstiftning till bindande standarder.</w:t>
      </w:r>
    </w:p>
    <w:p w:rsidR="00D076A8" w:rsidRPr="00E855BF" w:rsidRDefault="00D076A8" w:rsidP="00D076A8">
      <w:pPr>
        <w:pStyle w:val="NormalHanging12a"/>
        <w:keepNext/>
        <w:keepLines/>
        <w:widowControl/>
      </w:pPr>
      <w:r w:rsidRPr="00E855BF">
        <w:t>4.</w:t>
      </w:r>
      <w:r w:rsidRPr="00E855BF">
        <w:tab/>
        <w:t>Europaparlamentet understryker vikten av att täppa till de kryphål i lagar och regelverk som utnyttjas av företag, däribland investerare, på bekostnad av mänskliga rättigheter och miljö.</w:t>
      </w:r>
    </w:p>
    <w:p w:rsidR="00D076A8" w:rsidRPr="00E855BF" w:rsidRDefault="00D076A8" w:rsidP="00D076A8">
      <w:pPr>
        <w:pStyle w:val="NormalHanging12a"/>
        <w:rPr>
          <w:szCs w:val="24"/>
        </w:rPr>
      </w:pPr>
      <w:r w:rsidRPr="00E855BF">
        <w:t>5.</w:t>
      </w:r>
      <w:r w:rsidRPr="00E855BF">
        <w:tab/>
        <w:t>Europaparlamentet noterar med oro att det i många länders rättssystem fortfarande finns många förfarandemässiga, materiella och praktiska hinder för att brottsoffer ska få tillgång till rättslig prövning, bland annat svårigheter att identifiera behörig domstol, hinder i samband med jurisdiktionsstandarder, korta preskriptionstider, överdrivna bevisbördor, begränsad eller oklar ansvarsskyldighet på grund av komplexa företagsstrukturer, tillgång till juridiskt ombud och information, oöverkomliga kostnader för ombud utomlands samt andra ojämlika förhållanden mellan kärande och svarande. Vidare ser parlamentet med oro på att brottsoffer som söker rättvisa utsätts för hot eller våld från de berörda företagen. Parlamentet betonar att utsatta eller marginaliserade personer eller grupper, som kan behöva ytterligare uppmärksamhet vid samarbete med berörda parter, har svårare att få rättvis ekonomisk kompensation eller andra former av ersättning.</w:t>
      </w:r>
    </w:p>
    <w:p w:rsidR="00D076A8" w:rsidRPr="00E855BF" w:rsidRDefault="00D076A8" w:rsidP="00D076A8">
      <w:pPr>
        <w:pStyle w:val="NormalHanging12a"/>
        <w:rPr>
          <w:rStyle w:val="doceo-font-family-base"/>
        </w:rPr>
      </w:pPr>
      <w:r w:rsidRPr="00E855BF">
        <w:t>6.</w:t>
      </w:r>
      <w:r w:rsidRPr="00E855BF">
        <w:tab/>
        <w:t>Europaparlamentet betonar vikten av att inkludera extraterritoriell reglering som utgår från moderföretaget och tillgång till rättslig prövning för dem som utsatts av transnationella företags människorättskränkningar i de transnationella företagens ursprungsland. Parlamentet framhäver i synnerhet att tydliga krav måste fastställas för transnationella företag vad gäller avskaffande av barnarbete och tvångsarbete i deras leveranskedjor och verksamhet.</w:t>
      </w:r>
    </w:p>
    <w:p w:rsidR="00D076A8" w:rsidRPr="00E855BF" w:rsidRDefault="00D076A8" w:rsidP="00D076A8">
      <w:pPr>
        <w:pStyle w:val="NormalHanging12a"/>
        <w:rPr>
          <w:rStyle w:val="doceo-font-family-base"/>
        </w:rPr>
      </w:pPr>
      <w:r w:rsidRPr="00E855BF">
        <w:t>7.</w:t>
      </w:r>
      <w:r w:rsidRPr="00E855BF">
        <w:tab/>
        <w:t>Europaparlamentet upprepar återigen sitt helhjärtade stöd för det arbete som utförs i FN genom den öppna mellanstatliga arbetsgruppen för att utveckla instrumentet. Parlamentet uttrycker sin uppskattning över det arbete som de roterande ordförandena från Ecuador lagt ned för att driva detta komplexa projekt och välkomnar att gruppen ”ordförandens vänner” spelar en stödjande roll.</w:t>
      </w:r>
    </w:p>
    <w:p w:rsidR="00D076A8" w:rsidRPr="00E855BF" w:rsidRDefault="00D076A8" w:rsidP="00D076A8">
      <w:pPr>
        <w:pStyle w:val="NormalHanging12a"/>
        <w:rPr>
          <w:rStyle w:val="doceo-font-family-base"/>
        </w:rPr>
      </w:pPr>
      <w:r w:rsidRPr="00E855BF">
        <w:rPr>
          <w:rStyle w:val="doceo-font-family-base"/>
        </w:rPr>
        <w:t>8.</w:t>
      </w:r>
      <w:r w:rsidRPr="00E855BF">
        <w:rPr>
          <w:rStyle w:val="doceo-font-family-base"/>
        </w:rPr>
        <w:tab/>
        <w:t>Europaparlamentet uppmanar ordföranden för arbetsgruppen och FN:s medlemsstater att se till att förhandlingarna är transparenta och att alla berörda parter bidrar på ett meningsfullt sätt, inbegripet det civila samhället, fackföreningar</w:t>
      </w:r>
      <w:r w:rsidRPr="00E855BF">
        <w:t>, arbetstagarföreträdare</w:t>
      </w:r>
      <w:r w:rsidRPr="00E855BF">
        <w:rPr>
          <w:rStyle w:val="doceo-font-family-base"/>
        </w:rPr>
        <w:t xml:space="preserve"> och den privata sektorn</w:t>
      </w:r>
      <w:r w:rsidRPr="00E855BF">
        <w:t>, och att vederbörlig hänsyn tas till utsatta berörda parter</w:t>
      </w:r>
      <w:r w:rsidRPr="00E855BF">
        <w:rPr>
          <w:rStyle w:val="doceo-font-family-base"/>
        </w:rPr>
        <w:t>. Parlamentet insisterar vidare på vikten av att säkerställa ett aktivt engagemang från alla regioner i syfte att utveckla ett effektivt instrument som återspeglar den globala mångfalden av de juridiska, sociala och ekonomiska realiteter som påverkar de mänskliga rättigheterna och som bygger på bästa praxis som tillämpas på nationell och regional nivå. Parlamentet uppmuntrar regionala människorättsorganisationer och ekonomiska organisationer samt myndigheter att bidra till att underlätta detta universella engagemang.</w:t>
      </w:r>
    </w:p>
    <w:p w:rsidR="00D076A8" w:rsidRPr="00E855BF" w:rsidRDefault="00D076A8" w:rsidP="00D076A8">
      <w:pPr>
        <w:pStyle w:val="NormalHanging12a"/>
        <w:rPr>
          <w:rStyle w:val="doceo-font-family-base"/>
          <w:b/>
          <w:i/>
        </w:rPr>
      </w:pPr>
      <w:r w:rsidRPr="00E855BF">
        <w:rPr>
          <w:rStyle w:val="doceo-font-family-base"/>
          <w:b/>
          <w:i/>
        </w:rPr>
        <w:t>EU:s och medlemsstaternas engagemang i FN-processen</w:t>
      </w:r>
    </w:p>
    <w:p w:rsidR="00D076A8" w:rsidRPr="00E855BF" w:rsidRDefault="00D076A8" w:rsidP="00D076A8">
      <w:pPr>
        <w:pStyle w:val="NormalHanging12a"/>
        <w:rPr>
          <w:rStyle w:val="doceo-font-family-base"/>
        </w:rPr>
      </w:pPr>
      <w:r w:rsidRPr="00E855BF">
        <w:lastRenderedPageBreak/>
        <w:t>9.</w:t>
      </w:r>
      <w:r w:rsidRPr="00E855BF">
        <w:tab/>
        <w:t>Europaparlamentet påminner om att EU har ett fördragsbaserat åtagande att främja mänskliga rättigheter i hela världen och multilaterala lösningar inom FN på gemensamma problem, vilket ännu inte har återspeglats i unionens deltagande med ett förhandlingsmandat i arbetsgruppen.</w:t>
      </w:r>
    </w:p>
    <w:p w:rsidR="00D076A8" w:rsidRPr="00E855BF" w:rsidRDefault="00D076A8" w:rsidP="00D076A8">
      <w:pPr>
        <w:pStyle w:val="NormalHanging12a"/>
        <w:keepNext/>
        <w:keepLines/>
        <w:widowControl/>
        <w:rPr>
          <w:rStyle w:val="doceo-font-family-base"/>
        </w:rPr>
      </w:pPr>
      <w:r w:rsidRPr="00E855BF">
        <w:t>10.</w:t>
      </w:r>
      <w:r w:rsidRPr="00E855BF">
        <w:tab/>
        <w:t>Europaparlamentet erkänner arbetsgruppen som det enda globala och multilaterala forum där obligatoriska regler för företag och mänskliga rättigheter diskuteras, och anser därför att det är avgörande att EU aktivt deltar i denna process tillsammans med ett tillräckligt antal FN-medlemmar för att nå ett konsensusbaserat resultat som är tillförlitligt och har ett brett stöd globalt.</w:t>
      </w:r>
    </w:p>
    <w:p w:rsidR="00D076A8" w:rsidRPr="00E855BF" w:rsidRDefault="00D076A8" w:rsidP="00D076A8">
      <w:pPr>
        <w:pStyle w:val="NormalHanging12a"/>
        <w:rPr>
          <w:rStyle w:val="doceo-font-family-base"/>
        </w:rPr>
      </w:pPr>
      <w:r w:rsidRPr="00E855BF">
        <w:t>11.</w:t>
      </w:r>
      <w:r w:rsidRPr="00E855BF">
        <w:tab/>
        <w:t>Europaparlamentet understryker att arbetet mot ökad tillgång till rättslig prövning och brottsoffers rättigheter är avgörande för det rättsligt bindande instrumentet som centralt fördrag om mänskliga rättigheter och att den senaste normativa utvecklingen på EU</w:t>
      </w:r>
      <w:r w:rsidRPr="00E855BF">
        <w:noBreakHyphen/>
        <w:t>nivå när det gäller företag och mänskliga rättigheter är ett viktigt första steg i rätt riktning. Parlamentet betonar i detta avseende den kompletterande karaktären hos, målen för och omfattningen av samt behovet av samstämmighet mellan de båda normativa spåren, som kommer att fungera på olika nivåer.</w:t>
      </w:r>
    </w:p>
    <w:p w:rsidR="00D076A8" w:rsidRPr="00E855BF" w:rsidRDefault="00D076A8" w:rsidP="00D076A8">
      <w:pPr>
        <w:pStyle w:val="NormalHanging12a"/>
      </w:pPr>
      <w:r w:rsidRPr="00E855BF">
        <w:t>12.</w:t>
      </w:r>
      <w:r w:rsidRPr="00E855BF">
        <w:tab/>
        <w:t>Europaparlamentet anser att EU aktivt bör delta i de pågående förhandlingarna, i synnerhet för att vidareutveckla utkastet till rättsligt bindande instrument, samtidigt som man fokuserar på dem som utsatts för företagsrelaterade överträdelser längs hela värdekedjan, undanröjer hinder för rättvisa och effektiva rättsmedel, säkerställer lika villkor och rättssäkerhet för företag med hänsyn till små och medelstora företags särdrag, och stärker samarbetet genom att ta fasta på internationella perspektiv och bästa praxis. Parlamentet anser att detta arbete i slutänden kan bidra till att säkerställa att mänskliga rättigheter tillämpas och upprätthålls internationellt, samtidigt som det också bidrar till lika villkor på internationell nivå och skapar ett globalt instrument som både får brett stöd och ratificeras av stater i alla regioner, inbegripet men inte begränsat till EU, och som är fortsatt relevant mot bakgrund av framväxande hot mot de mänskliga rättigheterna.</w:t>
      </w:r>
    </w:p>
    <w:p w:rsidR="00D076A8" w:rsidRPr="00E855BF" w:rsidRDefault="00D076A8" w:rsidP="00D076A8">
      <w:pPr>
        <w:pStyle w:val="NormalHanging12a"/>
        <w:rPr>
          <w:rStyle w:val="doceo-font-family-base"/>
        </w:rPr>
      </w:pPr>
      <w:r w:rsidRPr="00E855BF">
        <w:t>13.</w:t>
      </w:r>
      <w:r w:rsidRPr="00E855BF">
        <w:tab/>
        <w:t>Europaparlamentet välkomnar rådets åtagande när det gäller att få EU att stärka sitt engagemang och aktivt delta i arbetsgruppen. Parlamentet anser dock att det enda meningsfulla och konkreta sättet att förverkliga detta uttalade åtagande är att anta ett EU-mandat för förhandlingar. Parlamentet uppmanar därför med kraft rådet att anta ett ambitiöst förhandlingsmandat så snart som möjligt, så att EU aktivt kan delta i förhandlingarna i syfte att utforma framtidens rättsligt bindande instrument. Parlamentet betonar att EU:s ståndpunkt måste syfta till kraftfulla bestämmelser om efterlevnads- och övervakningsmekanismer, samt om tillgång till rättslig prövning för dem som drabbats av kränkningar.</w:t>
      </w:r>
    </w:p>
    <w:p w:rsidR="00D076A8" w:rsidRPr="00E855BF" w:rsidRDefault="00D076A8" w:rsidP="00D076A8">
      <w:pPr>
        <w:pStyle w:val="NormalHanging12a"/>
      </w:pPr>
      <w:r w:rsidRPr="00E855BF">
        <w:t>14.</w:t>
      </w:r>
      <w:r w:rsidRPr="00E855BF">
        <w:tab/>
        <w:t xml:space="preserve">Europaparlamentet uppmanar medlemsstaterna att </w:t>
      </w:r>
      <w:r w:rsidRPr="00E855BF">
        <w:rPr>
          <w:rStyle w:val="doceo-font-family-base"/>
        </w:rPr>
        <w:t>delta individuellt i processen</w:t>
      </w:r>
      <w:r w:rsidRPr="00E855BF">
        <w:t xml:space="preserve"> och samordna sina ståndpunkter under förhandlingarnas gång i syfte att försvara en stark, gemensam och tydlig EU-ståndpunkt och att på ett konstruktivt sätt lägga fram lagstiftningsinitiativ som syftar till att reglera företagsverksamhet i förhållande till mänskliga rättigheter och klimatrelaterade skyldigheter, samtidigt som de visar uppskattning för de framsteg som gjorts hittills. Parlamentet förväntar sig att Europeiska utrikestjänsten och kommissionen, särskilt EU-delegationen till FN i Genève, spelar en proaktiv och konstruktiv roll i denna process.</w:t>
      </w:r>
    </w:p>
    <w:p w:rsidR="00D076A8" w:rsidRPr="00E855BF" w:rsidRDefault="00D076A8" w:rsidP="00D076A8">
      <w:pPr>
        <w:pStyle w:val="NormalHanging12a"/>
        <w:keepNext/>
        <w:keepLines/>
        <w:widowControl/>
      </w:pPr>
      <w:r w:rsidRPr="00E855BF">
        <w:lastRenderedPageBreak/>
        <w:t>15.</w:t>
      </w:r>
      <w:r w:rsidRPr="00E855BF">
        <w:tab/>
        <w:t xml:space="preserve">Europaparlamentet uppmanar kommissionen, utrikestjänsten och medlemsstaterna att samarbeta proaktivt med alla partnerländer och inkludera frågan i sina dialoger med tredjeländer och </w:t>
      </w:r>
      <w:r w:rsidRPr="00E855BF">
        <w:rPr>
          <w:rStyle w:val="doceo-font-family-base"/>
        </w:rPr>
        <w:t>regionala organisationer, särskilt inom ramen för EU:s strukturerade människorättsdialoger</w:t>
      </w:r>
      <w:r w:rsidRPr="00E855BF">
        <w:t>.</w:t>
      </w:r>
      <w:r w:rsidRPr="00E855BF">
        <w:rPr>
          <w:rStyle w:val="doceo-font-family-base"/>
        </w:rPr>
        <w:t xml:space="preserve"> Parlamentet uppmuntrar EU att särskilt nå ut till viktiga partner som för närvarande tar fram sin egen ram för företag och mänskliga rättigheter på nationell nivå, såsom Brasilien och Japan, och på regional nivå, såsom Afrikanska kommissionen för mänskliga och folkens rättigheter och den interamerikanska kommissionen för de mänskliga rättigheterna</w:t>
      </w:r>
      <w:r w:rsidRPr="00E855BF">
        <w:t>.</w:t>
      </w:r>
    </w:p>
    <w:p w:rsidR="00D076A8" w:rsidRPr="00E855BF" w:rsidRDefault="00D076A8" w:rsidP="00D076A8">
      <w:pPr>
        <w:pStyle w:val="NormalHanging12a"/>
        <w:rPr>
          <w:rStyle w:val="doceo-font-family-base"/>
          <w:b/>
          <w:i/>
        </w:rPr>
      </w:pPr>
      <w:r w:rsidRPr="00E855BF">
        <w:rPr>
          <w:rStyle w:val="doceo-font-family-base"/>
          <w:b/>
          <w:i/>
        </w:rPr>
        <w:t>Element för en EU-ståndpunkt om det rättsligt bindande instrumentet</w:t>
      </w:r>
    </w:p>
    <w:p w:rsidR="00D076A8" w:rsidRPr="00E855BF" w:rsidRDefault="00D076A8" w:rsidP="00D076A8">
      <w:pPr>
        <w:pStyle w:val="NormalHanging12a"/>
        <w:rPr>
          <w:rStyle w:val="doceo-font-family-base"/>
        </w:rPr>
      </w:pPr>
      <w:r w:rsidRPr="00E855BF">
        <w:t>16.</w:t>
      </w:r>
      <w:r w:rsidRPr="00E855BF">
        <w:tab/>
        <w:t>Europaparlamentet välkomnar det uppdaterade utkastet till rättsligt bindande instrument, som offentliggjordes i juli 2023, och anser att det utgör en solid och lovande grund för att föra förhandlingarna framåt, samtidigt som det finns ett behov av förbättringar och anpassning till FN:s vägledande principer, OECD:s riktlinjer och andra befintliga internationella normer.</w:t>
      </w:r>
    </w:p>
    <w:p w:rsidR="00D076A8" w:rsidRPr="00E855BF" w:rsidRDefault="00D076A8" w:rsidP="00D076A8">
      <w:pPr>
        <w:pStyle w:val="NormalHanging12a"/>
      </w:pPr>
      <w:r w:rsidRPr="00E855BF">
        <w:t>17.</w:t>
      </w:r>
      <w:r w:rsidRPr="00E855BF">
        <w:tab/>
        <w:t>Europaparlamentet anser att EU bör sträva efter ett rättsligt bindande instrument som är förenligt med och kompletterar den pågående normativa utvecklingen på EU-nivå och därmed bidrar till att skapa en mer sammanhängande global rättslig ram för företag och mänskliga rättigheter.</w:t>
      </w:r>
    </w:p>
    <w:p w:rsidR="00D076A8" w:rsidRPr="00E855BF" w:rsidRDefault="00D076A8" w:rsidP="00D076A8">
      <w:pPr>
        <w:pStyle w:val="NormalHanging12a"/>
        <w:rPr>
          <w:szCs w:val="24"/>
        </w:rPr>
      </w:pPr>
      <w:r w:rsidRPr="00E855BF">
        <w:t>18.</w:t>
      </w:r>
      <w:r w:rsidRPr="00E855BF">
        <w:tab/>
        <w:t>Europaparlamentet stöder ett brett tillämpningsområde för det rättsligt bindande instrumentet som skulle säkerställa att ansvaret gäller längs hela de globala värdekedjorna. Parlamentet anser att det skulle ge betydande handlingsutrymme för nationell anpassning och vara förenligt med det universella tillämpningsområdet för FN:s vägledande principer om parterna, inom ramen för sin nationella lagstiftning, ges flexibilitet att differentiera hur företag, särskilt små och medelstora företag, fullgör sina förebyggande skyldigheter enligt det rättsligt bindande instrumentet, i proportion till deras storlek, sektor, ägande, verksamhetsområde eller till hur allvarliga konsekvenserna för de mänskliga rättigheterna är. Parlamentet framhäver att mikroföretag samt små och medelstora företag i många delar av världen ofta är motorn i den lokala ekonomin. Parlamentet understryker att sådana företag utgör 90 % av företagen samt står för 60–70 % av sysselsättningen och 50 % av världens bruttonationalprodukt. Parlamentet upprepar vikten av att säkerställa att skyldigheterna och kraven i instrumentet står i proportion till företagens storlek, resurser och potential, och uppmanar EU att tillhandahålla skyddsåtgärder och undantag för mikroföretag och små och medelstora företag i de förhandlingar som rör instrumentet.</w:t>
      </w:r>
    </w:p>
    <w:p w:rsidR="00D076A8" w:rsidRPr="00E855BF" w:rsidRDefault="00D076A8" w:rsidP="00D076A8">
      <w:pPr>
        <w:pStyle w:val="NormalHanging12a"/>
      </w:pPr>
      <w:r w:rsidRPr="00E855BF">
        <w:t>19.</w:t>
      </w:r>
      <w:r w:rsidRPr="00E855BF">
        <w:tab/>
        <w:t>Europaparlamentet anser att affärsverksamhet bör förstås i enlighet med FN:s vägledande principer.</w:t>
      </w:r>
    </w:p>
    <w:p w:rsidR="00D076A8" w:rsidRPr="00E855BF" w:rsidRDefault="00D076A8" w:rsidP="00D076A8">
      <w:pPr>
        <w:pStyle w:val="NormalHanging12a"/>
      </w:pPr>
      <w:r w:rsidRPr="00E855BF">
        <w:t>20.</w:t>
      </w:r>
      <w:r w:rsidRPr="00E855BF">
        <w:tab/>
        <w:t xml:space="preserve">Europaparlamentet insisterar på att ett brett spektrum av internationella instrument, inbegripet men inte begränsat till den allmänna förklaringen om de mänskliga rättigheterna, alla centrala internationella människorättsfördrag och Internationella arbetsorganisationens grundläggande konventioner, bör omfattas av det rättsligt bindande instrumentet, i linje med de mänskliga rättigheternas universalitet och odelbarhet. </w:t>
      </w:r>
    </w:p>
    <w:p w:rsidR="00D076A8" w:rsidRPr="00E855BF" w:rsidRDefault="00D076A8" w:rsidP="00D076A8">
      <w:pPr>
        <w:pStyle w:val="NormalHanging12a"/>
        <w:keepNext/>
        <w:keepLines/>
        <w:widowControl/>
      </w:pPr>
      <w:r w:rsidRPr="00E855BF">
        <w:lastRenderedPageBreak/>
        <w:t>21.</w:t>
      </w:r>
      <w:r w:rsidRPr="00E855BF">
        <w:tab/>
        <w:t>Europaparlamentet beklagar att flera hänvisningar till miljö och klimatförändringar, inbegripet frågor om ansvar, har tagits bort från tillämpningsområdet för det rättsligt bindande instrumentet i det senaste utkastet. Parlamentet anser att EU och medlemsstaterna bör sträva efter att företagens miljö- och klimatpåverkan ska omfattas av det rättsligt bindande instrumentet, i linje med EU:s lagstiftning, politik och ambition på detta område, och därmed återspegla den växande insikten om affärsverksamheters inverkan på klimatförändringarna och miljöförstöringen, som i sin tur påverkar de mänskliga rättigheterna.</w:t>
      </w:r>
    </w:p>
    <w:p w:rsidR="00D076A8" w:rsidRPr="00E855BF" w:rsidRDefault="00D076A8" w:rsidP="00D076A8">
      <w:pPr>
        <w:pStyle w:val="NormalHanging12a"/>
      </w:pPr>
      <w:r w:rsidRPr="00E855BF">
        <w:t>22.</w:t>
      </w:r>
      <w:r w:rsidRPr="00E855BF">
        <w:tab/>
        <w:t>Europaparlamentet betonar att det rättsligt bindande instrumentet bör utgöra en ambitiös, heltäckande, lyhörd och obligatorisk ram för förebyggande av företags kränkningar av de mänskliga rättigheterna, särskilt genom att fastställa en skyldighet för parterna att vidta lämpliga och ändamålsenliga lagstiftningsåtgärder, regleringsåtgärder och andra åtgärder för att förhindra överträdelser från företagens sida och säkerställa att alla företag tillämpar tillbörlig aktsamhet i fråga om miljö och respekterar de mänskliga rättigheterna. Parlamentet konstaterar i detta avseende att det är avgörande att ge parterna flexibilitet att anpassa sina förebyggande ramar till sina egna rättssystem för att säkerställa en bred anslutning till det rättsligt bindande instrumentet, samtidigt som de mänskliga rättigheterna ges fortsatt företräde.</w:t>
      </w:r>
    </w:p>
    <w:p w:rsidR="00D076A8" w:rsidRPr="00E855BF" w:rsidRDefault="00D076A8" w:rsidP="00D076A8">
      <w:pPr>
        <w:pStyle w:val="NormalHanging12a"/>
      </w:pPr>
      <w:r w:rsidRPr="00E855BF">
        <w:t>23.</w:t>
      </w:r>
      <w:r w:rsidRPr="00E855BF">
        <w:tab/>
        <w:t>Europaparlamentet uppmanar EU och medlemsstaterna att, i linje med bestämmelserna i FN:s vägledande principer, se till att ramen för förebyggande i det rättsligt bindande instrumentet tvingar företagsaktörer att iaktta skärpt tillbörlig aktsamhet i samband med verksamhet i områden där risken för grova människorättskränkningar är förhöjd, till exempel konfliktdrabbade områden eller territorier som är ockuperade eller annekterade, bland annat genom att lägga till hänvisningar till internationell humanitär rätt, internationell straffrätt och internationell sedvanerätt i det rättsligt bindande instrumentet. Parlamentet anser att det rättsligt bindande instrumentet även bör återspegla aspekter som rör företagsverksamhet i katastrofdrabbade områden eller klimatkänsliga samhällen, vilket blir allt mer relevant i samband med klimatkrisen.</w:t>
      </w:r>
    </w:p>
    <w:p w:rsidR="00D076A8" w:rsidRPr="00E855BF" w:rsidRDefault="00D076A8" w:rsidP="00D076A8">
      <w:pPr>
        <w:pStyle w:val="NormalHanging12a"/>
      </w:pPr>
      <w:r w:rsidRPr="00E855BF">
        <w:t>24.</w:t>
      </w:r>
      <w:r w:rsidRPr="00E855BF">
        <w:tab/>
        <w:t>Europaparlamentet anser att företagens skyldighet att anta en riskbaserad strategi och genomföra regelbundna konsekvensbedömningar avseende mänskliga rättigheter före och under verksamhetens gång och att ta hänsyn till behoven hos dem som löper förhöjd risk, utgör ett särskilt viktigt inslag i ramen för förebyggande i det rättsligt bindande instrumentet, bland annat genom att ett jämställdhetsperspektiv integreras, men även genom hänsyn till frågor som rör potentiellt sårbara eller marginaliserade grupper, som ursprungsbefolkningar och traditionella samhällen, minoriteter samt människorätts- och miljöförsvarare.</w:t>
      </w:r>
    </w:p>
    <w:p w:rsidR="00D076A8" w:rsidRPr="00E855BF" w:rsidRDefault="00D076A8" w:rsidP="00D076A8">
      <w:pPr>
        <w:pStyle w:val="NormalHanging12a"/>
        <w:rPr>
          <w:szCs w:val="24"/>
        </w:rPr>
      </w:pPr>
      <w:r w:rsidRPr="00E855BF">
        <w:t>25.</w:t>
      </w:r>
      <w:r w:rsidRPr="00E855BF">
        <w:tab/>
        <w:t>Europaparlamentet vill att berörda parter ska få en central roll i det rättsligt bindande instrumentet, i synnerhet genom skyldigheten att främja ett aktivt och meningsfullt deltagande av relevanta berörda parter, däribland fackföreningar, icke-statliga organisationer, ursprungsbefolkningar och samhällsbaserade organisationer samt den privata sektorn, i genomförandet av lagstiftning, politik och andra åtgärder, med särskild hänsyn till tillgången till rättslig prövning och rättsmedel.</w:t>
      </w:r>
    </w:p>
    <w:p w:rsidR="00D076A8" w:rsidRPr="00E855BF" w:rsidRDefault="00D076A8" w:rsidP="00D076A8">
      <w:pPr>
        <w:pStyle w:val="NormalHanging12a"/>
        <w:keepNext/>
        <w:keepLines/>
        <w:widowControl/>
        <w:rPr>
          <w:szCs w:val="24"/>
        </w:rPr>
      </w:pPr>
      <w:r w:rsidRPr="00E855BF">
        <w:lastRenderedPageBreak/>
        <w:t>26.</w:t>
      </w:r>
      <w:r w:rsidRPr="00E855BF">
        <w:tab/>
        <w:t>Europaparlamentet anser att det rättsligt bindande instrumentet bör tillhandahålla en definition av aktivt och meningsfullt deltagande av relevanta berörda parter, bland annat genom interaktivt arbete som utförs i god tro, fortlöpande, med lämplig uppföljning, och som inbegriper identifiering och avlägsnande av potentiella samarbetshinder, och säkerställa ett säkert deltagande för berörda parter, utan att de ska behöva känna rädsla för repressalier.</w:t>
      </w:r>
    </w:p>
    <w:p w:rsidR="00D076A8" w:rsidRPr="00E855BF" w:rsidRDefault="00D076A8" w:rsidP="00D076A8">
      <w:pPr>
        <w:pStyle w:val="NormalHanging12a"/>
        <w:rPr>
          <w:szCs w:val="24"/>
        </w:rPr>
      </w:pPr>
      <w:r w:rsidRPr="00E855BF">
        <w:t>27.</w:t>
      </w:r>
      <w:r w:rsidRPr="00E855BF">
        <w:tab/>
        <w:t>Europaparlamentet betonar vikten av att EU och medlemsstaterna ser till att det rättsligt bindande instrumentet omfattar en skyldighet att skydda rättigheterna och säkerheten för människorättsförsvarare, miljöförsvarare, journalister, arbetare och ursprungsbefolkningar samt andra marginaliserade grupper, och att integrera hänsyn till dessa grupper i hela instrumentet. Parlamentet insisterar särskilt på vikten av att införa principen om ursprungsbefolkningarnas fria och informerade förhandssamtycke.</w:t>
      </w:r>
    </w:p>
    <w:p w:rsidR="00D076A8" w:rsidRPr="00E855BF" w:rsidRDefault="00D076A8" w:rsidP="00D076A8">
      <w:pPr>
        <w:pStyle w:val="NormalHanging12a"/>
      </w:pPr>
      <w:r w:rsidRPr="00E855BF">
        <w:t>28.</w:t>
      </w:r>
      <w:r w:rsidRPr="00E855BF">
        <w:tab/>
        <w:t>Europaparlamentet uppmanar EU och medlemsstaterna att stödja att kampen mot korruption i linje med FN:s konvention mot korruption tas upp i det rättsligt bindande instrumentet, och erkänna att korruption underlättar, vidmakthåller och institutionaliserar kränkningar av de mänskliga rättigheterna.</w:t>
      </w:r>
    </w:p>
    <w:p w:rsidR="00D076A8" w:rsidRPr="00E855BF" w:rsidRDefault="00D076A8" w:rsidP="00D076A8">
      <w:pPr>
        <w:pStyle w:val="NormalHanging12a"/>
      </w:pPr>
      <w:r w:rsidRPr="00E855BF">
        <w:t>29.</w:t>
      </w:r>
      <w:r w:rsidRPr="00E855BF">
        <w:tab/>
        <w:t>Europaparlamentet är bekymrat över riskerna med forumshopping och dess inverkan när det gäller lika villkor, även inom EU. Parlamentet efterlyser instrument på EU-nivå för att minska dessa risker, inbegripet en övervakningsmekanism. Parlamentet betonar därför behovet av att se till att länder inför robusta och effektiva, men ändå praktiska och proportionella, mekanismer för kontroll av efterlevnad. Parlamentet insisterar dessutom på kravet på parterna att genomföra regelbundna och djupgående rapporter. Parlamentet noterar i detta avseende den potentiella funktionen hos de processer som antagits för utarbetande av nationella handlingsplaner för företag och mänskliga rättigheter. Parlamentet noterar att EU:s mandat bör säkerställa att kraven är utformade på ett sådant sätt att de kan anpassas till gällande EU-rätt på detta område.</w:t>
      </w:r>
    </w:p>
    <w:p w:rsidR="00D076A8" w:rsidRPr="00E855BF" w:rsidRDefault="00D076A8" w:rsidP="00D076A8">
      <w:pPr>
        <w:pStyle w:val="NormalHanging12a"/>
      </w:pPr>
      <w:r w:rsidRPr="00E855BF">
        <w:t>30.</w:t>
      </w:r>
      <w:r w:rsidRPr="00E855BF">
        <w:tab/>
        <w:t>Europaparlamentet förväntar sig att EU och medlemsstaterna främjar robusta bestämmelser om tillgång till rättslig prövning, inbegripet tillgång till statligt baserade rättsmedel, inom ramen för det rättsligt bindande instrumentet, i linje med deras åtagande att skydda brottsoffer, bekämpa straffrihet och upprätthålla FN:s vägledande principer.</w:t>
      </w:r>
    </w:p>
    <w:p w:rsidR="00D076A8" w:rsidRPr="00E855BF" w:rsidRDefault="00D076A8" w:rsidP="00D076A8">
      <w:pPr>
        <w:pStyle w:val="NormalHanging12a"/>
      </w:pPr>
      <w:r w:rsidRPr="00E855BF">
        <w:t>31.</w:t>
      </w:r>
      <w:r w:rsidRPr="00E855BF">
        <w:tab/>
        <w:t>Europaparlamentet betonar att bestämmelserna i det rättsligt bindande instrumentet om brottsoffers och rättighetshavares rättigheter måste klargöra hur rätten till rättvis, adekvat, snabb, icke-diskriminerande, lämplig och jämställdhetsorienterad tillgång till rättslig prövning, individuell eller kollektiv gottgörelse och effektiva rättsmedel ska säkerställas när det gäller kränkningar av de mänskliga rättigheterna som företag orsakar eller bidrar till. Parlamentet noterar att detta bör inbegripa rätten till kollektiv prövning, tillgång till rättshjälp, rätten att bli hörd i alla skeden av ett förfarande, företagsinformation enligt definitionen i berörda jurisdiktioner samt skydd mot repressalier och upprepad utsatthet. Parlamentet anser att mekanismerna för att minska bevisbördan för brottsoffer bör föreskrivas i utkastet för att främja deras rätt till rättsmedel. Parlamentet anser också att parterna bör tillåta interimistiska åtgärder eller skyddsåtgärder i brådskande fall.</w:t>
      </w:r>
    </w:p>
    <w:p w:rsidR="00D076A8" w:rsidRPr="00E855BF" w:rsidRDefault="00D076A8" w:rsidP="00D076A8">
      <w:pPr>
        <w:pStyle w:val="NormalHanging12a"/>
      </w:pPr>
      <w:r w:rsidRPr="00E855BF">
        <w:t>32.</w:t>
      </w:r>
      <w:r w:rsidRPr="00E855BF">
        <w:tab/>
        <w:t xml:space="preserve">Europaparlamentet insisterar på att det rättsligt bindande instrumentet bör inbegripa en skyldighet för parterna att utveckla ett omfattande och lämpligt system för rättsligt </w:t>
      </w:r>
      <w:r w:rsidRPr="00E855BF">
        <w:lastRenderedPageBreak/>
        <w:t>ansvar som är anpassat till brottsoffers behov, med avseende på rättsmedel, och som står i proportion till hur allvarlig överträdelsen är, samtidigt som oegentliga anspråk inte underlättas. Vidare insisterar parlamentet på att det rättsligt bindande instrumentet bör omfatta villkor för vederbörligt fastställande av företagens ansvar för skador som de är ansvariga för.</w:t>
      </w:r>
    </w:p>
    <w:p w:rsidR="00D076A8" w:rsidRPr="00E855BF" w:rsidRDefault="00D076A8" w:rsidP="00D076A8">
      <w:pPr>
        <w:pStyle w:val="NormalHanging12a"/>
      </w:pPr>
      <w:r w:rsidRPr="00E855BF">
        <w:t>33.</w:t>
      </w:r>
      <w:r w:rsidRPr="00E855BF">
        <w:tab/>
        <w:t>Europaparlamentet insisterar på att det rättsligt bindande instrumentet bör behandla de praktiska och förfarandemässiga hinder som de som utsatts för företagsöverträdelser stöter på när de söker rättvisa, bland annat genom att ta itu med domstolars svårighet att hävda sin behörighet i olika situationer, och genom att säkerställa att preskriptionstider inte är onödigt restriktiva. Parlamentet insisterar i detta sammanhang på vikten av att ta vederbörlig hänsyn till utsatta eller marginaliserade personer eller grupper.</w:t>
      </w:r>
    </w:p>
    <w:p w:rsidR="00D076A8" w:rsidRPr="00E855BF" w:rsidRDefault="00D076A8" w:rsidP="00D076A8">
      <w:pPr>
        <w:pStyle w:val="NormalHanging12a"/>
      </w:pPr>
      <w:r w:rsidRPr="00E855BF">
        <w:t>34.</w:t>
      </w:r>
      <w:r w:rsidRPr="00E855BF">
        <w:tab/>
        <w:t>Europaparlamentet välkomnar förslaget om att inrätta en internationell fond för brottsoffer inom ramen för det rättsligt bindande instrumentet som skulle ge rättsligt och ekonomiskt stöd till brottsoffer som söker tillgång till rättsmedel.</w:t>
      </w:r>
    </w:p>
    <w:p w:rsidR="00D076A8" w:rsidRPr="00E855BF" w:rsidRDefault="00D076A8" w:rsidP="00D076A8">
      <w:pPr>
        <w:pStyle w:val="NormalHanging12a"/>
        <w:rPr>
          <w:szCs w:val="24"/>
        </w:rPr>
      </w:pPr>
      <w:r w:rsidRPr="00E855BF">
        <w:t>35.</w:t>
      </w:r>
      <w:r w:rsidRPr="00E855BF">
        <w:tab/>
        <w:t>Europaparlamentet insisterar på att det rättsligt bindande instrumentet bör ge partskonferensen tillräckliga befogenheter att inrätta mekanismer för att övervaka instrumentets genomförande och utfärda rekommendationer för eventuella ytterligare åtgärder. Parlamentet anser att den kommitté som inrättats inom ramen för det rättsligt bindande instrumentet bör ha befogenhet att ta emot och behandla meddelanden och klagomål från enskilda personer, samhällen eller deras företrädare om företags människorättskränkningar som omfattas av instrumentet och som strider mot bestämmelserna i det, och om en parts kränkningar av någon av de rättigheter som fastställs i instrumentet.</w:t>
      </w:r>
    </w:p>
    <w:p w:rsidR="00D076A8" w:rsidRPr="00E855BF" w:rsidRDefault="00D076A8" w:rsidP="00D076A8">
      <w:pPr>
        <w:pStyle w:val="NormalHanging12a"/>
        <w:rPr>
          <w:szCs w:val="24"/>
        </w:rPr>
      </w:pPr>
      <w:r w:rsidRPr="00E855BF">
        <w:t>36.</w:t>
      </w:r>
      <w:r w:rsidRPr="00E855BF">
        <w:tab/>
        <w:t>Europaparlamentet uppmanar kommissionen att öka sitt finansiella och tekniska stöd till nationella myndigheter i länder utanför EU avseende företag och mänskliga rättigheter, i synnerhet genom att i) anta och genomföra nationella handlingsplaner enligt FN:s vägledande principer, ii) utveckla icke-rättsliga mekanismer såsom ombudsmannakontor eller nationella kontaktpunkter, iii) ta lagstiftningsinitiativ som syftar till att skydda visselblåsare och reglera affärsverksamhet när det gäller människorätts- och miljörelaterade skyldigheter, och iv) främja och tillhandahålla tillgängliga och effektiva rättsmedel för brottsoffer. Parlamentet uppmanar kommissionen att öka sitt stöd till det civila samhällets organisationer som är verksamma på detta område.</w:t>
      </w:r>
    </w:p>
    <w:p w:rsidR="00D076A8" w:rsidRPr="00E855BF" w:rsidRDefault="00D076A8" w:rsidP="00D076A8">
      <w:pPr>
        <w:pStyle w:val="NormalHanging12a"/>
        <w:jc w:val="center"/>
      </w:pPr>
      <w:r w:rsidRPr="00E855BF">
        <w:t>°</w:t>
      </w:r>
    </w:p>
    <w:p w:rsidR="00D076A8" w:rsidRPr="00E855BF" w:rsidRDefault="00D076A8" w:rsidP="00D076A8">
      <w:pPr>
        <w:pStyle w:val="NormalHanging12a"/>
        <w:jc w:val="center"/>
      </w:pPr>
      <w:r w:rsidRPr="00E855BF">
        <w:t>°</w:t>
      </w:r>
      <w:r w:rsidRPr="00E855BF">
        <w:tab/>
        <w:t>°</w:t>
      </w:r>
    </w:p>
    <w:p w:rsidR="00D076A8" w:rsidRPr="00E855BF" w:rsidRDefault="00D076A8" w:rsidP="00D076A8">
      <w:pPr>
        <w:pStyle w:val="NormalHanging12a"/>
        <w:widowControl/>
      </w:pPr>
      <w:r w:rsidRPr="00E855BF">
        <w:t>37.</w:t>
      </w:r>
      <w:r w:rsidRPr="00E855BF">
        <w:tab/>
        <w:t xml:space="preserve">Europaparlamentet uppdrar åt talmannen att översända denna resolution till rådet, kommissionen, vice ordföranden för kommissionen/unionens höga representant för utrikes frågor och säkerhetspolitik, ordföranden för FN:s råd för mänskliga rättigheter och ordföranden för den </w:t>
      </w:r>
      <w:r w:rsidRPr="00E855BF">
        <w:rPr>
          <w:rStyle w:val="doceo-font-family-base"/>
        </w:rPr>
        <w:t>öppna mellanstatliga arbetsgruppen</w:t>
      </w:r>
      <w:r w:rsidRPr="00E855BF">
        <w:t>.</w:t>
      </w:r>
    </w:p>
    <w:p w:rsidR="00E365E1" w:rsidRPr="00E855BF" w:rsidRDefault="00E365E1" w:rsidP="001955CD"/>
    <w:sectPr w:rsidR="00E365E1" w:rsidRPr="00E855BF" w:rsidSect="00E855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5CD" w:rsidRPr="00E855BF" w:rsidRDefault="001955CD">
      <w:r w:rsidRPr="00E855BF">
        <w:separator/>
      </w:r>
    </w:p>
  </w:endnote>
  <w:endnote w:type="continuationSeparator" w:id="0">
    <w:p w:rsidR="001955CD" w:rsidRPr="00E855BF" w:rsidRDefault="001955CD">
      <w:r w:rsidRPr="00E85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5CD" w:rsidRPr="00E855BF" w:rsidRDefault="001955CD">
      <w:r w:rsidRPr="00E855BF">
        <w:separator/>
      </w:r>
    </w:p>
  </w:footnote>
  <w:footnote w:type="continuationSeparator" w:id="0">
    <w:p w:rsidR="001955CD" w:rsidRPr="00E855BF" w:rsidRDefault="001955CD">
      <w:r w:rsidRPr="00E855BF">
        <w:continuationSeparator/>
      </w:r>
    </w:p>
  </w:footnote>
  <w:footnote w:id="1">
    <w:p w:rsidR="00D076A8" w:rsidRPr="00DE5468" w:rsidRDefault="00D076A8" w:rsidP="00E855BF">
      <w:pPr>
        <w:pStyle w:val="FootnoteText"/>
        <w:ind w:left="567" w:hanging="567"/>
        <w:rPr>
          <w:sz w:val="24"/>
          <w:szCs w:val="24"/>
          <w:lang w:val="en-GB"/>
        </w:rPr>
      </w:pPr>
      <w:r w:rsidRPr="00296468">
        <w:rPr>
          <w:rStyle w:val="FootnoteReference"/>
          <w:sz w:val="24"/>
          <w:szCs w:val="24"/>
          <w:lang w:val="sv-SE"/>
        </w:rPr>
        <w:footnoteRef/>
      </w:r>
      <w:r w:rsidR="00E855BF" w:rsidRPr="00DE5468">
        <w:rPr>
          <w:sz w:val="24"/>
          <w:szCs w:val="24"/>
          <w:lang w:val="en-GB"/>
        </w:rPr>
        <w:t xml:space="preserve"> </w:t>
      </w:r>
      <w:r w:rsidR="00E855BF" w:rsidRPr="00DE5468">
        <w:rPr>
          <w:sz w:val="24"/>
          <w:szCs w:val="24"/>
          <w:lang w:val="en-GB"/>
        </w:rPr>
        <w:tab/>
      </w:r>
      <w:r w:rsidRPr="00DE5468">
        <w:rPr>
          <w:sz w:val="24"/>
          <w:szCs w:val="24"/>
          <w:lang w:val="en-GB"/>
        </w:rPr>
        <w:t xml:space="preserve">Europeiska unionens byrå för grundläggande rättigheter, </w:t>
      </w:r>
      <w:hyperlink r:id="rId1" w:history="1">
        <w:r w:rsidRPr="00DE5468">
          <w:rPr>
            <w:rStyle w:val="Hyperlink"/>
            <w:i/>
            <w:iCs/>
            <w:color w:val="auto"/>
            <w:sz w:val="24"/>
            <w:szCs w:val="24"/>
            <w:u w:val="none"/>
            <w:lang w:val="en-GB"/>
          </w:rPr>
          <w:t>Improving access to remedy in the area of business and human rights at the EU level</w:t>
        </w:r>
      </w:hyperlink>
      <w:r w:rsidRPr="00DE5468">
        <w:rPr>
          <w:sz w:val="24"/>
          <w:szCs w:val="24"/>
          <w:lang w:val="en-GB"/>
        </w:rPr>
        <w:t xml:space="preserve">, 2017. </w:t>
      </w:r>
    </w:p>
  </w:footnote>
  <w:footnote w:id="2">
    <w:p w:rsidR="00D076A8" w:rsidRPr="00296468" w:rsidRDefault="00D076A8" w:rsidP="00E855BF">
      <w:pPr>
        <w:pStyle w:val="FootnoteText"/>
        <w:ind w:left="567" w:hanging="567"/>
        <w:rPr>
          <w:sz w:val="24"/>
          <w:szCs w:val="24"/>
          <w:lang w:val="sv-SE"/>
        </w:rPr>
      </w:pPr>
      <w:r w:rsidRPr="00296468">
        <w:rPr>
          <w:rStyle w:val="FootnoteReference"/>
          <w:sz w:val="24"/>
          <w:szCs w:val="24"/>
          <w:lang w:val="sv-SE"/>
        </w:rPr>
        <w:footnoteRef/>
      </w:r>
      <w:r w:rsidR="00E855BF" w:rsidRPr="00296468">
        <w:rPr>
          <w:sz w:val="24"/>
          <w:szCs w:val="24"/>
          <w:lang w:val="sv-SE"/>
        </w:rPr>
        <w:t xml:space="preserve"> </w:t>
      </w:r>
      <w:r w:rsidR="00E855BF" w:rsidRPr="00296468">
        <w:rPr>
          <w:sz w:val="24"/>
          <w:szCs w:val="24"/>
          <w:lang w:val="sv-SE"/>
        </w:rPr>
        <w:tab/>
      </w:r>
      <w:r w:rsidRPr="00296468">
        <w:rPr>
          <w:sz w:val="24"/>
          <w:szCs w:val="24"/>
          <w:lang w:val="sv-SE"/>
        </w:rPr>
        <w:t xml:space="preserve">Europeiska unionens byrå för grundläggande rättigheter, </w:t>
      </w:r>
      <w:hyperlink r:id="rId2" w:history="1">
        <w:r w:rsidRPr="00DE5468">
          <w:rPr>
            <w:rStyle w:val="Hyperlink"/>
            <w:i/>
            <w:iCs/>
            <w:color w:val="auto"/>
            <w:sz w:val="24"/>
            <w:szCs w:val="24"/>
            <w:u w:val="none"/>
            <w:lang w:val="sv-SE"/>
          </w:rPr>
          <w:t>Business And Human Rights – Access To Remedy</w:t>
        </w:r>
      </w:hyperlink>
      <w:r w:rsidRPr="00296468">
        <w:rPr>
          <w:sz w:val="24"/>
          <w:szCs w:val="24"/>
          <w:lang w:val="sv-SE"/>
        </w:rPr>
        <w:t xml:space="preserve">, 2020. </w:t>
      </w:r>
    </w:p>
  </w:footnote>
  <w:footnote w:id="3">
    <w:p w:rsidR="00D076A8" w:rsidRPr="00DE5468" w:rsidRDefault="00D076A8" w:rsidP="00E855BF">
      <w:pPr>
        <w:pStyle w:val="FootnoteText"/>
        <w:ind w:left="567" w:hanging="567"/>
        <w:rPr>
          <w:sz w:val="24"/>
          <w:szCs w:val="24"/>
        </w:rPr>
      </w:pPr>
      <w:r w:rsidRPr="00296468">
        <w:rPr>
          <w:rStyle w:val="FootnoteReference"/>
          <w:sz w:val="24"/>
          <w:szCs w:val="24"/>
          <w:lang w:val="sv-SE"/>
        </w:rPr>
        <w:footnoteRef/>
      </w:r>
      <w:r w:rsidR="00E855BF" w:rsidRPr="00DE5468">
        <w:rPr>
          <w:sz w:val="24"/>
          <w:szCs w:val="24"/>
        </w:rPr>
        <w:t xml:space="preserve"> </w:t>
      </w:r>
      <w:r w:rsidR="00E855BF" w:rsidRPr="00DE5468">
        <w:rPr>
          <w:sz w:val="24"/>
          <w:szCs w:val="24"/>
        </w:rPr>
        <w:tab/>
      </w:r>
      <w:r w:rsidRPr="00DE5468">
        <w:rPr>
          <w:sz w:val="24"/>
          <w:szCs w:val="24"/>
        </w:rPr>
        <w:t xml:space="preserve">EUT C 215, 19.6.2018, s. 125. </w:t>
      </w:r>
    </w:p>
  </w:footnote>
  <w:footnote w:id="4">
    <w:p w:rsidR="00D076A8" w:rsidRPr="00DE5468" w:rsidRDefault="00D076A8" w:rsidP="00E855BF">
      <w:pPr>
        <w:pStyle w:val="FootnoteText"/>
        <w:ind w:left="567" w:hanging="567"/>
        <w:rPr>
          <w:sz w:val="24"/>
          <w:szCs w:val="24"/>
        </w:rPr>
      </w:pPr>
      <w:r w:rsidRPr="00296468">
        <w:rPr>
          <w:rStyle w:val="FootnoteReference"/>
          <w:sz w:val="24"/>
          <w:szCs w:val="24"/>
          <w:lang w:val="sv-SE"/>
        </w:rPr>
        <w:footnoteRef/>
      </w:r>
      <w:r w:rsidR="00E855BF" w:rsidRPr="00DE5468">
        <w:rPr>
          <w:sz w:val="24"/>
          <w:szCs w:val="24"/>
        </w:rPr>
        <w:t xml:space="preserve"> </w:t>
      </w:r>
      <w:r w:rsidR="00E855BF" w:rsidRPr="00DE5468">
        <w:rPr>
          <w:sz w:val="24"/>
          <w:szCs w:val="24"/>
        </w:rPr>
        <w:tab/>
      </w:r>
      <w:r w:rsidRPr="00DE5468">
        <w:rPr>
          <w:sz w:val="24"/>
          <w:szCs w:val="24"/>
        </w:rPr>
        <w:t>EUT C 11, 13.1.2020, s. 36.</w:t>
      </w:r>
    </w:p>
  </w:footnote>
  <w:footnote w:id="5">
    <w:p w:rsidR="00D076A8" w:rsidRPr="00296468" w:rsidRDefault="00D076A8" w:rsidP="00E855BF">
      <w:pPr>
        <w:pStyle w:val="FootnoteText"/>
        <w:ind w:left="567" w:hanging="567"/>
        <w:rPr>
          <w:sz w:val="24"/>
          <w:szCs w:val="24"/>
          <w:lang w:val="sv-SE"/>
        </w:rPr>
      </w:pPr>
      <w:r w:rsidRPr="00296468">
        <w:rPr>
          <w:rStyle w:val="FootnoteReference"/>
          <w:sz w:val="24"/>
          <w:szCs w:val="24"/>
          <w:lang w:val="sv-SE"/>
        </w:rPr>
        <w:footnoteRef/>
      </w:r>
      <w:r w:rsidR="00E855BF" w:rsidRPr="00296468">
        <w:rPr>
          <w:sz w:val="24"/>
          <w:szCs w:val="24"/>
          <w:lang w:val="sv-SE"/>
        </w:rPr>
        <w:t xml:space="preserve"> </w:t>
      </w:r>
      <w:r w:rsidR="00E855BF" w:rsidRPr="00296468">
        <w:rPr>
          <w:sz w:val="24"/>
          <w:szCs w:val="24"/>
          <w:lang w:val="sv-SE"/>
        </w:rPr>
        <w:tab/>
      </w:r>
      <w:r w:rsidRPr="00296468">
        <w:rPr>
          <w:sz w:val="24"/>
          <w:szCs w:val="24"/>
          <w:lang w:val="sv-SE"/>
        </w:rPr>
        <w:t>EUT C 214, 16.6.2023, s.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SV"/>
    <w:docVar w:name="dvnumam" w:val="0"/>
    <w:docVar w:name="dvpe" w:val="751.807"/>
    <w:docVar w:name="dvrapporteur" w:val="Föredragande: "/>
    <w:docVar w:name="dvtitre" w:val="Europaparlamentets resolution av den xx xx 2024 om utarbetande av EU:s ståndpunkt om FN:s bindande instrument för företag och mänskliga rättigheter, särskilt för tillgång till rättsmedel och skydd av offer(2023/2108(INI))"/>
  </w:docVars>
  <w:rsids>
    <w:rsidRoot w:val="001955CD"/>
    <w:rsid w:val="00002272"/>
    <w:rsid w:val="00064002"/>
    <w:rsid w:val="000677B9"/>
    <w:rsid w:val="000831BA"/>
    <w:rsid w:val="000A42CC"/>
    <w:rsid w:val="000E7DD9"/>
    <w:rsid w:val="0010095E"/>
    <w:rsid w:val="00125B37"/>
    <w:rsid w:val="00187494"/>
    <w:rsid w:val="001955CD"/>
    <w:rsid w:val="001B6770"/>
    <w:rsid w:val="001F32AE"/>
    <w:rsid w:val="002767FF"/>
    <w:rsid w:val="00296468"/>
    <w:rsid w:val="002B18FE"/>
    <w:rsid w:val="002B5493"/>
    <w:rsid w:val="00343214"/>
    <w:rsid w:val="003572B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6A8"/>
    <w:rsid w:val="00D56C11"/>
    <w:rsid w:val="00D834A0"/>
    <w:rsid w:val="00D872DF"/>
    <w:rsid w:val="00D91E21"/>
    <w:rsid w:val="00DA7FCD"/>
    <w:rsid w:val="00DE1479"/>
    <w:rsid w:val="00DE5468"/>
    <w:rsid w:val="00E365E1"/>
    <w:rsid w:val="00E820A4"/>
    <w:rsid w:val="00E855B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DA9CD"/>
  <w15:chartTrackingRefBased/>
  <w15:docId w15:val="{0C800D8A-8F70-49DF-94A1-D270EF55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76A8"/>
    <w:pPr>
      <w:spacing w:after="240"/>
      <w:ind w:left="567" w:hanging="567"/>
    </w:pPr>
  </w:style>
  <w:style w:type="paragraph" w:customStyle="1" w:styleId="EPComma">
    <w:name w:val="EPComma"/>
    <w:basedOn w:val="Normal"/>
    <w:rsid w:val="00D076A8"/>
    <w:pPr>
      <w:spacing w:before="480" w:after="240"/>
    </w:pPr>
  </w:style>
  <w:style w:type="character" w:styleId="Hyperlink">
    <w:name w:val="Hyperlink"/>
    <w:basedOn w:val="DefaultParagraphFont"/>
    <w:uiPriority w:val="99"/>
    <w:unhideWhenUsed/>
    <w:rsid w:val="00D076A8"/>
    <w:rPr>
      <w:color w:val="0563C1" w:themeColor="hyperlink"/>
      <w:u w:val="single"/>
    </w:rPr>
  </w:style>
  <w:style w:type="character" w:customStyle="1" w:styleId="doceo-font-family-base">
    <w:name w:val="doceo-font-family-base"/>
    <w:basedOn w:val="DefaultParagraphFont"/>
    <w:rsid w:val="00D076A8"/>
  </w:style>
  <w:style w:type="character" w:customStyle="1" w:styleId="NormalHanging12aChar">
    <w:name w:val="NormalHanging12a Char"/>
    <w:basedOn w:val="DefaultParagraphFont"/>
    <w:link w:val="NormalHanging12a"/>
    <w:rsid w:val="00D076A8"/>
    <w:rPr>
      <w:sz w:val="24"/>
      <w:lang w:val="sv-SE"/>
    </w:rPr>
  </w:style>
  <w:style w:type="paragraph" w:styleId="BalloonText">
    <w:name w:val="Balloon Text"/>
    <w:basedOn w:val="Normal"/>
    <w:link w:val="BalloonTextChar"/>
    <w:rsid w:val="00296468"/>
    <w:rPr>
      <w:rFonts w:ascii="Segoe UI" w:hAnsi="Segoe UI" w:cs="Segoe UI"/>
      <w:sz w:val="18"/>
      <w:szCs w:val="18"/>
    </w:rPr>
  </w:style>
  <w:style w:type="character" w:customStyle="1" w:styleId="BalloonTextChar">
    <w:name w:val="Balloon Text Char"/>
    <w:basedOn w:val="DefaultParagraphFont"/>
    <w:link w:val="BalloonText"/>
    <w:rsid w:val="00296468"/>
    <w:rPr>
      <w:rFonts w:ascii="Segoe UI" w:hAnsi="Segoe UI" w:cs="Segoe UI"/>
      <w:sz w:val="18"/>
      <w:szCs w:val="18"/>
      <w:lang w:val="sv-SE"/>
    </w:rPr>
  </w:style>
  <w:style w:type="character" w:styleId="FollowedHyperlink">
    <w:name w:val="FollowedHyperlink"/>
    <w:basedOn w:val="DefaultParagraphFont"/>
    <w:rsid w:val="002964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9F95A-2CE3-4D58-BD49-02A3E4525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4672</Words>
  <Characters>26635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2024-02-15T11:04:00Z</dcterms:created>
  <dcterms:modified xsi:type="dcterms:W3CDTF">2024-02-15T11:04:00Z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A9-0421/2023</vt:lpwstr>
  </property>
  <property fmtid="{D5CDD505-2E9C-101B-9397-08002B2CF9AE}" pid="4" name="&lt;Type&gt;">
    <vt:lpwstr>RR</vt:lpwstr>
  </property>
</Properties>
</file>