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5AF4" w:rsidTr="0010095E">
        <w:trPr>
          <w:trHeight w:hRule="exact" w:val="1418"/>
        </w:trPr>
        <w:tc>
          <w:tcPr>
            <w:tcW w:w="6804" w:type="dxa"/>
            <w:shd w:val="clear" w:color="auto" w:fill="auto"/>
            <w:vAlign w:val="center"/>
          </w:tcPr>
          <w:p w:rsidR="00751A4A" w:rsidRPr="00A45AF4" w:rsidRDefault="00AE6F6C" w:rsidP="0010095E">
            <w:pPr>
              <w:pStyle w:val="EPName"/>
            </w:pPr>
            <w:r w:rsidRPr="00A45AF4">
              <w:t>Europa-Parlamentet</w:t>
            </w:r>
          </w:p>
          <w:p w:rsidR="00751A4A" w:rsidRPr="00A45AF4" w:rsidRDefault="00817416" w:rsidP="00756632">
            <w:pPr>
              <w:pStyle w:val="EPTerm"/>
              <w:rPr>
                <w:rStyle w:val="HideTWBExt"/>
                <w:noProof w:val="0"/>
                <w:vanish w:val="0"/>
                <w:color w:val="auto"/>
              </w:rPr>
            </w:pPr>
            <w:r w:rsidRPr="00A45AF4">
              <w:t>2019-2024</w:t>
            </w:r>
          </w:p>
        </w:tc>
        <w:tc>
          <w:tcPr>
            <w:tcW w:w="2268" w:type="dxa"/>
            <w:shd w:val="clear" w:color="auto" w:fill="auto"/>
          </w:tcPr>
          <w:p w:rsidR="00751A4A" w:rsidRPr="00A45AF4" w:rsidRDefault="00187494" w:rsidP="0010095E">
            <w:pPr>
              <w:pStyle w:val="EPLogo"/>
            </w:pPr>
            <w:r w:rsidRPr="00A45AF4">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5AF4" w:rsidRDefault="00D058B8" w:rsidP="004C5D52">
      <w:pPr>
        <w:pStyle w:val="LineTop"/>
      </w:pPr>
    </w:p>
    <w:p w:rsidR="00680577" w:rsidRPr="00A45AF4" w:rsidRDefault="00AE6F6C" w:rsidP="00680577">
      <w:pPr>
        <w:pStyle w:val="EPBodyTA1"/>
      </w:pPr>
      <w:r w:rsidRPr="00A45AF4">
        <w:t>VEDTAGNE TEKSTER</w:t>
      </w:r>
    </w:p>
    <w:p w:rsidR="00D058B8" w:rsidRPr="00A45AF4" w:rsidRDefault="00D058B8" w:rsidP="00D058B8">
      <w:pPr>
        <w:pStyle w:val="LineBottom"/>
      </w:pPr>
    </w:p>
    <w:p w:rsidR="00AE6F6C" w:rsidRPr="00A45AF4" w:rsidRDefault="00AE6F6C" w:rsidP="00AE6F6C">
      <w:pPr>
        <w:pStyle w:val="ATHeading1"/>
      </w:pPr>
      <w:bookmarkStart w:id="0" w:name="TANumber"/>
      <w:r w:rsidRPr="00A45AF4">
        <w:t>P9_TA(2024)00</w:t>
      </w:r>
      <w:bookmarkEnd w:id="0"/>
      <w:r w:rsidR="001C45F2">
        <w:t>43</w:t>
      </w:r>
      <w:bookmarkStart w:id="1" w:name="_GoBack"/>
      <w:bookmarkEnd w:id="1"/>
    </w:p>
    <w:p w:rsidR="00AE6F6C" w:rsidRPr="00A45AF4" w:rsidRDefault="00842F07" w:rsidP="00AE6F6C">
      <w:pPr>
        <w:pStyle w:val="ATHeading2"/>
      </w:pPr>
      <w:r w:rsidRPr="00842F07">
        <w:t>Ulovligt fiskeris indvirkning på fødevaresikkerheden – Den Europæiske Unions rolle</w:t>
      </w:r>
    </w:p>
    <w:p w:rsidR="00AE6F6C" w:rsidRPr="00A45AF4" w:rsidRDefault="00AE6F6C" w:rsidP="00AE6F6C">
      <w:pPr>
        <w:rPr>
          <w:i/>
          <w:vanish/>
        </w:rPr>
      </w:pPr>
      <w:r w:rsidRPr="00A45AF4">
        <w:rPr>
          <w:i/>
        </w:rPr>
        <w:fldChar w:fldCharType="begin"/>
      </w:r>
      <w:r w:rsidRPr="00A45AF4">
        <w:rPr>
          <w:i/>
        </w:rPr>
        <w:instrText xml:space="preserve"> TC"(</w:instrText>
      </w:r>
      <w:bookmarkStart w:id="2" w:name="DocNumber"/>
      <w:r w:rsidRPr="00A45AF4">
        <w:rPr>
          <w:i/>
        </w:rPr>
        <w:instrText>A9-0433/2023</w:instrText>
      </w:r>
      <w:bookmarkEnd w:id="2"/>
      <w:r w:rsidRPr="00A45AF4">
        <w:rPr>
          <w:i/>
        </w:rPr>
        <w:instrText xml:space="preserve"> - Ordfører: Nuno Melo)"\l3 \n&gt; \* MERGEFORMAT </w:instrText>
      </w:r>
      <w:r w:rsidRPr="00A45AF4">
        <w:rPr>
          <w:i/>
        </w:rPr>
        <w:fldChar w:fldCharType="end"/>
      </w:r>
    </w:p>
    <w:p w:rsidR="00AE6F6C" w:rsidRPr="00A45AF4" w:rsidRDefault="00AE6F6C" w:rsidP="00AE6F6C">
      <w:pPr>
        <w:rPr>
          <w:vanish/>
        </w:rPr>
      </w:pPr>
      <w:bookmarkStart w:id="3" w:name="Commission"/>
      <w:r w:rsidRPr="00A45AF4">
        <w:rPr>
          <w:vanish/>
        </w:rPr>
        <w:t>Fiskeriudvalget</w:t>
      </w:r>
      <w:bookmarkEnd w:id="3"/>
    </w:p>
    <w:p w:rsidR="00AE6F6C" w:rsidRPr="00A45AF4" w:rsidRDefault="00AE6F6C" w:rsidP="00AE6F6C">
      <w:pPr>
        <w:rPr>
          <w:vanish/>
        </w:rPr>
      </w:pPr>
      <w:bookmarkStart w:id="4" w:name="PE"/>
      <w:r w:rsidRPr="00A45AF4">
        <w:rPr>
          <w:vanish/>
        </w:rPr>
        <w:t>PE753.497</w:t>
      </w:r>
      <w:bookmarkEnd w:id="4"/>
    </w:p>
    <w:p w:rsidR="00AE6F6C" w:rsidRPr="00A45AF4" w:rsidRDefault="00AE6F6C" w:rsidP="00AE6F6C">
      <w:pPr>
        <w:pStyle w:val="ATHeading3"/>
      </w:pPr>
      <w:bookmarkStart w:id="5" w:name="Sujet"/>
      <w:r w:rsidRPr="00A45AF4">
        <w:t xml:space="preserve">Europa-Parlamentets beslutning af </w:t>
      </w:r>
      <w:r w:rsidR="002531B0">
        <w:t>18</w:t>
      </w:r>
      <w:r w:rsidRPr="00A45AF4">
        <w:t>.</w:t>
      </w:r>
      <w:r w:rsidR="00842F07">
        <w:t xml:space="preserve"> januar</w:t>
      </w:r>
      <w:r w:rsidRPr="00A45AF4">
        <w:t xml:space="preserve"> 2024 om ulovligt fiskeris indvirkning på fødevaresikkerheden – Den Europæiske Unions rolle</w:t>
      </w:r>
      <w:bookmarkEnd w:id="5"/>
      <w:r w:rsidRPr="00A45AF4">
        <w:t xml:space="preserve"> </w:t>
      </w:r>
      <w:bookmarkStart w:id="6" w:name="References"/>
      <w:r w:rsidRPr="00A45AF4">
        <w:t>(2023/2027(INI))</w:t>
      </w:r>
      <w:bookmarkEnd w:id="6"/>
    </w:p>
    <w:p w:rsidR="00343635" w:rsidRPr="00A45AF4" w:rsidRDefault="00343635" w:rsidP="00343635">
      <w:pPr>
        <w:pStyle w:val="EPComma"/>
      </w:pPr>
      <w:bookmarkStart w:id="7" w:name="TextBodyBegin"/>
      <w:bookmarkEnd w:id="7"/>
      <w:r w:rsidRPr="00A45AF4">
        <w:rPr>
          <w:rStyle w:val="Italic"/>
        </w:rPr>
        <w:t>Europa-Parlamentet</w:t>
      </w:r>
      <w:r w:rsidRPr="00A45AF4">
        <w:t>,</w:t>
      </w:r>
    </w:p>
    <w:p w:rsidR="00343635" w:rsidRPr="00A45AF4" w:rsidRDefault="00343635" w:rsidP="00343635">
      <w:pPr>
        <w:pStyle w:val="NormalHanging12a"/>
      </w:pPr>
      <w:r w:rsidRPr="00A45AF4">
        <w:t>–</w:t>
      </w:r>
      <w:r w:rsidRPr="00A45AF4">
        <w:tab/>
        <w:t>der henviser til FN's havretskonvention fra 1982,</w:t>
      </w:r>
    </w:p>
    <w:p w:rsidR="00343635" w:rsidRPr="00A45AF4" w:rsidRDefault="00343635" w:rsidP="00343635">
      <w:pPr>
        <w:pStyle w:val="NormalHanging12a"/>
      </w:pPr>
      <w:r w:rsidRPr="00A45AF4">
        <w:t>–</w:t>
      </w:r>
      <w:r w:rsidRPr="00A45AF4">
        <w:tab/>
        <w:t>der henviser til FN's aftale om fiskebestande fra 1995,</w:t>
      </w:r>
    </w:p>
    <w:p w:rsidR="00343635" w:rsidRPr="00A45AF4" w:rsidRDefault="00343635" w:rsidP="00343635">
      <w:pPr>
        <w:pStyle w:val="NormalHanging12a"/>
      </w:pPr>
      <w:r w:rsidRPr="00A45AF4">
        <w:t>–</w:t>
      </w:r>
      <w:r w:rsidRPr="00A45AF4">
        <w:tab/>
        <w:t>der henviser til Fødevare- og Landbrugsorganisationens (FAO's) aftale fra 1995 om fremme af fiskerfartøjers overholdelse af internationale bevarelses- og forvaltningsforanstaltninger på det åbne hav,</w:t>
      </w:r>
    </w:p>
    <w:p w:rsidR="00343635" w:rsidRPr="00A45AF4" w:rsidRDefault="00343635" w:rsidP="00343635">
      <w:pPr>
        <w:pStyle w:val="NormalHanging12a"/>
      </w:pPr>
      <w:r w:rsidRPr="00A45AF4">
        <w:t>–</w:t>
      </w:r>
      <w:r w:rsidRPr="00A45AF4">
        <w:tab/>
        <w:t>der henviser til FAO's adfærdskodeks for ansvarligt fiskeri fra 1995,</w:t>
      </w:r>
    </w:p>
    <w:p w:rsidR="00343635" w:rsidRPr="00A45AF4" w:rsidRDefault="00343635" w:rsidP="00343635">
      <w:pPr>
        <w:pStyle w:val="NormalHanging12a"/>
      </w:pPr>
      <w:r w:rsidRPr="00A45AF4">
        <w:t>–</w:t>
      </w:r>
      <w:r w:rsidRPr="00A45AF4">
        <w:tab/>
        <w:t xml:space="preserve">der henviser til FAO's internationale handlingsplan om forebyggelse, afværgelse og standsning af ulovligt, </w:t>
      </w:r>
      <w:proofErr w:type="spellStart"/>
      <w:r w:rsidRPr="00A45AF4">
        <w:t>urapporteret</w:t>
      </w:r>
      <w:proofErr w:type="spellEnd"/>
      <w:r w:rsidRPr="00A45AF4">
        <w:t xml:space="preserve"> og ureguleret fiskeri fra 2001,</w:t>
      </w:r>
    </w:p>
    <w:p w:rsidR="00343635" w:rsidRPr="00A45AF4" w:rsidRDefault="00343635" w:rsidP="00343635">
      <w:pPr>
        <w:pStyle w:val="NormalHanging12a"/>
      </w:pPr>
      <w:r w:rsidRPr="00A45AF4">
        <w:t>–</w:t>
      </w:r>
      <w:r w:rsidRPr="00A45AF4">
        <w:tab/>
        <w:t>der henviser til Den Internationale Arbejdsorganisations (ILO's) konvention nr. 188 om arbejdsforhold i fiskerisektoren fra 14. juni 2007,</w:t>
      </w:r>
    </w:p>
    <w:p w:rsidR="00343635" w:rsidRPr="00A45AF4" w:rsidRDefault="00343635" w:rsidP="00343635">
      <w:pPr>
        <w:pStyle w:val="NormalHanging12a"/>
      </w:pPr>
      <w:r w:rsidRPr="00A45AF4">
        <w:t>–</w:t>
      </w:r>
      <w:r w:rsidRPr="00A45AF4">
        <w:tab/>
        <w:t xml:space="preserve">der henviser til Rådets forordning (EF) nr. 1005/2008 af 29. september 2008 om en EF-ordning, der skal forebygge, afværge og standse ulovligt, </w:t>
      </w:r>
      <w:proofErr w:type="spellStart"/>
      <w:r w:rsidRPr="00A45AF4">
        <w:t>urapporteret</w:t>
      </w:r>
      <w:proofErr w:type="spellEnd"/>
      <w:r w:rsidRPr="00A45AF4">
        <w:t xml:space="preserve"> og ureguleret fiskeri, om ændring af forordning (EØF) nr. 2847/93, (EF) nr. 1936/2001 og (EF) nr. 601/2004 og om ophævelse af forordning (EF) nr. 1093/94 og (EF) nr. 1447/1999</w:t>
      </w:r>
      <w:r w:rsidRPr="00A45AF4">
        <w:rPr>
          <w:rStyle w:val="FootnoteReference"/>
        </w:rPr>
        <w:footnoteReference w:id="1"/>
      </w:r>
      <w:r w:rsidRPr="00A45AF4">
        <w:t xml:space="preserve"> (IUU-forordningen),</w:t>
      </w:r>
    </w:p>
    <w:p w:rsidR="00343635" w:rsidRPr="00A45AF4" w:rsidRDefault="00343635" w:rsidP="00343635">
      <w:pPr>
        <w:pStyle w:val="NormalHanging12a"/>
      </w:pPr>
      <w:r w:rsidRPr="00A45AF4">
        <w:t>–</w:t>
      </w:r>
      <w:r w:rsidRPr="00A45AF4">
        <w:tab/>
        <w:t xml:space="preserve">der henviser til Rådets forordning (EF) nr. 1224/2009 af 20. november 2009 om oprettelse af en EF-kontrolordning med henblik på at sikre overholdelse af reglerne i den fælles fiskeripolitik, om ændring af forordning (EF) nr. 847/96, (EF) nr. 2371/2002, (EF) nr. 811/2004, (EF) nr. 768/2005, (EF) nr. 2115/2005, (EF) nr. 2166/2005, (EF) nr. 388/2006, (EF) nr. 509/2007, (EF) nr. 676/2007, (EF) nr. 1098/2007, (EF) nr. </w:t>
      </w:r>
      <w:r w:rsidRPr="00A45AF4">
        <w:lastRenderedPageBreak/>
        <w:t>1300/2008, (EF) nr. 1342/2008 og om ophævelse af forordning (EØF) nr. 2847/93, (EF) nr. 1627/94 og (EF) nr. 1966/2006</w:t>
      </w:r>
      <w:r w:rsidRPr="00A45AF4">
        <w:rPr>
          <w:rStyle w:val="FootnoteReference"/>
        </w:rPr>
        <w:footnoteReference w:id="2"/>
      </w:r>
      <w:r w:rsidRPr="00A45AF4">
        <w:t xml:space="preserve"> (fiskerikontrolforordningen),</w:t>
      </w:r>
    </w:p>
    <w:p w:rsidR="00343635" w:rsidRPr="00A45AF4" w:rsidRDefault="00343635" w:rsidP="00343635">
      <w:pPr>
        <w:pStyle w:val="NormalHanging12a"/>
      </w:pPr>
      <w:r w:rsidRPr="00A45AF4">
        <w:t>–</w:t>
      </w:r>
      <w:r w:rsidRPr="00A45AF4">
        <w:tab/>
        <w:t xml:space="preserve">der henviser til FAO's aftale om havnestatsforanstaltninger, der skal forebygge, afværge og standse ulovligt, </w:t>
      </w:r>
      <w:proofErr w:type="spellStart"/>
      <w:r w:rsidRPr="00A45AF4">
        <w:t>urapporteret</w:t>
      </w:r>
      <w:proofErr w:type="spellEnd"/>
      <w:r w:rsidRPr="00A45AF4">
        <w:t xml:space="preserve"> og ureguleret fiskeri fra 2009,</w:t>
      </w:r>
    </w:p>
    <w:p w:rsidR="00343635" w:rsidRPr="00A45AF4" w:rsidRDefault="00343635" w:rsidP="00343635">
      <w:pPr>
        <w:pStyle w:val="NormalHanging12a"/>
      </w:pPr>
      <w:r w:rsidRPr="00A45AF4">
        <w:t>–</w:t>
      </w:r>
      <w:r w:rsidRPr="00A45AF4">
        <w:tab/>
        <w:t xml:space="preserve">der henviser til Cape Town-aftalen fra 2012 om gennemførelse af bestemmelserne i </w:t>
      </w:r>
      <w:proofErr w:type="spellStart"/>
      <w:r w:rsidRPr="00A45AF4">
        <w:t>Torremolinosprotokollen</w:t>
      </w:r>
      <w:proofErr w:type="spellEnd"/>
      <w:r w:rsidRPr="00A45AF4">
        <w:t xml:space="preserve"> af 1993 til den internationale </w:t>
      </w:r>
      <w:proofErr w:type="spellStart"/>
      <w:r w:rsidRPr="00A45AF4">
        <w:t>Torremolinoskonvention</w:t>
      </w:r>
      <w:proofErr w:type="spellEnd"/>
      <w:r w:rsidRPr="00A45AF4">
        <w:t xml:space="preserve"> om fiskeskibes sikkerhed af 1977,</w:t>
      </w:r>
    </w:p>
    <w:p w:rsidR="00343635" w:rsidRPr="00A45AF4" w:rsidRDefault="00343635" w:rsidP="00343635">
      <w:pPr>
        <w:pStyle w:val="NormalHanging12a"/>
      </w:pPr>
      <w:r w:rsidRPr="00A45AF4">
        <w:t>–</w:t>
      </w:r>
      <w:r w:rsidRPr="00A45AF4">
        <w:tab/>
        <w:t>der henviser til FAO's frivillige retningslinjer for flagstatspræstationer fra 2014,</w:t>
      </w:r>
    </w:p>
    <w:p w:rsidR="00343635" w:rsidRPr="00A45AF4" w:rsidRDefault="00343635" w:rsidP="00343635">
      <w:pPr>
        <w:pStyle w:val="NormalHanging12a"/>
      </w:pPr>
      <w:r w:rsidRPr="00A45AF4">
        <w:t>–</w:t>
      </w:r>
      <w:r w:rsidRPr="00A45AF4">
        <w:tab/>
        <w:t>der henviser til Rådets forordning (EU) 2020/1998 af 7. december 2020 om restriktive foranstaltninger over for alvorlige krænkelser af menneskerettighederne</w:t>
      </w:r>
      <w:r w:rsidRPr="00A45AF4">
        <w:rPr>
          <w:rStyle w:val="FootnoteReference"/>
        </w:rPr>
        <w:footnoteReference w:id="3"/>
      </w:r>
      <w:r w:rsidRPr="00A45AF4">
        <w:t>, </w:t>
      </w:r>
    </w:p>
    <w:p w:rsidR="00343635" w:rsidRPr="00A45AF4" w:rsidRDefault="00343635" w:rsidP="00343635">
      <w:pPr>
        <w:pStyle w:val="NormalHanging12a"/>
      </w:pPr>
      <w:r w:rsidRPr="00A45AF4">
        <w:t>–</w:t>
      </w:r>
      <w:r w:rsidRPr="00A45AF4">
        <w:tab/>
        <w:t>der henviser til rapport fra EU's IUU-fiskerikoalition fra december 2021 med titlen "</w:t>
      </w:r>
      <w:proofErr w:type="spellStart"/>
      <w:r w:rsidRPr="00A45AF4">
        <w:t>Seafood</w:t>
      </w:r>
      <w:proofErr w:type="spellEnd"/>
      <w:r w:rsidRPr="00A45AF4">
        <w:t xml:space="preserve"> </w:t>
      </w:r>
      <w:proofErr w:type="spellStart"/>
      <w:r w:rsidRPr="00A45AF4">
        <w:t>traceability</w:t>
      </w:r>
      <w:proofErr w:type="spellEnd"/>
      <w:r w:rsidRPr="00A45AF4">
        <w:t xml:space="preserve">: </w:t>
      </w:r>
      <w:proofErr w:type="spellStart"/>
      <w:r w:rsidRPr="00A45AF4">
        <w:t>Aligning</w:t>
      </w:r>
      <w:proofErr w:type="spellEnd"/>
      <w:r w:rsidRPr="00A45AF4">
        <w:t xml:space="preserve"> RFMO </w:t>
      </w:r>
      <w:proofErr w:type="spellStart"/>
      <w:r w:rsidRPr="00A45AF4">
        <w:t>catch</w:t>
      </w:r>
      <w:proofErr w:type="spellEnd"/>
      <w:r w:rsidRPr="00A45AF4">
        <w:t xml:space="preserve"> </w:t>
      </w:r>
      <w:proofErr w:type="spellStart"/>
      <w:r w:rsidRPr="00A45AF4">
        <w:t>documentation</w:t>
      </w:r>
      <w:proofErr w:type="spellEnd"/>
      <w:r w:rsidRPr="00A45AF4">
        <w:t xml:space="preserve"> </w:t>
      </w:r>
      <w:proofErr w:type="spellStart"/>
      <w:r w:rsidRPr="00A45AF4">
        <w:t>schemes</w:t>
      </w:r>
      <w:proofErr w:type="spellEnd"/>
      <w:r w:rsidRPr="00A45AF4">
        <w:t xml:space="preserve"> to </w:t>
      </w:r>
      <w:proofErr w:type="spellStart"/>
      <w:r w:rsidRPr="00A45AF4">
        <w:t>combat</w:t>
      </w:r>
      <w:proofErr w:type="spellEnd"/>
      <w:r w:rsidRPr="00A45AF4">
        <w:t xml:space="preserve"> IUU </w:t>
      </w:r>
      <w:proofErr w:type="spellStart"/>
      <w:r w:rsidRPr="00A45AF4">
        <w:t>fishing</w:t>
      </w:r>
      <w:proofErr w:type="spellEnd"/>
      <w:r w:rsidRPr="00A45AF4">
        <w:t>",</w:t>
      </w:r>
    </w:p>
    <w:p w:rsidR="00343635" w:rsidRPr="00842F07" w:rsidRDefault="00343635" w:rsidP="00343635">
      <w:pPr>
        <w:pStyle w:val="NormalHanging12a"/>
        <w:rPr>
          <w:lang w:val="en-GB"/>
        </w:rPr>
      </w:pPr>
      <w:r w:rsidRPr="00842F07">
        <w:rPr>
          <w:lang w:val="en-GB"/>
        </w:rPr>
        <w:t>–</w:t>
      </w:r>
      <w:r w:rsidRPr="00842F07">
        <w:rPr>
          <w:lang w:val="en-GB"/>
        </w:rPr>
        <w:tab/>
        <w:t xml:space="preserve">der </w:t>
      </w:r>
      <w:proofErr w:type="spellStart"/>
      <w:r w:rsidRPr="00842F07">
        <w:rPr>
          <w:lang w:val="en-GB"/>
        </w:rPr>
        <w:t>henviser</w:t>
      </w:r>
      <w:proofErr w:type="spellEnd"/>
      <w:r w:rsidRPr="00842F07">
        <w:rPr>
          <w:lang w:val="en-GB"/>
        </w:rPr>
        <w:t xml:space="preserve"> </w:t>
      </w:r>
      <w:proofErr w:type="spellStart"/>
      <w:r w:rsidRPr="00842F07">
        <w:rPr>
          <w:lang w:val="en-GB"/>
        </w:rPr>
        <w:t>til</w:t>
      </w:r>
      <w:proofErr w:type="spellEnd"/>
      <w:r w:rsidRPr="00842F07">
        <w:rPr>
          <w:lang w:val="en-GB"/>
        </w:rPr>
        <w:t xml:space="preserve"> </w:t>
      </w:r>
      <w:proofErr w:type="spellStart"/>
      <w:r w:rsidRPr="00842F07">
        <w:rPr>
          <w:lang w:val="en-GB"/>
        </w:rPr>
        <w:t>Kommissionens</w:t>
      </w:r>
      <w:proofErr w:type="spellEnd"/>
      <w:r w:rsidRPr="00842F07">
        <w:rPr>
          <w:lang w:val="en-GB"/>
        </w:rPr>
        <w:t xml:space="preserve"> </w:t>
      </w:r>
      <w:proofErr w:type="spellStart"/>
      <w:r w:rsidRPr="00842F07">
        <w:rPr>
          <w:lang w:val="en-GB"/>
        </w:rPr>
        <w:t>undersøgelse</w:t>
      </w:r>
      <w:proofErr w:type="spellEnd"/>
      <w:r w:rsidRPr="00842F07">
        <w:rPr>
          <w:lang w:val="en-GB"/>
        </w:rPr>
        <w:t xml:space="preserve"> </w:t>
      </w:r>
      <w:proofErr w:type="spellStart"/>
      <w:r w:rsidRPr="00842F07">
        <w:rPr>
          <w:lang w:val="en-GB"/>
        </w:rPr>
        <w:t>fra</w:t>
      </w:r>
      <w:proofErr w:type="spellEnd"/>
      <w:r w:rsidRPr="00842F07">
        <w:rPr>
          <w:lang w:val="en-GB"/>
        </w:rPr>
        <w:t xml:space="preserve"> 2022 med </w:t>
      </w:r>
      <w:proofErr w:type="spellStart"/>
      <w:r w:rsidRPr="00842F07">
        <w:rPr>
          <w:lang w:val="en-GB"/>
        </w:rPr>
        <w:t>titlen</w:t>
      </w:r>
      <w:proofErr w:type="spellEnd"/>
      <w:r w:rsidRPr="00842F07">
        <w:rPr>
          <w:lang w:val="en-GB"/>
        </w:rPr>
        <w:t xml:space="preserve"> "Study on the legislative frameworks and enforcement systems of Member States regarding obligations and sanctions to nationals for infringements to the rules arising from the IUU Regulation",</w:t>
      </w:r>
    </w:p>
    <w:p w:rsidR="00343635" w:rsidRPr="00A45AF4" w:rsidRDefault="00343635" w:rsidP="00343635">
      <w:pPr>
        <w:pStyle w:val="NormalHanging12a"/>
      </w:pPr>
      <w:r w:rsidRPr="00A45AF4">
        <w:t>–</w:t>
      </w:r>
      <w:r w:rsidRPr="00A45AF4">
        <w:tab/>
        <w:t xml:space="preserve">der henviser til Revisionsrettens særberetning 20/2022 af 26. september 2022 med titlen "EU's foranstaltninger til bekæmpelse af ulovligt fiskeri – Kontrolsystemerne er på plads, men svækkes på grund af medlemsstaternes uensartede kontroller og sanktioner", som omhandler EU's politik for bekæmpelse af ulovligt, </w:t>
      </w:r>
      <w:proofErr w:type="spellStart"/>
      <w:r w:rsidRPr="00A45AF4">
        <w:t>urapporteret</w:t>
      </w:r>
      <w:proofErr w:type="spellEnd"/>
      <w:r w:rsidRPr="00A45AF4">
        <w:t xml:space="preserve"> og ureguleret fiskeri (IUU-fiskeri),</w:t>
      </w:r>
    </w:p>
    <w:p w:rsidR="00343635" w:rsidRPr="00842F07" w:rsidRDefault="00343635" w:rsidP="00343635">
      <w:pPr>
        <w:pStyle w:val="NormalHanging12a"/>
        <w:rPr>
          <w:lang w:val="en-GB"/>
        </w:rPr>
      </w:pPr>
      <w:r w:rsidRPr="00842F07">
        <w:rPr>
          <w:lang w:val="en-GB"/>
        </w:rPr>
        <w:t>–</w:t>
      </w:r>
      <w:r w:rsidRPr="00842F07">
        <w:rPr>
          <w:lang w:val="en-GB"/>
        </w:rPr>
        <w:tab/>
      </w:r>
      <w:proofErr w:type="gramStart"/>
      <w:r w:rsidRPr="00842F07">
        <w:rPr>
          <w:lang w:val="en-GB"/>
        </w:rPr>
        <w:t>der</w:t>
      </w:r>
      <w:proofErr w:type="gramEnd"/>
      <w:r w:rsidRPr="00842F07">
        <w:rPr>
          <w:lang w:val="en-GB"/>
        </w:rPr>
        <w:t xml:space="preserve"> </w:t>
      </w:r>
      <w:proofErr w:type="spellStart"/>
      <w:r w:rsidRPr="00842F07">
        <w:rPr>
          <w:lang w:val="en-GB"/>
        </w:rPr>
        <w:t>henviser</w:t>
      </w:r>
      <w:proofErr w:type="spellEnd"/>
      <w:r w:rsidRPr="00842F07">
        <w:rPr>
          <w:lang w:val="en-GB"/>
        </w:rPr>
        <w:t xml:space="preserve"> </w:t>
      </w:r>
      <w:proofErr w:type="spellStart"/>
      <w:r w:rsidRPr="00842F07">
        <w:rPr>
          <w:lang w:val="en-GB"/>
        </w:rPr>
        <w:t>til</w:t>
      </w:r>
      <w:proofErr w:type="spellEnd"/>
      <w:r w:rsidRPr="00842F07">
        <w:rPr>
          <w:lang w:val="en-GB"/>
        </w:rPr>
        <w:t xml:space="preserve"> FAO's 2022-rapport med </w:t>
      </w:r>
      <w:proofErr w:type="spellStart"/>
      <w:r w:rsidRPr="00842F07">
        <w:rPr>
          <w:lang w:val="en-GB"/>
        </w:rPr>
        <w:t>titlen</w:t>
      </w:r>
      <w:proofErr w:type="spellEnd"/>
      <w:r w:rsidRPr="00842F07">
        <w:rPr>
          <w:lang w:val="en-GB"/>
        </w:rPr>
        <w:t xml:space="preserve"> "The State of World Fisheries and Aquaculture 2022 − Towards Blue Transformation",</w:t>
      </w:r>
    </w:p>
    <w:p w:rsidR="00343635" w:rsidRPr="00A45AF4" w:rsidRDefault="00343635" w:rsidP="00343635">
      <w:pPr>
        <w:pStyle w:val="NormalHanging12a"/>
      </w:pPr>
      <w:r w:rsidRPr="00A45AF4">
        <w:t>–</w:t>
      </w:r>
      <w:r w:rsidRPr="00A45AF4">
        <w:tab/>
        <w:t xml:space="preserve">der henviser til IUU Fishing Action Alliance </w:t>
      </w:r>
      <w:proofErr w:type="spellStart"/>
      <w:r w:rsidRPr="00A45AF4">
        <w:t>Pledge</w:t>
      </w:r>
      <w:proofErr w:type="spellEnd"/>
      <w:r w:rsidRPr="00A45AF4">
        <w:t xml:space="preserve"> med henblik på at fremme ambitioner og handling i bekæmpelsen af ulovligt, </w:t>
      </w:r>
      <w:proofErr w:type="spellStart"/>
      <w:r w:rsidRPr="00A45AF4">
        <w:t>urapporteret</w:t>
      </w:r>
      <w:proofErr w:type="spellEnd"/>
      <w:r w:rsidRPr="00A45AF4">
        <w:t xml:space="preserve"> og ureguleret fiskeri, der blev indgået den 28. juni 2022, </w:t>
      </w:r>
    </w:p>
    <w:p w:rsidR="00343635" w:rsidRPr="00A45AF4" w:rsidRDefault="00343635" w:rsidP="00343635">
      <w:pPr>
        <w:pStyle w:val="NormalHanging12a"/>
      </w:pPr>
      <w:r w:rsidRPr="00A45AF4">
        <w:t>–</w:t>
      </w:r>
      <w:r w:rsidRPr="00A45AF4">
        <w:tab/>
        <w:t>der henviser til Verdenshandelsorganisationens (WTO's) 2022-aftale om fiskerisubsidier, der forbyder subsidier til skadeligt fiskeri;</w:t>
      </w:r>
    </w:p>
    <w:p w:rsidR="00343635" w:rsidRPr="00842F07" w:rsidRDefault="00343635" w:rsidP="00343635">
      <w:pPr>
        <w:pStyle w:val="NormalHanging12a"/>
        <w:rPr>
          <w:lang w:val="en-GB"/>
        </w:rPr>
      </w:pPr>
      <w:r w:rsidRPr="00842F07">
        <w:rPr>
          <w:lang w:val="en-GB"/>
        </w:rPr>
        <w:t>–</w:t>
      </w:r>
      <w:r w:rsidRPr="00842F07">
        <w:rPr>
          <w:lang w:val="en-GB"/>
        </w:rPr>
        <w:tab/>
        <w:t xml:space="preserve">der </w:t>
      </w:r>
      <w:proofErr w:type="spellStart"/>
      <w:r w:rsidRPr="00842F07">
        <w:rPr>
          <w:lang w:val="en-GB"/>
        </w:rPr>
        <w:t>henviser</w:t>
      </w:r>
      <w:proofErr w:type="spellEnd"/>
      <w:r w:rsidRPr="00842F07">
        <w:rPr>
          <w:lang w:val="en-GB"/>
        </w:rPr>
        <w:t xml:space="preserve"> </w:t>
      </w:r>
      <w:proofErr w:type="spellStart"/>
      <w:r w:rsidRPr="00842F07">
        <w:rPr>
          <w:lang w:val="en-GB"/>
        </w:rPr>
        <w:t>til</w:t>
      </w:r>
      <w:proofErr w:type="spellEnd"/>
      <w:r w:rsidRPr="00842F07">
        <w:rPr>
          <w:lang w:val="en-GB"/>
        </w:rPr>
        <w:t xml:space="preserve"> FAO's </w:t>
      </w:r>
      <w:proofErr w:type="spellStart"/>
      <w:r w:rsidRPr="00842F07">
        <w:rPr>
          <w:lang w:val="en-GB"/>
        </w:rPr>
        <w:t>vejledende</w:t>
      </w:r>
      <w:proofErr w:type="spellEnd"/>
      <w:r w:rsidRPr="00842F07">
        <w:rPr>
          <w:lang w:val="en-GB"/>
        </w:rPr>
        <w:t xml:space="preserve"> </w:t>
      </w:r>
      <w:proofErr w:type="spellStart"/>
      <w:r w:rsidRPr="00842F07">
        <w:rPr>
          <w:lang w:val="en-GB"/>
        </w:rPr>
        <w:t>dokument</w:t>
      </w:r>
      <w:proofErr w:type="spellEnd"/>
      <w:r w:rsidRPr="00842F07">
        <w:rPr>
          <w:lang w:val="en-GB"/>
        </w:rPr>
        <w:t xml:space="preserve"> </w:t>
      </w:r>
      <w:proofErr w:type="spellStart"/>
      <w:r w:rsidRPr="00842F07">
        <w:rPr>
          <w:lang w:val="en-GB"/>
        </w:rPr>
        <w:t>fra</w:t>
      </w:r>
      <w:proofErr w:type="spellEnd"/>
      <w:r w:rsidRPr="00842F07">
        <w:rPr>
          <w:lang w:val="en-GB"/>
        </w:rPr>
        <w:t xml:space="preserve"> 2023 med </w:t>
      </w:r>
      <w:proofErr w:type="spellStart"/>
      <w:r w:rsidRPr="00842F07">
        <w:rPr>
          <w:lang w:val="en-GB"/>
        </w:rPr>
        <w:t>titlen</w:t>
      </w:r>
      <w:proofErr w:type="spellEnd"/>
      <w:r w:rsidRPr="00842F07">
        <w:rPr>
          <w:lang w:val="en-GB"/>
        </w:rPr>
        <w:t xml:space="preserve"> "Advancing end-to-end traceability – Critical tracking events and key data elements along capture fisheries and aquaculture value chains",</w:t>
      </w:r>
    </w:p>
    <w:p w:rsidR="00343635" w:rsidRPr="00842F07" w:rsidRDefault="00343635" w:rsidP="00343635">
      <w:pPr>
        <w:pStyle w:val="NormalHanging12a"/>
        <w:rPr>
          <w:lang w:val="en-GB"/>
        </w:rPr>
      </w:pPr>
      <w:r w:rsidRPr="00842F07">
        <w:rPr>
          <w:lang w:val="en-GB"/>
        </w:rPr>
        <w:t>–</w:t>
      </w:r>
      <w:r w:rsidRPr="00842F07">
        <w:rPr>
          <w:lang w:val="en-GB"/>
        </w:rPr>
        <w:tab/>
        <w:t xml:space="preserve">der </w:t>
      </w:r>
      <w:proofErr w:type="spellStart"/>
      <w:r w:rsidRPr="00842F07">
        <w:rPr>
          <w:lang w:val="en-GB"/>
        </w:rPr>
        <w:t>henviser</w:t>
      </w:r>
      <w:proofErr w:type="spellEnd"/>
      <w:r w:rsidRPr="00842F07">
        <w:rPr>
          <w:lang w:val="en-GB"/>
        </w:rPr>
        <w:t xml:space="preserve"> </w:t>
      </w:r>
      <w:proofErr w:type="spellStart"/>
      <w:r w:rsidRPr="00842F07">
        <w:rPr>
          <w:lang w:val="en-GB"/>
        </w:rPr>
        <w:t>til</w:t>
      </w:r>
      <w:proofErr w:type="spellEnd"/>
      <w:r w:rsidRPr="00842F07">
        <w:rPr>
          <w:lang w:val="en-GB"/>
        </w:rPr>
        <w:t xml:space="preserve"> FAO's </w:t>
      </w:r>
      <w:proofErr w:type="spellStart"/>
      <w:r w:rsidRPr="00842F07">
        <w:rPr>
          <w:lang w:val="en-GB"/>
        </w:rPr>
        <w:t>tekniske</w:t>
      </w:r>
      <w:proofErr w:type="spellEnd"/>
      <w:r w:rsidRPr="00842F07">
        <w:rPr>
          <w:lang w:val="en-GB"/>
        </w:rPr>
        <w:t xml:space="preserve"> </w:t>
      </w:r>
      <w:proofErr w:type="spellStart"/>
      <w:r w:rsidRPr="00842F07">
        <w:rPr>
          <w:lang w:val="en-GB"/>
        </w:rPr>
        <w:t>vejledning</w:t>
      </w:r>
      <w:proofErr w:type="spellEnd"/>
      <w:r w:rsidRPr="00842F07">
        <w:rPr>
          <w:lang w:val="en-GB"/>
        </w:rPr>
        <w:t xml:space="preserve"> 2023 med </w:t>
      </w:r>
      <w:proofErr w:type="spellStart"/>
      <w:r w:rsidRPr="00842F07">
        <w:rPr>
          <w:lang w:val="en-GB"/>
        </w:rPr>
        <w:t>titlen</w:t>
      </w:r>
      <w:proofErr w:type="spellEnd"/>
      <w:r w:rsidRPr="00842F07">
        <w:rPr>
          <w:lang w:val="en-GB"/>
        </w:rPr>
        <w:t xml:space="preserve"> "Implementation of the International Plan of Action to Prevent, Deter and Eliminate Illegal, Unreported and Unregulated Fishing – 1. Methodologies and indicators for the estimation of the </w:t>
      </w:r>
      <w:r w:rsidRPr="00842F07">
        <w:rPr>
          <w:lang w:val="en-GB"/>
        </w:rPr>
        <w:lastRenderedPageBreak/>
        <w:t>magnitude and impact of illegal, unreported and unregulated fishing: 1.1 Principles and approaches",</w:t>
      </w:r>
    </w:p>
    <w:p w:rsidR="00343635" w:rsidRPr="00A45AF4" w:rsidRDefault="00343635" w:rsidP="00343635">
      <w:pPr>
        <w:pStyle w:val="NormalHanging12a"/>
      </w:pPr>
      <w:r w:rsidRPr="00A45AF4">
        <w:t>–</w:t>
      </w:r>
      <w:r w:rsidRPr="00A45AF4">
        <w:tab/>
        <w:t xml:space="preserve">der henviser til den fælles rådgivning af 21. april 2023 fra Det Rådgivende Råd for Markederne og Det Rådgivende Råd for </w:t>
      </w:r>
      <w:proofErr w:type="spellStart"/>
      <w:r w:rsidRPr="00A45AF4">
        <w:t>Højsøflåden</w:t>
      </w:r>
      <w:proofErr w:type="spellEnd"/>
      <w:r w:rsidRPr="00A45AF4">
        <w:t xml:space="preserve"> om behovet for harmoniseret importkontrol mellem medlemsstaterne for at forhindre, at produkter fra ulovligt, </w:t>
      </w:r>
      <w:proofErr w:type="spellStart"/>
      <w:r w:rsidRPr="00A45AF4">
        <w:t>urapporteret</w:t>
      </w:r>
      <w:proofErr w:type="spellEnd"/>
      <w:r w:rsidRPr="00A45AF4">
        <w:t xml:space="preserve"> og ureguleret fiskeri (IUU-fiskeri) kommer ind på EU-markedet,</w:t>
      </w:r>
    </w:p>
    <w:p w:rsidR="00343635" w:rsidRPr="00A45AF4" w:rsidRDefault="00343635" w:rsidP="00343635">
      <w:pPr>
        <w:pStyle w:val="NormalHanging12a"/>
      </w:pPr>
      <w:r w:rsidRPr="00A45AF4">
        <w:t>–</w:t>
      </w:r>
      <w:r w:rsidRPr="00A45AF4">
        <w:tab/>
        <w:t>der henviser til Europa-Parlamentets holdning om forbud mod produkter fremstillet ved tvangsarbejde på EU-markedet (</w:t>
      </w:r>
      <w:proofErr w:type="gramStart"/>
      <w:r w:rsidRPr="00A45AF4">
        <w:t>COM(</w:t>
      </w:r>
      <w:proofErr w:type="gramEnd"/>
      <w:r w:rsidRPr="00A45AF4">
        <w:t>2022)0453),</w:t>
      </w:r>
    </w:p>
    <w:p w:rsidR="00343635" w:rsidRPr="00A45AF4" w:rsidRDefault="00343635" w:rsidP="00343635">
      <w:pPr>
        <w:pStyle w:val="NormalHanging12a"/>
      </w:pPr>
      <w:r w:rsidRPr="00A45AF4">
        <w:t>–</w:t>
      </w:r>
      <w:r w:rsidRPr="00A45AF4">
        <w:tab/>
        <w:t>der henviser til sin beslutning af 17. oktober 2023 om konsekvenserne af det kinesiske fiskeri for EU's fiskeri og vejen frem</w:t>
      </w:r>
      <w:r w:rsidRPr="00A45AF4">
        <w:rPr>
          <w:rStyle w:val="FootnoteReference"/>
        </w:rPr>
        <w:footnoteReference w:id="4"/>
      </w:r>
      <w:r w:rsidRPr="00A45AF4">
        <w:t>,</w:t>
      </w:r>
    </w:p>
    <w:p w:rsidR="00343635" w:rsidRPr="00A45AF4" w:rsidRDefault="00343635" w:rsidP="00343635">
      <w:pPr>
        <w:pStyle w:val="NormalHanging12a"/>
      </w:pPr>
      <w:r w:rsidRPr="00A45AF4">
        <w:t>–</w:t>
      </w:r>
      <w:r w:rsidRPr="00A45AF4">
        <w:tab/>
        <w:t>der henviser til FN's verdensmål for bæredygtig udvikling, navnlig mål 14 om "Livet i havet: bevare og sikre bæredygtig brug af verdens have og deres ressourcer",</w:t>
      </w:r>
    </w:p>
    <w:p w:rsidR="00343635" w:rsidRPr="00A45AF4" w:rsidRDefault="00343635" w:rsidP="00343635">
      <w:pPr>
        <w:pStyle w:val="NormalHanging12a"/>
      </w:pPr>
      <w:r w:rsidRPr="00A45AF4">
        <w:t>–</w:t>
      </w:r>
      <w:r w:rsidRPr="00A45AF4">
        <w:tab/>
        <w:t>der henviser til forretningsordenens artikel 54,</w:t>
      </w:r>
    </w:p>
    <w:p w:rsidR="00343635" w:rsidRPr="00A45AF4" w:rsidRDefault="00343635" w:rsidP="00343635">
      <w:pPr>
        <w:pStyle w:val="NormalHanging12a"/>
      </w:pPr>
      <w:r w:rsidRPr="00A45AF4">
        <w:t>–</w:t>
      </w:r>
      <w:r w:rsidRPr="00A45AF4">
        <w:tab/>
        <w:t>der henviser til betænkning fra Fiskeriudvalget (A9-0433/2023),</w:t>
      </w:r>
    </w:p>
    <w:p w:rsidR="00343635" w:rsidRPr="00A45AF4" w:rsidRDefault="00343635" w:rsidP="00343635">
      <w:pPr>
        <w:pStyle w:val="NormalHanging12a"/>
      </w:pPr>
      <w:r w:rsidRPr="00A45AF4">
        <w:t>A.</w:t>
      </w:r>
      <w:r w:rsidRPr="00A45AF4">
        <w:tab/>
        <w:t>der henviser til, at EU i sin egenskab af en vigtig global aktør inden for fiskeri med en fiskerflåde på ca. 73 000 fartøjer og i sin egenskab af verdens største importør af fiskevarer, hvilket udgør 34 % af den samlede verdenshandel i værdi, idet næsten 70 % af de fiskevarer, der forbruges i EU, importeres, derfor spiller en central rolle i bekæmpelsen af IUU-fiskeri på verdensplan;</w:t>
      </w:r>
    </w:p>
    <w:p w:rsidR="00343635" w:rsidRPr="00A45AF4" w:rsidRDefault="00343635" w:rsidP="00343635">
      <w:pPr>
        <w:pStyle w:val="NormalHanging12a"/>
      </w:pPr>
      <w:r w:rsidRPr="00A45AF4">
        <w:t>B.</w:t>
      </w:r>
      <w:r w:rsidRPr="00A45AF4">
        <w:tab/>
        <w:t>der henviser til, at fiskerisektoren i EU beskæftiger 124 000 fiskere direkte og genererer 6,3 mia. EUR i indtægter hvert år;</w:t>
      </w:r>
    </w:p>
    <w:p w:rsidR="00343635" w:rsidRPr="00A45AF4" w:rsidRDefault="00343635" w:rsidP="00343635">
      <w:pPr>
        <w:pStyle w:val="NormalHanging12a"/>
      </w:pPr>
      <w:r w:rsidRPr="00A45AF4">
        <w:t>C.</w:t>
      </w:r>
      <w:r w:rsidRPr="00A45AF4">
        <w:tab/>
        <w:t xml:space="preserve">der henviser til, at det er vanskeligt at vurdere omfanget af IUU-fiskeri og dets økonomiske værdi; der henviser til, at undersøgelser har vist, at den globale mængde </w:t>
      </w:r>
      <w:proofErr w:type="spellStart"/>
      <w:r w:rsidRPr="00A45AF4">
        <w:t>urapporterede</w:t>
      </w:r>
      <w:proofErr w:type="spellEnd"/>
      <w:r w:rsidRPr="00A45AF4">
        <w:t xml:space="preserve"> fangster vil være omkring 28 mio. tons i 2016 med en anslået værdi på 41 mia. USD; der henviser til, at ulovlig fangst i starten af 2000-tallet blev anslået til mellem 10 og 26 mio. ton fisk med en anslået værdi på 10-23 mia. USD; der henviser til, at det i EU anslås, at den årlige import af produkter fra IUU-fiskeri ligger på omkring 500 000 ton med en værdi på 1,1 mia. EUR</w:t>
      </w:r>
      <w:r w:rsidRPr="00A45AF4">
        <w:rPr>
          <w:rStyle w:val="FootnoteReference"/>
        </w:rPr>
        <w:footnoteReference w:id="5"/>
      </w:r>
      <w:r w:rsidRPr="00A45AF4">
        <w:t xml:space="preserve">; </w:t>
      </w:r>
    </w:p>
    <w:p w:rsidR="00343635" w:rsidRPr="00A45AF4" w:rsidRDefault="00343635" w:rsidP="00343635">
      <w:pPr>
        <w:pStyle w:val="NormalHanging12a"/>
      </w:pPr>
      <w:r w:rsidRPr="00A45AF4">
        <w:t>D.</w:t>
      </w:r>
      <w:r w:rsidRPr="00A45AF4">
        <w:tab/>
        <w:t>der henviser til, at IUU-fiskeripraksis har en betydelig indvirkning på fødevaresikkerheden og beskæftigelsesmulighederne for kystsamfundene samt udgør en stor trussel mod marine økosystemer og fiskebestande, hvilket udgør en alvorlig trussel mod fiskernes og kystsamfundenes levebrød i Den Europæiske Union og i tredjelande og skaber illoyal konkurrence på markedet for fiskevarer;</w:t>
      </w:r>
    </w:p>
    <w:p w:rsidR="00343635" w:rsidRPr="00A45AF4" w:rsidRDefault="00343635" w:rsidP="00343635">
      <w:pPr>
        <w:pStyle w:val="NormalHanging12a"/>
      </w:pPr>
      <w:r w:rsidRPr="00A45AF4">
        <w:t>E.</w:t>
      </w:r>
      <w:r w:rsidRPr="00A45AF4">
        <w:tab/>
        <w:t>der henviser til, at EU er forpligtet til at nå mål 14.4 for bæredygtig udvikling, at standse IUU-fiskeri senest i 2020 og i videst muligt omfang eliminere import af produkter fra IUU-fiskeri, der stadig kommer ind på EU-markedet;</w:t>
      </w:r>
    </w:p>
    <w:p w:rsidR="00343635" w:rsidRPr="00A45AF4" w:rsidRDefault="00343635" w:rsidP="00343635">
      <w:pPr>
        <w:pStyle w:val="NormalHanging12a"/>
      </w:pPr>
      <w:r w:rsidRPr="00A45AF4">
        <w:t>F.</w:t>
      </w:r>
      <w:r w:rsidRPr="00A45AF4">
        <w:tab/>
        <w:t>der henviser til, at EU's fjernflåde konkurrerer med visse udenlandske flåder, der beskyldes for at udøve IUU-fiskeri, herunder tvangsarbejde, udnyttelse af arbejdskraft og menneskehandel, hvilket underminerer fiskernes levebrød og menneskerettigheder rundt om i verden og fiskebestandenes bæredygtighed og for at sælge billige fiskevarer til EU-markedet, hvilket gør EU-produkter af høj kvalitet ikkekonkurrencedygtige; der henviser til, at EU's indsats mod IUU-fiskeri bidrager til at sikre ensartede vilkår for EU-operatører og operatører fra lande uden for EU;</w:t>
      </w:r>
    </w:p>
    <w:p w:rsidR="00343635" w:rsidRPr="00A45AF4" w:rsidRDefault="00343635" w:rsidP="00343635">
      <w:pPr>
        <w:pStyle w:val="NormalHanging12a"/>
      </w:pPr>
      <w:r w:rsidRPr="00A45AF4">
        <w:t>G.</w:t>
      </w:r>
      <w:r w:rsidRPr="00A45AF4">
        <w:tab/>
        <w:t>der henviser til, at EU har en solid ramme for fiskerilovgivning, herunder foranstaltninger til at forbedre den overvågnings-, inspektions-, kontrol- og overvågningskapacitet, som anvendes til at bekæmpe IUU-fiskeri;</w:t>
      </w:r>
    </w:p>
    <w:p w:rsidR="00343635" w:rsidRPr="00A45AF4" w:rsidRDefault="00343635" w:rsidP="00343635">
      <w:pPr>
        <w:pStyle w:val="NormalHanging12a"/>
      </w:pPr>
      <w:r w:rsidRPr="00A45AF4">
        <w:t>H.</w:t>
      </w:r>
      <w:r w:rsidRPr="00A45AF4">
        <w:tab/>
        <w:t xml:space="preserve">der henviser til, at det fremgår af Revisionsrettens særberetning om EU's foranstaltninger til bekæmpelse af IUU-fiskeri, at forordningen om IUU-fiskeri har forbedret sporbarheden og styrket importkontrollen, den har vist sig at være nyttig og har udløst positive reformer i de fleste af de berørte lande, men at det konkluderes, at kontrolsystemerne svækkes af medlemsstaternes uensartede kontroller og sanktioner; </w:t>
      </w:r>
    </w:p>
    <w:p w:rsidR="00343635" w:rsidRPr="00A45AF4" w:rsidRDefault="00343635" w:rsidP="00343635">
      <w:pPr>
        <w:pStyle w:val="NormalHanging12a"/>
      </w:pPr>
      <w:r w:rsidRPr="00A45AF4">
        <w:t>I.</w:t>
      </w:r>
      <w:r w:rsidRPr="00A45AF4">
        <w:tab/>
        <w:t xml:space="preserve">der henviser til, at digitaliseringen af IUU-fangstattester gennem IT-systemet CATCH vil mindske mulighederne for svigagtig import; der henviser til, at EU's certificeringsordning for fangst er den mest omfattende sammenlignet med USA's og Japans ordninger, idet disse lande er henholdsvis den anden- og den tredjestørste importør i verden; </w:t>
      </w:r>
    </w:p>
    <w:p w:rsidR="00343635" w:rsidRPr="00A45AF4" w:rsidRDefault="00343635" w:rsidP="00343635">
      <w:pPr>
        <w:pStyle w:val="NormalHanging12a"/>
      </w:pPr>
      <w:r w:rsidRPr="00A45AF4">
        <w:t>J.</w:t>
      </w:r>
      <w:r w:rsidRPr="00A45AF4">
        <w:tab/>
        <w:t>der henviser til, at IUU-forordningens artikel 12 forbyder import af fiskevarer fra IUU-fiskeri, og at tredjelande kan udpeges som ikkesamarbejdende lande i overensstemmelse med bestemmelserne i forordningens artikel 31-36; der henviser til, at EU har en nultolerancepolitik over for IUU-fiskeri, som gælder for alle aspekter af fiskeri, uanset om det finder sted inden for eller uden for EU;</w:t>
      </w:r>
    </w:p>
    <w:p w:rsidR="00343635" w:rsidRPr="00A45AF4" w:rsidRDefault="00343635" w:rsidP="00343635">
      <w:pPr>
        <w:pStyle w:val="NormalHanging12a"/>
      </w:pPr>
      <w:r w:rsidRPr="00A45AF4">
        <w:t>K.</w:t>
      </w:r>
      <w:r w:rsidRPr="00A45AF4">
        <w:tab/>
        <w:t>der henviser til, at fem tredjelande i øjeblikket har et rødt kort, og at otte har et gult kort; der henviser til, at en stor producent af fiskevarer, Folkerepublikken Kina, imidlertid aldrig har været genstand for en procedure i henhold til IUU-forordningen, på trods af at der findes omfattende dokumentation for dens betydelige og voksende involvering i IUU-fiskeri, og der henviser til, at dens uregulerede og uigennemsigtige fiskeriaktiviteter er til betydelig fare for de globale fiskeressourcers og fiskerisektorers overlevelse;</w:t>
      </w:r>
    </w:p>
    <w:p w:rsidR="00343635" w:rsidRPr="00A45AF4" w:rsidRDefault="00343635" w:rsidP="00343635">
      <w:pPr>
        <w:pStyle w:val="NormalHanging12a"/>
      </w:pPr>
      <w:r w:rsidRPr="00A45AF4">
        <w:t>L.</w:t>
      </w:r>
      <w:r w:rsidRPr="00A45AF4">
        <w:tab/>
        <w:t>der henviser til, at Den Europæiske Hav- og Fiskerifond ydede støtte til overvågnings-, kontrol- og håndhævelsesaktiviteter, og at det samlede budget øremærket til dette udgjorde 580 mio. EUR;</w:t>
      </w:r>
    </w:p>
    <w:p w:rsidR="00343635" w:rsidRPr="00A45AF4" w:rsidRDefault="00343635" w:rsidP="00343635">
      <w:pPr>
        <w:pStyle w:val="NormalHanging12a"/>
      </w:pPr>
      <w:r w:rsidRPr="00A45AF4">
        <w:t>M.</w:t>
      </w:r>
      <w:r w:rsidRPr="00A45AF4">
        <w:tab/>
        <w:t xml:space="preserve">der henviser til, at Den Europæiske Hav-, Fiskeri- og Akvakulturfond (EHFAF) yder vigtig støtte til overvågnings-, kontrol- og håndhævelsesaktiviteter med den specifikke målsætning at "fremme effektiv fiskerikontrol og -håndhævelse, herunder bekæmpelse af IUU-fiskeri" under prioritet 1 – Fremme af bæredygtigt fiskeri og genopretning og bevarelse af </w:t>
      </w:r>
      <w:proofErr w:type="spellStart"/>
      <w:r w:rsidRPr="00A45AF4">
        <w:t>akvatiske</w:t>
      </w:r>
      <w:proofErr w:type="spellEnd"/>
      <w:r w:rsidRPr="00A45AF4">
        <w:t xml:space="preserve"> biologiske ressourcer;</w:t>
      </w:r>
    </w:p>
    <w:p w:rsidR="00343635" w:rsidRPr="00A45AF4" w:rsidRDefault="00343635" w:rsidP="00343635">
      <w:pPr>
        <w:pStyle w:val="NormalHanging12a"/>
      </w:pPr>
      <w:r w:rsidRPr="00A45AF4">
        <w:t>N.</w:t>
      </w:r>
      <w:r w:rsidRPr="00A45AF4">
        <w:tab/>
        <w:t>der henviser til, at produkter, der stammer fra IUU-fiskeri, udgør en risiko for EU-borgernes fødevaresikkerhed ved at true adgangen til sikre fødevarer af høj kvalitet til en overkommelig pris og med sporbarhed for alle;</w:t>
      </w:r>
    </w:p>
    <w:p w:rsidR="00343635" w:rsidRPr="00A45AF4" w:rsidRDefault="00343635" w:rsidP="00343635">
      <w:pPr>
        <w:pStyle w:val="NormalHanging12a"/>
      </w:pPr>
      <w:r w:rsidRPr="00A45AF4">
        <w:t>O.</w:t>
      </w:r>
      <w:r w:rsidRPr="00A45AF4">
        <w:tab/>
        <w:t>der henviser til, at det anerkender, at IUU-fiskeri i uforholdsmæssig høj grad påvirker sårbare og marginaliserede samfund, både i EU og i tredjelande;</w:t>
      </w:r>
    </w:p>
    <w:p w:rsidR="00343635" w:rsidRPr="00A45AF4" w:rsidRDefault="00343635" w:rsidP="00343635">
      <w:pPr>
        <w:pStyle w:val="NormalHanging12a"/>
      </w:pPr>
      <w:r w:rsidRPr="00A45AF4">
        <w:t>P.</w:t>
      </w:r>
      <w:r w:rsidRPr="00A45AF4">
        <w:tab/>
        <w:t xml:space="preserve">der henviser til, at EU tilsluttede sig IUU Fishing Action Alliance i marts 2023; </w:t>
      </w:r>
    </w:p>
    <w:p w:rsidR="00343635" w:rsidRPr="00A45AF4" w:rsidRDefault="00343635" w:rsidP="00343635">
      <w:pPr>
        <w:pStyle w:val="NormalHanging12a"/>
      </w:pPr>
      <w:r w:rsidRPr="00A45AF4">
        <w:t>1.</w:t>
      </w:r>
      <w:r w:rsidRPr="00A45AF4">
        <w:tab/>
        <w:t xml:space="preserve">bekræfter, at det er nødvendigt, at EU og dets medlemsstater fortsat anlægger en nultolerancetilgang til IUU-fiskeri og anvender denne tilgang ligeligt på alle lande, uanset størrelse, og fremmer økonomisk, miljømæssigt og socialt bæredygtigt fiskeri med henblik på at bekæmpe overfiskning, ødelæggelse af marine økosystemer og illoyal konkurrence inden for fiskerisektoren og samtidig garantere fødevaresikkerheden og beskytte folkesundheden; </w:t>
      </w:r>
    </w:p>
    <w:p w:rsidR="00343635" w:rsidRPr="00A45AF4" w:rsidRDefault="00343635" w:rsidP="00343635">
      <w:pPr>
        <w:pStyle w:val="NormalHanging12a"/>
      </w:pPr>
      <w:r w:rsidRPr="00A45AF4">
        <w:t>2.</w:t>
      </w:r>
      <w:r w:rsidRPr="00A45AF4">
        <w:tab/>
        <w:t>bemærker, at fiskerisektoren spiller en afgørende rolle i beskyttelsen af den globale fødevare- og ernæringssikkerhed og giver befolkningerne i kystsamfund et levebrød; understreger, at EU lægger stor vægt på en bæredygtig udvikling af det globale fiskeri og på fjernelse af tvangsarbejde, menneskesmugling og anden form for udnyttelse, herunder inden for fiskerisektoren; anerkender det engagement og den overholdelse, som mange EU-fiskere har udvist med hensyn til at sikre, at fiskeressourcerne forvaltes bæredygtigt;</w:t>
      </w:r>
    </w:p>
    <w:p w:rsidR="00343635" w:rsidRPr="00A45AF4" w:rsidRDefault="00343635" w:rsidP="00343635">
      <w:pPr>
        <w:pStyle w:val="NormalHanging12a"/>
      </w:pPr>
      <w:r w:rsidRPr="00A45AF4">
        <w:t>3.</w:t>
      </w:r>
      <w:r w:rsidRPr="00A45AF4">
        <w:tab/>
        <w:t>erkender, at bekæmpelse af IUU-fiskeri kræver en holistisk tilgang, der tager fat om årsagerne til IUU-fiskeri såsom fattigdom, manglende økonomiske alternativer og svag regeringsførelse i nogle regioner; opfordrer Kommissionen til at indgå i kapacitetsudviklingsprogrammer og internationalt samarbejde med henblik på at håndtere disse underliggende spørgsmål og fremme bæredygtig fiskeripraksis;</w:t>
      </w:r>
    </w:p>
    <w:p w:rsidR="00343635" w:rsidRPr="00A45AF4" w:rsidRDefault="00343635" w:rsidP="00343635">
      <w:pPr>
        <w:pStyle w:val="NormalHanging12a"/>
      </w:pPr>
      <w:r w:rsidRPr="00A45AF4">
        <w:t>4.</w:t>
      </w:r>
      <w:r w:rsidRPr="00A45AF4">
        <w:tab/>
        <w:t>opfordrer indtrængende Kommissionen til især at involvere sig med tredjelande, der er vigtige eksportører af fiskevarer til EU med henblik på at sikre, at de gennemfører foranstaltninger til at forebygge IUU-fiskeri, herunder arbejdsmarkeds- og miljøbestemmelser; opfordrer Kommissionen til at overveje sanktioner eller andre handelsforanstaltninger, hvis tredjelande undlader at overholde internationale standarder;</w:t>
      </w:r>
    </w:p>
    <w:p w:rsidR="00343635" w:rsidRPr="00A45AF4" w:rsidRDefault="00343635" w:rsidP="00343635">
      <w:pPr>
        <w:pStyle w:val="NormalHanging12a"/>
      </w:pPr>
      <w:r w:rsidRPr="00A45AF4">
        <w:t>5.</w:t>
      </w:r>
      <w:r w:rsidRPr="00A45AF4">
        <w:tab/>
        <w:t>opfordrer Kommissionen til at yde teknisk støtte og fremme kapacitetsopbygning og anvende alle mulige kanaler inden for rammen af den fælles fiskeripolitik, i overensstemmelse med EU's mål for havforvaltning, for at støtte og bistå de kyststater, som Unionen fører dialog med, i at intensivere deres bekæmpelse af IUU-fiskeri og styrke bæredygtigheds- og gennemsigtighedskravene i betingelserne for adgang til deres eksklusive økonomiske zoner;</w:t>
      </w:r>
    </w:p>
    <w:p w:rsidR="00343635" w:rsidRPr="00A45AF4" w:rsidRDefault="00343635" w:rsidP="00343635">
      <w:pPr>
        <w:pStyle w:val="NormalHanging12a"/>
      </w:pPr>
      <w:r w:rsidRPr="00A45AF4">
        <w:t>6.</w:t>
      </w:r>
      <w:r w:rsidRPr="00A45AF4">
        <w:tab/>
        <w:t>glæder sig over initiativet fra Kommissionen om den 10. maj 2023 at oprette et websted med oplysninger om fiskeritilladelser udstedt til EU-fartøjer, der fisker uden for EU's farvande, og til tredjelandsfartøjer, der fisker i EU's farvande; opfordrer indtrængende fiskerimyndighederne i tredjelande samt de regionale fiskeriforvaltningsorganisationer (</w:t>
      </w:r>
      <w:proofErr w:type="spellStart"/>
      <w:r w:rsidRPr="00A45AF4">
        <w:t>RFFO'er</w:t>
      </w:r>
      <w:proofErr w:type="spellEnd"/>
      <w:r w:rsidRPr="00A45AF4">
        <w:t>) til at træffe lignende foranstaltninger;</w:t>
      </w:r>
    </w:p>
    <w:p w:rsidR="00343635" w:rsidRPr="00A45AF4" w:rsidRDefault="00343635" w:rsidP="00343635">
      <w:pPr>
        <w:pStyle w:val="NormalHanging12a"/>
      </w:pPr>
      <w:r w:rsidRPr="00A45AF4">
        <w:t>7.</w:t>
      </w:r>
      <w:r w:rsidRPr="00A45AF4">
        <w:tab/>
        <w:t xml:space="preserve">glæder sig over, at den nye fiskerikontrolforordning kræver, at fiskevarer, der importeres til EU og er fanget på havet, skal være forsynet med en angivelse af fiskerfartøjets IMO-identifikationsnummer eller en anden entydig </w:t>
      </w:r>
      <w:proofErr w:type="spellStart"/>
      <w:r w:rsidRPr="00A45AF4">
        <w:t>fartøjsidentifikator</w:t>
      </w:r>
      <w:proofErr w:type="spellEnd"/>
      <w:r w:rsidRPr="00A45AF4">
        <w:t>, hvis der ikke findes et IMO-identifikationsnummer; </w:t>
      </w:r>
    </w:p>
    <w:p w:rsidR="00343635" w:rsidRPr="00A45AF4" w:rsidRDefault="00343635" w:rsidP="00343635">
      <w:pPr>
        <w:pStyle w:val="NormalHanging12a"/>
      </w:pPr>
      <w:r w:rsidRPr="00A45AF4">
        <w:t>8.</w:t>
      </w:r>
      <w:r w:rsidRPr="00A45AF4">
        <w:tab/>
        <w:t xml:space="preserve">glæder sig over IUU Fishing Action Alliance </w:t>
      </w:r>
      <w:proofErr w:type="spellStart"/>
      <w:r w:rsidRPr="00A45AF4">
        <w:t>Pledge</w:t>
      </w:r>
      <w:proofErr w:type="spellEnd"/>
      <w:r w:rsidRPr="00A45AF4">
        <w:t xml:space="preserve"> om at fremme ambitioner og handling i bekæmpelsen af ulovligt, </w:t>
      </w:r>
      <w:proofErr w:type="spellStart"/>
      <w:r w:rsidRPr="00A45AF4">
        <w:t>urapporteret</w:t>
      </w:r>
      <w:proofErr w:type="spellEnd"/>
      <w:r w:rsidRPr="00A45AF4">
        <w:t xml:space="preserve"> og ureguleret fiskeri, som blev indgået den 28. juni 2022; glæder sig over, at Den Europæiske Union for nylig har tilsluttet sig IUU Fishing Action Alliance; opfordrer indtrængende medlemmerne af denne alliance til at koordinere deres nationale systemer til bekæmpelse af IUU-fiskeri og navnlig til at undersøge mulighederne for at udstede fælles "gule kort" og "røde kort" eller benytte sig af lignende instrumenter;</w:t>
      </w:r>
    </w:p>
    <w:p w:rsidR="00343635" w:rsidRPr="00A45AF4" w:rsidRDefault="00343635" w:rsidP="00343635">
      <w:pPr>
        <w:pStyle w:val="NormalHanging12a"/>
      </w:pPr>
      <w:r w:rsidRPr="00A45AF4">
        <w:t>9.</w:t>
      </w:r>
      <w:r w:rsidRPr="00A45AF4">
        <w:tab/>
        <w:t>fremhæver behovet for at gennemføre streng videnskabelig forskning og indsamle data med henblik på at opnå en større forståelse af de særlige indvirkninger, som IUU-fiskeri har på fødevaresikkerheden, de lokale økonomier og miljøet; opfordrer Kommissionen til at afsætte midler og ressourcer til en sådan forskning og til regelmæssigt at opdatere sine vurderinger som grundlag for en evidensbaseret politikudformning;</w:t>
      </w:r>
    </w:p>
    <w:p w:rsidR="00343635" w:rsidRPr="00A45AF4" w:rsidRDefault="00343635" w:rsidP="00343635">
      <w:pPr>
        <w:pStyle w:val="NormalHanging12a"/>
      </w:pPr>
      <w:r w:rsidRPr="00A45AF4">
        <w:t>10.</w:t>
      </w:r>
      <w:r w:rsidRPr="00A45AF4">
        <w:tab/>
        <w:t>understreger, at EU's IUU-forordninger skal gennemføres i en harmoniseret tilgang, der sikrer samme gennemførelsesniveau i alle medlemsstater, hvilket vil gøre det mere effektivt, når det anvendes, og forhindre eventuelle smuthuller;</w:t>
      </w:r>
    </w:p>
    <w:p w:rsidR="00343635" w:rsidRPr="00A45AF4" w:rsidRDefault="00343635" w:rsidP="00343635">
      <w:pPr>
        <w:pStyle w:val="NormalHanging12a"/>
      </w:pPr>
      <w:r w:rsidRPr="00A45AF4">
        <w:t>11.</w:t>
      </w:r>
      <w:r w:rsidRPr="00A45AF4">
        <w:tab/>
        <w:t>anmoder om, at Kommissionen sikrer, at EU-retningslinjer om gennemførelse af EU's IUU-forordninger skal indeholde vejledning om, hvordan gennemførelsen af EU's IUU-forordning kan forbedres i de medlemsstater, der ikke overholder forordningens krav, og hvordan oplysningerne i de toårige rapporter bedst kan verificeres;</w:t>
      </w:r>
    </w:p>
    <w:p w:rsidR="00343635" w:rsidRPr="00A45AF4" w:rsidRDefault="00343635" w:rsidP="00343635">
      <w:pPr>
        <w:pStyle w:val="NormalHanging12a"/>
      </w:pPr>
      <w:r w:rsidRPr="00A45AF4">
        <w:t>12.</w:t>
      </w:r>
      <w:r w:rsidRPr="00A45AF4">
        <w:tab/>
        <w:t xml:space="preserve">understreger betydningen af en større kontrol af importerede produkter for at beskytte folkesundheden og EU's fiskerisektors konkurrenceevne gennem iværksættelse af strenge og rettidige foranstaltninger og sanktioner; </w:t>
      </w:r>
    </w:p>
    <w:p w:rsidR="00343635" w:rsidRPr="00A45AF4" w:rsidRDefault="00343635" w:rsidP="00343635">
      <w:pPr>
        <w:pStyle w:val="NormalHanging12a"/>
      </w:pPr>
      <w:r w:rsidRPr="00A45AF4">
        <w:t>13.</w:t>
      </w:r>
      <w:r w:rsidRPr="00A45AF4">
        <w:tab/>
        <w:t>påpeger, at medlemsstaterne skal afsætte tilstrækkelig kapacitet og tilstrækkelige ressourcer til at sikre en effektiv gennemførelse af importkontrollen;</w:t>
      </w:r>
    </w:p>
    <w:p w:rsidR="00343635" w:rsidRPr="00A45AF4" w:rsidRDefault="00343635" w:rsidP="00343635">
      <w:pPr>
        <w:pStyle w:val="NormalHanging12a"/>
      </w:pPr>
      <w:r w:rsidRPr="00A45AF4">
        <w:t>14.</w:t>
      </w:r>
      <w:r w:rsidRPr="00A45AF4">
        <w:tab/>
        <w:t>tilskynder de nationale myndigheder til at sikre en passende gennemførelse af IUU-forordningen for at være et eksempel på god praksis for andre medlemsstater, bidrage til at gennemføre et passende sporbarhedssystem og sikre ansvarlige fiskeripraksisser, forbedre sikkerheden til søs og arbejdsforholdene på fiskerfartøjer og forbedre nøjagtig rapportering af fangster;</w:t>
      </w:r>
    </w:p>
    <w:p w:rsidR="00343635" w:rsidRPr="00A45AF4" w:rsidRDefault="00343635" w:rsidP="00343635">
      <w:pPr>
        <w:pStyle w:val="NormalHanging12a"/>
      </w:pPr>
      <w:r w:rsidRPr="00A45AF4">
        <w:t>15.</w:t>
      </w:r>
      <w:r w:rsidRPr="00A45AF4">
        <w:tab/>
        <w:t>understreger, at Kommissionen skal yde passende støtte til de nationale myndigheder med ansvar for kontrol med import af fiskevarer, og bemærker, at denne støtte, hvis det er muligt, kan omfatte udarbejdelse af en liste over de forvaltnings- og bevarelsesforanstaltninger, der gælder i lande uden for EU, og udveksling af detaljerede oplysninger om mangler, som er konstateret i forbindelse med gennemførelsen af EU's IUU-forordning i relation til lande uden for EU;</w:t>
      </w:r>
    </w:p>
    <w:p w:rsidR="00343635" w:rsidRPr="00A45AF4" w:rsidRDefault="00343635" w:rsidP="00343635">
      <w:pPr>
        <w:pStyle w:val="NormalHanging12a"/>
      </w:pPr>
      <w:r w:rsidRPr="00A45AF4">
        <w:t>16.</w:t>
      </w:r>
      <w:r w:rsidRPr="00A45AF4">
        <w:tab/>
        <w:t>understreger, at Kommissionen sammen med Det Europæiske Fiskerikontrolagentur og i tæt samarbejde med medlemsstaterne skal yde yderligere støtte til de nationale myndigheder med hensyn til, hvordan IUU-forordningen bedst kan gennemføres, og at denne støtte kan ydes i form af vejledning, udveksling af god praksis, uddannelse og lignende, hvilket også vil sikre genopretningen af den nationale fiskeproduktions konkurrenceevne;</w:t>
      </w:r>
    </w:p>
    <w:p w:rsidR="00343635" w:rsidRPr="00A45AF4" w:rsidRDefault="00343635" w:rsidP="00343635">
      <w:pPr>
        <w:pStyle w:val="NormalHanging12a"/>
      </w:pPr>
      <w:r w:rsidRPr="00A45AF4">
        <w:t>17.</w:t>
      </w:r>
      <w:r w:rsidRPr="00A45AF4">
        <w:tab/>
        <w:t>opfordrer medlemsstaterne til at anvende EHFAF til at sikre, at der ydes den nødvendige målrettede støtte til småfiskeri og ikkeindustrielt fiskeri, der ofte står over for enestående udfordringer med at overholde IUU-forordninger; understreger, at disse fiskere spiller en afgørende rolle i den lokale fødevaresikkerhed og bør modtage den hjælp, de har brug for;</w:t>
      </w:r>
    </w:p>
    <w:p w:rsidR="00343635" w:rsidRPr="00A45AF4" w:rsidRDefault="00343635" w:rsidP="00343635">
      <w:pPr>
        <w:pStyle w:val="NormalHanging12a"/>
      </w:pPr>
      <w:r w:rsidRPr="00A45AF4">
        <w:t>18.</w:t>
      </w:r>
      <w:r w:rsidRPr="00A45AF4">
        <w:tab/>
        <w:t xml:space="preserve">opfordrer indtrængende Kommissionen til at undersøge mulighederne for at støtte de berørte samfund i medlemsstaterne; erkender, at omstillingen til et bæredygtigt fiskeri kan føre til økonomiske forstyrrelser og </w:t>
      </w:r>
      <w:proofErr w:type="spellStart"/>
      <w:r w:rsidRPr="00A45AF4">
        <w:t>jobtab</w:t>
      </w:r>
      <w:proofErr w:type="spellEnd"/>
      <w:r w:rsidRPr="00A45AF4">
        <w:t>, og opfordrer derfor til, at der gennemføres foranstaltninger til at beskytte livsgrundlaget for de mennesker, der er afhængige af fiskeindustrien, såsom støtte til erhvervsuddannelse og finansiel omstilling;</w:t>
      </w:r>
    </w:p>
    <w:p w:rsidR="00343635" w:rsidRPr="00A45AF4" w:rsidRDefault="00343635" w:rsidP="00343635">
      <w:pPr>
        <w:pStyle w:val="NormalHanging12a"/>
      </w:pPr>
      <w:r w:rsidRPr="00A45AF4">
        <w:t>19.</w:t>
      </w:r>
      <w:r w:rsidRPr="00A45AF4">
        <w:tab/>
        <w:t>understreger, at Kommissionen har pligt til at sikre en konsekvent anvendelse og gennemførelse af importkontrolprocedurer i hele EU, bl.a. kontrol af fangstattester, en risikobaseret tilgang, kontrol og indledning af traktatbrudssager;</w:t>
      </w:r>
    </w:p>
    <w:p w:rsidR="00343635" w:rsidRPr="00A45AF4" w:rsidRDefault="00343635" w:rsidP="00343635">
      <w:pPr>
        <w:pStyle w:val="NormalHanging12a"/>
      </w:pPr>
      <w:r w:rsidRPr="00A45AF4">
        <w:t>20.</w:t>
      </w:r>
      <w:r w:rsidRPr="00A45AF4">
        <w:tab/>
        <w:t>opfordrer i overensstemmelse med den nylige aftale om revision af fiskerikontrolforordningen til indførelse af elektroniske fjernovervågningsforanstaltninger i farvande uden for EU for at tackle IUU-fiskeri;</w:t>
      </w:r>
    </w:p>
    <w:p w:rsidR="00343635" w:rsidRPr="00A45AF4" w:rsidRDefault="00343635" w:rsidP="00343635">
      <w:pPr>
        <w:pStyle w:val="NormalHanging12a"/>
      </w:pPr>
      <w:r w:rsidRPr="00A45AF4">
        <w:t>21.</w:t>
      </w:r>
      <w:r w:rsidRPr="00A45AF4">
        <w:tab/>
        <w:t>forventer, at Kommissionen støtter innovation og forskning inden for udvikling af instrumenter til overvågning, sporing og geolokalisering af fartøjer på åbent hav gennem støtte til lancering af internationale initiativer med henblik på at samordne datasystemer og tilvejebringe fuldstændige og nøjagtige data og gennemsigtige oplysninger om fiskerfartøjers lokalisering, oprindelse og aktivitet;</w:t>
      </w:r>
    </w:p>
    <w:p w:rsidR="00343635" w:rsidRPr="00A45AF4" w:rsidRDefault="00343635" w:rsidP="00343635">
      <w:pPr>
        <w:pStyle w:val="NormalHanging12a"/>
      </w:pPr>
      <w:r w:rsidRPr="00A45AF4">
        <w:t>22.</w:t>
      </w:r>
      <w:r w:rsidRPr="00A45AF4">
        <w:tab/>
        <w:t xml:space="preserve">minder Kommissionen om, at det er nødvendigt at harmonisere importkontrollen på tværs af medlemsstaterne for at forhindre, at IUU-fiskevarer kommer ind på EU-markedet, og opfordrer på det kraftigste Kommissionen til at træffe yderligere foranstaltninger i denne henseende; understreger, at EU skal forbedre kontrollen og håndhævelsen med henblik på at bekæmpe tvangsarbejde både inden for fiskeindustrien og i forarbejdningsindustrien for importerede produkter; </w:t>
      </w:r>
    </w:p>
    <w:p w:rsidR="00343635" w:rsidRPr="00A45AF4" w:rsidRDefault="00343635" w:rsidP="00343635">
      <w:pPr>
        <w:pStyle w:val="NormalHanging12a"/>
      </w:pPr>
      <w:r w:rsidRPr="00A45AF4">
        <w:t>23.</w:t>
      </w:r>
      <w:r w:rsidRPr="00A45AF4">
        <w:tab/>
        <w:t>anerkender, at IMO's 2012-Cape Town-aftale, FAO's 2009-aftale om havnestatsforanstaltninger, ILO's protokol til konventionen om tvangsarbejde, 1930 (nr. 29) og ILO's konvention om arbejdsforhold i fiskerisektoren (nr. 188) er vigtige instrumenter til sikring af anstændige arbejdsvilkår og bidrager til at forebygge uacceptable former for arbejde for alle fiskere, navnlig tvangsarbejde, menneskesmugling og anden misbrug, og til at bekæmpe IUU-fiskeri; opfordrer medlemsstaterne til at underskrive og ratificere eller tiltræde disse konventioner;</w:t>
      </w:r>
    </w:p>
    <w:p w:rsidR="00343635" w:rsidRPr="00A45AF4" w:rsidRDefault="00343635" w:rsidP="00343635">
      <w:pPr>
        <w:pStyle w:val="NormalHanging12a"/>
      </w:pPr>
      <w:r w:rsidRPr="00A45AF4">
        <w:t>24.</w:t>
      </w:r>
      <w:r w:rsidRPr="00A45AF4">
        <w:tab/>
        <w:t>opfordrer Kommissionen til at øge opmærksomheden på beskyttelse af menneskerettigheder inden for fiskerisektoren; understreger, at fiskerisektoren i bestemte geografiske områder har en øget risiko for tvangsarbejde, der er pålagt af de statslige myndigheder; opfordrer indtrængende til, at produkter, der stammer fra tvangsarbejde, når dette afdækkes, forbydes at komme ind på EU-markedet;</w:t>
      </w:r>
    </w:p>
    <w:p w:rsidR="00343635" w:rsidRPr="00A45AF4" w:rsidRDefault="00343635" w:rsidP="00343635">
      <w:pPr>
        <w:pStyle w:val="NormalHanging12a"/>
      </w:pPr>
      <w:r w:rsidRPr="00A45AF4">
        <w:t>25.</w:t>
      </w:r>
      <w:r w:rsidRPr="00A45AF4">
        <w:tab/>
        <w:t>opfordrer til, at Kommissionen træffer foranstaltninger til at standse brugen af bekvemmelighedsflag; opfordrer til let adgang til oplysninger om det reelle ejerskab af fiskerfartøjer for alle flag; opfordrer Kommissionen til at forbedre sin ordning for identifikation af fartøjer, der udøver IUU-fiskeri, i henhold til gennemførelsesforordning (EU) 2022/1184 for at gøre det muligt at identificere fartøjets oprindelsesland, selv om flagstaten er usikker, således at fartøjer, hvor der er påvist krænkelser af menneskerettighederne, også er omfattet;</w:t>
      </w:r>
    </w:p>
    <w:p w:rsidR="00343635" w:rsidRPr="00A45AF4" w:rsidRDefault="00343635" w:rsidP="00343635">
      <w:pPr>
        <w:pStyle w:val="NormalHanging12a"/>
      </w:pPr>
      <w:r w:rsidRPr="00A45AF4">
        <w:t>26.</w:t>
      </w:r>
      <w:r w:rsidRPr="00A45AF4">
        <w:tab/>
        <w:t>glæder sig over, at den reviderede fiskerikontrolforordning, navnlig i visse bestemmelser forbyder EU-aktører, herunder reelle ejere, at eje, fiske med eller forvalte fartøjer registreret under flag i lande, der har fået udstedt et rødt kort på grund af manglende samarbejde om bekæmpelse af IUU-fiskeri;</w:t>
      </w:r>
    </w:p>
    <w:p w:rsidR="00343635" w:rsidRPr="00A45AF4" w:rsidRDefault="00343635" w:rsidP="00343635">
      <w:pPr>
        <w:pStyle w:val="NormalHanging12a"/>
      </w:pPr>
      <w:r w:rsidRPr="00A45AF4">
        <w:t>27.</w:t>
      </w:r>
      <w:r w:rsidRPr="00A45AF4">
        <w:tab/>
        <w:t>opfordrer indtrængende medlemsstaterne til at oprette og vedligeholde omfattende databaser, der indsamler og registrerer oplysninger om de reelle ejere af registrerede fartøjer;</w:t>
      </w:r>
    </w:p>
    <w:p w:rsidR="00343635" w:rsidRPr="00A45AF4" w:rsidRDefault="00343635" w:rsidP="00343635">
      <w:pPr>
        <w:pStyle w:val="NormalHanging12a"/>
      </w:pPr>
      <w:r w:rsidRPr="00A45AF4">
        <w:t>28.</w:t>
      </w:r>
      <w:r w:rsidRPr="00A45AF4">
        <w:tab/>
        <w:t>opfordrer medlemsstaterne til at samarbejde med de relevante myndigheder om at sikre nøjagtigheden af data indsamlet om reelt ejerskab af fartøjer med henblik på at lette politikudformning og håndhævelse af den reviderede fiskerikontrolforordning;</w:t>
      </w:r>
    </w:p>
    <w:p w:rsidR="00343635" w:rsidRPr="00A45AF4" w:rsidRDefault="00343635" w:rsidP="00343635">
      <w:pPr>
        <w:pStyle w:val="NormalHanging12a"/>
      </w:pPr>
      <w:r w:rsidRPr="00A45AF4">
        <w:t>29.</w:t>
      </w:r>
      <w:r w:rsidRPr="00A45AF4">
        <w:tab/>
        <w:t>opfordrer Kommissionen til at arbejde hurtigt for at sikre, at IT-systemet CATCH er fuldt operationelt, og at medlemsstaternes nationale myndigheder er fuldt fortrolige med brugen heraf senest to år efter datoen for anvendelse af artikel 4 i den reviderede fiskerikontrolforordning;</w:t>
      </w:r>
    </w:p>
    <w:p w:rsidR="00343635" w:rsidRPr="00A45AF4" w:rsidRDefault="00343635" w:rsidP="00343635">
      <w:pPr>
        <w:pStyle w:val="NormalHanging12a"/>
      </w:pPr>
      <w:r w:rsidRPr="00A45AF4">
        <w:t>30.</w:t>
      </w:r>
      <w:r w:rsidRPr="00A45AF4">
        <w:tab/>
        <w:t>anmoder Kommissionen om at sikre tilstrækkelige menneskelige ressourcer for at sikre en hurtigere og mere effektiv levering af ovennævnte IT-system i medlemsstaterne;</w:t>
      </w:r>
    </w:p>
    <w:p w:rsidR="00343635" w:rsidRPr="00A45AF4" w:rsidRDefault="00343635" w:rsidP="00343635">
      <w:pPr>
        <w:pStyle w:val="NormalHanging12a"/>
      </w:pPr>
      <w:r w:rsidRPr="00A45AF4">
        <w:t>31.</w:t>
      </w:r>
      <w:r w:rsidRPr="00A45AF4">
        <w:tab/>
        <w:t>glæder sig meget over oprettelsen af det nye IT-system CATCH ved den reviderede fiskerikontrolforordning;</w:t>
      </w:r>
    </w:p>
    <w:p w:rsidR="00343635" w:rsidRPr="00A45AF4" w:rsidRDefault="00343635" w:rsidP="00343635">
      <w:pPr>
        <w:pStyle w:val="NormalHanging12a"/>
      </w:pPr>
      <w:r w:rsidRPr="00A45AF4">
        <w:t>32.</w:t>
      </w:r>
      <w:r w:rsidRPr="00A45AF4">
        <w:tab/>
        <w:t xml:space="preserve">tilskynder til hurtig medtagelse af mere omfattende risikokriterier og krydskontrol af data i de næste </w:t>
      </w:r>
      <w:proofErr w:type="spellStart"/>
      <w:r w:rsidRPr="00A45AF4">
        <w:t>iterationer</w:t>
      </w:r>
      <w:proofErr w:type="spellEnd"/>
      <w:r w:rsidRPr="00A45AF4">
        <w:t xml:space="preserve"> af IT-systemet CATCH som anbefalet af Det Rådgivende Råd for </w:t>
      </w:r>
      <w:proofErr w:type="spellStart"/>
      <w:r w:rsidRPr="00A45AF4">
        <w:t>Højsøflåden</w:t>
      </w:r>
      <w:proofErr w:type="spellEnd"/>
      <w:r w:rsidRPr="00A45AF4">
        <w:t xml:space="preserve">; mener, at Kommissionen for at sikre et kapløb mod toppen skal sikre, at den risikovurdering, der anvendes i CATCH, er mindst lige så grundig som den, der anvendes i de medlemsstater, som allerede har et elektronisk system til kontrol af fangstattester; mener, at Kommissionen i den mellemliggende periode skal sikre, at der er </w:t>
      </w:r>
      <w:proofErr w:type="spellStart"/>
      <w:r w:rsidRPr="00A45AF4">
        <w:t>interoperabilitet</w:t>
      </w:r>
      <w:proofErr w:type="spellEnd"/>
      <w:r w:rsidRPr="00A45AF4">
        <w:t xml:space="preserve"> mellem CATCH og de nationale IT-systemer uden at øge byrden for de økonomiske aktører;</w:t>
      </w:r>
    </w:p>
    <w:p w:rsidR="00343635" w:rsidRPr="00A45AF4" w:rsidRDefault="00343635" w:rsidP="00343635">
      <w:pPr>
        <w:pStyle w:val="NormalHanging12a"/>
      </w:pPr>
      <w:r w:rsidRPr="00A45AF4">
        <w:t>33.</w:t>
      </w:r>
      <w:r w:rsidRPr="00A45AF4">
        <w:tab/>
        <w:t>opfordrer indtrængende Kommissionen til at øge antallet af medarbejdere, der arbejder med havforvaltning og IUU-fiskeri i Kommissionens Generaldirektorat for Maritime Anliggender og Fiskeri;</w:t>
      </w:r>
    </w:p>
    <w:p w:rsidR="00343635" w:rsidRPr="00A45AF4" w:rsidRDefault="00343635" w:rsidP="00343635">
      <w:pPr>
        <w:pStyle w:val="NormalHanging12a"/>
      </w:pPr>
      <w:r w:rsidRPr="00A45AF4">
        <w:t>34.</w:t>
      </w:r>
      <w:r w:rsidRPr="00A45AF4">
        <w:tab/>
        <w:t>opfordrer medlemsstaterne til at sikre, at de nødvendige procedurer indføres som forberedelse til den retlige vedtagelse af IT-systemet CATCH, og til at sørge for, at systemet er klar til anvendelse så hurtigt som muligt;</w:t>
      </w:r>
    </w:p>
    <w:p w:rsidR="00343635" w:rsidRPr="00A45AF4" w:rsidRDefault="00343635" w:rsidP="00343635">
      <w:pPr>
        <w:pStyle w:val="NormalHanging12a"/>
      </w:pPr>
      <w:r w:rsidRPr="00A45AF4">
        <w:t>35.</w:t>
      </w:r>
      <w:r w:rsidRPr="00A45AF4">
        <w:tab/>
        <w:t>opfordrer indtrængende medlemsstaterne til at styrke deres kontrolsystemer for at forhindre import af ulovlige fiskevarer og til at træffe de nødvendige foranstaltninger; glæder sig over den fulde sporbarhed af friske, frosne og forarbejdede fiskevarer som aftalt i den nye fiskerikontrolforordning, der kan bidrage til at forbedre fødevaresikkerheden i EU og tilskynde tredjelande til at øge sporbarheden, således at deres fiskevarer kan komme ind på EU-markedet;</w:t>
      </w:r>
    </w:p>
    <w:p w:rsidR="00343635" w:rsidRPr="00A45AF4" w:rsidRDefault="00343635" w:rsidP="00343635">
      <w:pPr>
        <w:pStyle w:val="NormalHanging12a"/>
      </w:pPr>
      <w:r w:rsidRPr="00A45AF4">
        <w:t>36.</w:t>
      </w:r>
      <w:r w:rsidRPr="00A45AF4">
        <w:tab/>
        <w:t>understreger betydningen af en øget sporbarhed af alle fiske- og akvakulturvarer, således at forbrugerne kan træffe en informeret beslutning, når de køber disse varer; finder det hensigtsmæssigt at foreskrive mere specifikke og gennemsigtige mærkninger, der klart oplyser om produktets vej fra vand til bord på et ensartet grundlag for medlemsstaternes produkter og produkter, der importeres fra lande uden for EU; tilskynder medlemsstaterne til at iværksætte passende salgsfremstød for fiskevarer for at øge forbrugernes bevidsthed om, hvad de køber, og sporbarhedsforanstaltninger;</w:t>
      </w:r>
    </w:p>
    <w:p w:rsidR="00343635" w:rsidRPr="00A45AF4" w:rsidRDefault="00343635" w:rsidP="00343635">
      <w:pPr>
        <w:pStyle w:val="NormalHanging12a"/>
      </w:pPr>
      <w:r w:rsidRPr="00A45AF4">
        <w:t>37.</w:t>
      </w:r>
      <w:r w:rsidRPr="00A45AF4">
        <w:tab/>
        <w:t>opfordrer indtrængende medlemsstaterne til hurtigt at gennemføre den nye fiskerikontrolforordning for at overholde deres retlige forpligtelse til at have effektive, forholdsmæssige og afskrækkende sanktioner mod IUU-fiskeri og derved reducere incitamenterne til at udøve IUU-fiskeri og afskrække eventuelle fremtidige overtrædelser;</w:t>
      </w:r>
    </w:p>
    <w:p w:rsidR="00343635" w:rsidRPr="00A45AF4" w:rsidRDefault="00343635" w:rsidP="00343635">
      <w:pPr>
        <w:pStyle w:val="NormalHanging12a"/>
      </w:pPr>
      <w:r w:rsidRPr="00A45AF4">
        <w:t>38.</w:t>
      </w:r>
      <w:r w:rsidRPr="00A45AF4">
        <w:tab/>
        <w:t xml:space="preserve">understreger, at multilateralt samarbejde og en sammenhængende global politik i forbindelse med IUU, handel og havforvaltning er centrale elementer i en effektiv bekæmpelse af IUU-fiskeri; opfordrer i denne henseende Kommissionen til via sine bæredygtige fiskeripartnerskabsaftaler og sin IUU-politik i </w:t>
      </w:r>
      <w:proofErr w:type="spellStart"/>
      <w:r w:rsidRPr="00A45AF4">
        <w:t>RFFO'er</w:t>
      </w:r>
      <w:proofErr w:type="spellEnd"/>
      <w:r w:rsidRPr="00A45AF4">
        <w:t xml:space="preserve"> eller i WTO fortsat at anspore sine partnere og til at intensivere samarbejdet med USA, Det Forenede Kongerige, Japan og andre centrale aktører inden for fiskeri og havpolitik gennem sine diplomatiske og handelsmæssige instrumenter og til at tilskynde andre lande uden for EU til at vedtage en solid lovgivning og foranstaltninger til bekæmpelse af IUU-fiskeri;</w:t>
      </w:r>
    </w:p>
    <w:p w:rsidR="00343635" w:rsidRPr="00A45AF4" w:rsidRDefault="00343635" w:rsidP="00343635">
      <w:pPr>
        <w:pStyle w:val="NormalHanging12a"/>
      </w:pPr>
      <w:r w:rsidRPr="00A45AF4">
        <w:t>39.</w:t>
      </w:r>
      <w:r w:rsidRPr="00A45AF4">
        <w:tab/>
        <w:t>anerkender, at en effektiv håndhævelse af IUU-fiskeriforordninger kræver samarbejde mellem medlemsstaterne og en koordineret tilgang på EU-plan; opfordrer Kommissionen til sammen med Det Europæiske Fiskerikontrolagentur at intensivere koordineringsbestræbelserne med henblik på bekæmpelse af IUU-fiskeri, udveksle bedste praksis og harmonisere håndhævelsesforanstaltningerne i medlemsstaterne;</w:t>
      </w:r>
    </w:p>
    <w:p w:rsidR="00343635" w:rsidRPr="00A45AF4" w:rsidRDefault="00343635" w:rsidP="00343635">
      <w:pPr>
        <w:pStyle w:val="NormalHanging12a"/>
      </w:pPr>
      <w:r w:rsidRPr="00A45AF4">
        <w:t>40.</w:t>
      </w:r>
      <w:r w:rsidRPr="00A45AF4">
        <w:tab/>
        <w:t xml:space="preserve">erkender betydningen af at sikre samarbejde med civilsamfundet og aktører i lokalsamfundet om bekæmpelse af IUU-fiskeri; understreger betydningen af, at interessenterne inddrages for at sikre den bedst mulige gennemførelse af IUU-forordningen; opfordrer Kommissionen til at engagere sig med disse interessenter om at fremme bæredygtigt fiskeri og sikre, at de berørte lokalsamfunds stemme bliver hørt i beslutningsprocessen; </w:t>
      </w:r>
    </w:p>
    <w:p w:rsidR="00343635" w:rsidRPr="00A45AF4" w:rsidRDefault="00343635" w:rsidP="00343635">
      <w:pPr>
        <w:pStyle w:val="NormalHanging12a"/>
      </w:pPr>
      <w:r w:rsidRPr="00A45AF4">
        <w:t>41.</w:t>
      </w:r>
      <w:r w:rsidRPr="00A45AF4">
        <w:tab/>
        <w:t xml:space="preserve">opfordrer til, at der oprettes et omfattende beskyttelsesprogram for </w:t>
      </w:r>
      <w:proofErr w:type="spellStart"/>
      <w:r w:rsidRPr="00A45AF4">
        <w:t>whistleblowere</w:t>
      </w:r>
      <w:proofErr w:type="spellEnd"/>
      <w:r w:rsidRPr="00A45AF4">
        <w:t xml:space="preserve"> i EU med henblik på at tilskynde enkeltpersoner med kendskab til IUU-fiskerivirksomhed til at træde frem og fremkomme med vigtige oplysninger; understreger, at et sådant program bør omfatte retsgarantier, anonymitet og incitamenter for </w:t>
      </w:r>
      <w:proofErr w:type="spellStart"/>
      <w:r w:rsidRPr="00A45AF4">
        <w:t>whistleblowere</w:t>
      </w:r>
      <w:proofErr w:type="spellEnd"/>
      <w:r w:rsidRPr="00A45AF4">
        <w:t xml:space="preserve"> til at indberette overtrædelser uden frygt for repressalier;</w:t>
      </w:r>
    </w:p>
    <w:p w:rsidR="00343635" w:rsidRPr="00A45AF4" w:rsidRDefault="00343635" w:rsidP="00343635">
      <w:pPr>
        <w:pStyle w:val="NormalHanging12a"/>
      </w:pPr>
      <w:r w:rsidRPr="00A45AF4">
        <w:t>42.</w:t>
      </w:r>
      <w:r w:rsidRPr="00A45AF4">
        <w:tab/>
        <w:t>opfordrer medlemsstaterne til at fremme loyal handelspraksis i fiskerisektoren for at opnå lige konkurrencevilkår mellem EU's fiskevarer og tredjelandes fiskevarer; er af den opfattelse, at medlemsstaterne bør overveje at gennemføre handelsforanstaltninger, der tager hensyn til miljø- og arbejdsstandarderne for de produkter, der importeres;</w:t>
      </w:r>
    </w:p>
    <w:p w:rsidR="00343635" w:rsidRPr="00A45AF4" w:rsidRDefault="00343635" w:rsidP="00343635">
      <w:pPr>
        <w:pStyle w:val="NormalHanging12a"/>
      </w:pPr>
      <w:r w:rsidRPr="00A45AF4">
        <w:t>43.</w:t>
      </w:r>
      <w:r w:rsidRPr="00A45AF4">
        <w:tab/>
        <w:t>opfordrer Kommissionen og medlemsstaterne til at afstå fra at give præferenceadgang til markedet til nationer, der er involveret i IUU-fiskeri og alvorlige krænkelser af arbejdsmarkedsbestemmelserne, herunder brug af tvangsarbejde; mener, at EU bør stræbe efter at skabe reelle lige vilkår for fiskevarer, der produceres i EU, og fiskevarer, der produceres i tredjelande; mener, at netop instrumentet for et autonomt toldkontingent, der er uundværligt med henblik på at sikre, at EU's forarbejdningsindustri kan forblive konkurrencedygtig, og på at undgå at bringe EU's produktion af fiskevarer i fare ved at sikre et passende udbud af fiskevarer til industrien, udelukkende bør anvendes i tilfælde, hvor forsyningen af fiskevarer til EU's markeder er utilstrækkelig, og at det ikke bør anvendes til import af produkter, der stammer fra IUU-fiskeri, eller til at lægge pres på priserne på EU-producerede varer;</w:t>
      </w:r>
    </w:p>
    <w:p w:rsidR="00343635" w:rsidRPr="00A45AF4" w:rsidRDefault="00343635" w:rsidP="00343635">
      <w:pPr>
        <w:pStyle w:val="NormalHanging12a"/>
      </w:pPr>
      <w:r w:rsidRPr="00A45AF4">
        <w:t>44.</w:t>
      </w:r>
      <w:r w:rsidRPr="00A45AF4">
        <w:tab/>
        <w:t>opfordrer Kommissionen til at sikre en konsekvent og stringent gennemførelse af røde og gule kort uden hensyntagen til landets størrelse eller økonomiske og kommercielle indflydelse; opfordrer i den henseende Kommissionen til, som der også blev anmodet om i Europa-Parlamentets beslutning om konsekvenserne af det kinesiske fiskeri for EU's fiskeri og vejen frem (A9-0282/2023), at vurdere alle kinesiske initiativer til bekæmpelse af IUU-fiskeri og til i lyset af sådanne vurderinger at træffe passende foranstaltninger i henhold til IUU-forordningen;</w:t>
      </w:r>
    </w:p>
    <w:p w:rsidR="00343635" w:rsidRPr="00A45AF4" w:rsidRDefault="00343635" w:rsidP="00343635">
      <w:pPr>
        <w:pStyle w:val="NormalHanging12a"/>
      </w:pPr>
      <w:r w:rsidRPr="00A45AF4">
        <w:t>45.</w:t>
      </w:r>
      <w:r w:rsidRPr="00A45AF4">
        <w:tab/>
        <w:t xml:space="preserve">understreger, at de tilgængelige databaser om IUU-fiskeri er uigennemsigtige, dvs. ukendte navne på fartøjer eller oprindelse eller ejerskab, hvilket forårsager indtægtstab, navnlig i fattige lande; understreger, at de internationale organer, der er involveret i bekæmpelsen af IUU-fiskeri, bør koordinere deres IUU-fiskerikontrolaktiviteter med fælles elektroniske databaser, klare strategier og strukturerede planer, der resulterer i den lavest mulige IUU-fiskeripraksis på internationalt plan; </w:t>
      </w:r>
    </w:p>
    <w:p w:rsidR="00343635" w:rsidRPr="00A45AF4" w:rsidRDefault="00343635" w:rsidP="00343635">
      <w:pPr>
        <w:pStyle w:val="NormalHanging12a"/>
      </w:pPr>
      <w:r w:rsidRPr="00A45AF4">
        <w:t>46.</w:t>
      </w:r>
      <w:r w:rsidRPr="00A45AF4">
        <w:tab/>
        <w:t>opfordrer medlemsstaterne til at forbedre den rutinemæssige og rettidige informationsudveksling, herunder om afviste partier, hvilket kan sætte myndighederne i stand til bedre at anvende og håndhæve lovgivningen; understreger, at FAO's aftale om havnestatsforanstaltninger kan bidrage hertil;</w:t>
      </w:r>
    </w:p>
    <w:p w:rsidR="00343635" w:rsidRPr="00A45AF4" w:rsidRDefault="00343635" w:rsidP="00343635">
      <w:pPr>
        <w:pStyle w:val="NormalHanging12a"/>
      </w:pPr>
      <w:r w:rsidRPr="00A45AF4">
        <w:t>47.</w:t>
      </w:r>
      <w:r w:rsidRPr="00A45AF4">
        <w:tab/>
        <w:t xml:space="preserve">bemærker, at </w:t>
      </w:r>
      <w:proofErr w:type="spellStart"/>
      <w:r w:rsidRPr="00A45AF4">
        <w:t>RFFO'er</w:t>
      </w:r>
      <w:proofErr w:type="spellEnd"/>
      <w:r w:rsidRPr="00A45AF4">
        <w:t xml:space="preserve"> har vist sig nyttige i bekæmpelsen af ulovligt fiskeri; opfordrer Kommissionen til aktivt at fremme oprettelsen af mere relevante </w:t>
      </w:r>
      <w:proofErr w:type="spellStart"/>
      <w:r w:rsidRPr="00A45AF4">
        <w:t>RFFO'er</w:t>
      </w:r>
      <w:proofErr w:type="spellEnd"/>
      <w:r w:rsidRPr="00A45AF4">
        <w:t xml:space="preserve">; opfordrer medlemsstaterne til at fremme FAO's initiativer og initiativer truffet af relevante </w:t>
      </w:r>
      <w:proofErr w:type="spellStart"/>
      <w:r w:rsidRPr="00A45AF4">
        <w:t>RFFO'er</w:t>
      </w:r>
      <w:proofErr w:type="spellEnd"/>
      <w:r w:rsidRPr="00A45AF4">
        <w:t xml:space="preserve"> om bekæmpelse af IUU-fiskeri og til at udveksle oplysninger om fiskerfartøjer, der mistænkes for at være involveret i et sådant fiskeri;</w:t>
      </w:r>
    </w:p>
    <w:p w:rsidR="00343635" w:rsidRPr="00A45AF4" w:rsidRDefault="00343635" w:rsidP="00343635">
      <w:pPr>
        <w:pStyle w:val="NormalHanging12a"/>
      </w:pPr>
      <w:r w:rsidRPr="00A45AF4">
        <w:t>48.</w:t>
      </w:r>
      <w:r w:rsidRPr="00A45AF4">
        <w:tab/>
        <w:t xml:space="preserve">understreger, at de multilaterale fangstdokumentationsordninger, der er udformet og vedtaget af </w:t>
      </w:r>
      <w:proofErr w:type="spellStart"/>
      <w:r w:rsidRPr="00A45AF4">
        <w:t>RFFO'ernes</w:t>
      </w:r>
      <w:proofErr w:type="spellEnd"/>
      <w:r w:rsidRPr="00A45AF4">
        <w:t xml:space="preserve"> kontraherende parter og samarbejdende ikkekontraherende parter, og som kræver registrering og overførsel af kritiske oplysninger om et parti i hele forsyningskæden, har vist sig at være effektive redskaber til at forbedre sporbarheden og bidrage til bekæmpelsen af IUU-fiskeri;</w:t>
      </w:r>
    </w:p>
    <w:p w:rsidR="00343635" w:rsidRPr="00A45AF4" w:rsidRDefault="00343635" w:rsidP="00343635">
      <w:pPr>
        <w:pStyle w:val="NormalHanging12a"/>
      </w:pPr>
      <w:r w:rsidRPr="00A45AF4">
        <w:t>49.</w:t>
      </w:r>
      <w:r w:rsidRPr="00A45AF4">
        <w:tab/>
        <w:t xml:space="preserve">minder om målsætningerne om at beskytte mindst 30 % af havene senest i 2030; opfordrer Kommissionen og medlemsstaterne til at sikre, at der er indført effektive foranstaltninger senest i 2030 og sikre, at IUU-forordningen er fuldt ud gennemført; </w:t>
      </w:r>
    </w:p>
    <w:p w:rsidR="00E365E1" w:rsidRPr="00A45AF4" w:rsidRDefault="00343635" w:rsidP="00842F07">
      <w:pPr>
        <w:pStyle w:val="NormalHanging12a"/>
      </w:pPr>
      <w:r w:rsidRPr="00A45AF4">
        <w:t>50.</w:t>
      </w:r>
      <w:r w:rsidRPr="00A45AF4">
        <w:tab/>
        <w:t>pålægger sin formand at sende denne beslutning til Rådet og Kommissionen.</w:t>
      </w:r>
      <w:bookmarkStart w:id="8" w:name="TextBodyEnd"/>
      <w:bookmarkEnd w:id="8"/>
    </w:p>
    <w:sectPr w:rsidR="00E365E1" w:rsidRPr="00A45AF4" w:rsidSect="00A45A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F6C" w:rsidRPr="00A45AF4" w:rsidRDefault="00AE6F6C">
      <w:r w:rsidRPr="00A45AF4">
        <w:separator/>
      </w:r>
    </w:p>
  </w:endnote>
  <w:endnote w:type="continuationSeparator" w:id="0">
    <w:p w:rsidR="00AE6F6C" w:rsidRPr="00A45AF4" w:rsidRDefault="00AE6F6C">
      <w:r w:rsidRPr="00A45A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A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A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A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F6C" w:rsidRPr="00A45AF4" w:rsidRDefault="00AE6F6C">
      <w:r w:rsidRPr="00A45AF4">
        <w:separator/>
      </w:r>
    </w:p>
  </w:footnote>
  <w:footnote w:type="continuationSeparator" w:id="0">
    <w:p w:rsidR="00AE6F6C" w:rsidRPr="00A45AF4" w:rsidRDefault="00AE6F6C">
      <w:r w:rsidRPr="00A45AF4">
        <w:continuationSeparator/>
      </w:r>
    </w:p>
  </w:footnote>
  <w:footnote w:id="1">
    <w:p w:rsidR="00343635" w:rsidRPr="00A45AF4" w:rsidRDefault="00343635" w:rsidP="00A45AF4">
      <w:pPr>
        <w:pStyle w:val="FootnoteText"/>
        <w:ind w:left="567" w:hanging="567"/>
        <w:rPr>
          <w:sz w:val="24"/>
          <w:lang w:val="da-DK"/>
        </w:rPr>
      </w:pPr>
      <w:r w:rsidRPr="00A45AF4">
        <w:rPr>
          <w:rStyle w:val="FootnoteReference"/>
          <w:sz w:val="24"/>
          <w:lang w:val="da-DK"/>
        </w:rPr>
        <w:footnoteRef/>
      </w:r>
      <w:r w:rsidR="00A45AF4" w:rsidRPr="00A45AF4">
        <w:rPr>
          <w:sz w:val="24"/>
          <w:lang w:val="da-DK"/>
        </w:rPr>
        <w:t xml:space="preserve"> </w:t>
      </w:r>
      <w:r w:rsidR="00A45AF4" w:rsidRPr="00A45AF4">
        <w:rPr>
          <w:sz w:val="24"/>
          <w:lang w:val="da-DK"/>
        </w:rPr>
        <w:tab/>
      </w:r>
      <w:r w:rsidRPr="00A45AF4">
        <w:rPr>
          <w:sz w:val="24"/>
          <w:lang w:val="da-DK"/>
        </w:rPr>
        <w:t>EUT L 286 af 29.10.2008, s. 1.</w:t>
      </w:r>
    </w:p>
  </w:footnote>
  <w:footnote w:id="2">
    <w:p w:rsidR="00343635" w:rsidRPr="00A45AF4" w:rsidRDefault="00343635" w:rsidP="00A45AF4">
      <w:pPr>
        <w:pStyle w:val="FootnoteText"/>
        <w:ind w:left="567" w:hanging="567"/>
        <w:rPr>
          <w:sz w:val="24"/>
          <w:lang w:val="da-DK"/>
        </w:rPr>
      </w:pPr>
      <w:r w:rsidRPr="00A45AF4">
        <w:rPr>
          <w:rStyle w:val="FootnoteReference"/>
          <w:sz w:val="24"/>
          <w:lang w:val="da-DK"/>
        </w:rPr>
        <w:footnoteRef/>
      </w:r>
      <w:r w:rsidR="00A45AF4" w:rsidRPr="00A45AF4">
        <w:rPr>
          <w:sz w:val="24"/>
          <w:lang w:val="da-DK"/>
        </w:rPr>
        <w:t xml:space="preserve"> </w:t>
      </w:r>
      <w:r w:rsidR="00A45AF4" w:rsidRPr="00A45AF4">
        <w:rPr>
          <w:sz w:val="24"/>
          <w:lang w:val="da-DK"/>
        </w:rPr>
        <w:tab/>
      </w:r>
      <w:r w:rsidRPr="00A45AF4">
        <w:rPr>
          <w:sz w:val="24"/>
          <w:lang w:val="da-DK"/>
        </w:rPr>
        <w:t>EUT L 343 af 22.12.2009, s. 1.</w:t>
      </w:r>
    </w:p>
  </w:footnote>
  <w:footnote w:id="3">
    <w:p w:rsidR="00343635" w:rsidRPr="00A45AF4" w:rsidRDefault="00343635" w:rsidP="00A45AF4">
      <w:pPr>
        <w:pStyle w:val="FootnoteText"/>
        <w:ind w:left="567" w:hanging="567"/>
        <w:rPr>
          <w:sz w:val="24"/>
          <w:lang w:val="da-DK"/>
        </w:rPr>
      </w:pPr>
      <w:r w:rsidRPr="00A45AF4">
        <w:rPr>
          <w:rStyle w:val="FootnoteReference"/>
          <w:sz w:val="24"/>
          <w:lang w:val="da-DK"/>
        </w:rPr>
        <w:footnoteRef/>
      </w:r>
      <w:r w:rsidR="00A45AF4" w:rsidRPr="00A45AF4">
        <w:rPr>
          <w:sz w:val="24"/>
          <w:lang w:val="da-DK"/>
        </w:rPr>
        <w:t xml:space="preserve"> </w:t>
      </w:r>
      <w:r w:rsidR="00A45AF4" w:rsidRPr="00A45AF4">
        <w:rPr>
          <w:sz w:val="24"/>
          <w:lang w:val="da-DK"/>
        </w:rPr>
        <w:tab/>
      </w:r>
      <w:r w:rsidRPr="00A45AF4">
        <w:rPr>
          <w:sz w:val="24"/>
          <w:lang w:val="da-DK"/>
        </w:rPr>
        <w:t>EUT L 410 I af 7.12.2020, s. 1.</w:t>
      </w:r>
    </w:p>
  </w:footnote>
  <w:footnote w:id="4">
    <w:p w:rsidR="00343635" w:rsidRPr="00A45AF4" w:rsidRDefault="00343635" w:rsidP="00A45AF4">
      <w:pPr>
        <w:pStyle w:val="FootnoteText"/>
        <w:ind w:left="567" w:hanging="567"/>
        <w:rPr>
          <w:sz w:val="24"/>
          <w:lang w:val="da-DK"/>
        </w:rPr>
      </w:pPr>
      <w:r w:rsidRPr="00A45AF4">
        <w:rPr>
          <w:rStyle w:val="FootnoteReference"/>
          <w:sz w:val="24"/>
          <w:lang w:val="da-DK"/>
        </w:rPr>
        <w:footnoteRef/>
      </w:r>
      <w:r w:rsidR="00A45AF4" w:rsidRPr="00A45AF4">
        <w:rPr>
          <w:sz w:val="24"/>
          <w:lang w:val="da-DK"/>
        </w:rPr>
        <w:t xml:space="preserve"> </w:t>
      </w:r>
      <w:r w:rsidR="00A45AF4" w:rsidRPr="00A45AF4">
        <w:rPr>
          <w:sz w:val="24"/>
          <w:lang w:val="da-DK"/>
        </w:rPr>
        <w:tab/>
      </w:r>
      <w:r w:rsidRPr="00A45AF4">
        <w:rPr>
          <w:sz w:val="24"/>
          <w:lang w:val="da-DK"/>
        </w:rPr>
        <w:t>Vedtagne tekster, P9_</w:t>
      </w:r>
      <w:proofErr w:type="gramStart"/>
      <w:r w:rsidRPr="00A45AF4">
        <w:rPr>
          <w:sz w:val="24"/>
          <w:lang w:val="da-DK"/>
        </w:rPr>
        <w:t>TA(</w:t>
      </w:r>
      <w:proofErr w:type="gramEnd"/>
      <w:r w:rsidRPr="00A45AF4">
        <w:rPr>
          <w:sz w:val="24"/>
          <w:lang w:val="da-DK"/>
        </w:rPr>
        <w:t>2023)0366.</w:t>
      </w:r>
    </w:p>
  </w:footnote>
  <w:footnote w:id="5">
    <w:p w:rsidR="00343635" w:rsidRPr="00A45AF4" w:rsidRDefault="00343635" w:rsidP="00A45AF4">
      <w:pPr>
        <w:pStyle w:val="FootnoteText"/>
        <w:ind w:left="567" w:hanging="567"/>
        <w:rPr>
          <w:sz w:val="24"/>
          <w:lang w:val="da-DK"/>
        </w:rPr>
      </w:pPr>
      <w:r w:rsidRPr="00A45AF4">
        <w:rPr>
          <w:rStyle w:val="FootnoteReference"/>
          <w:sz w:val="24"/>
          <w:lang w:val="da-DK"/>
        </w:rPr>
        <w:footnoteRef/>
      </w:r>
      <w:r w:rsidR="00A45AF4" w:rsidRPr="00A45AF4">
        <w:rPr>
          <w:sz w:val="24"/>
          <w:lang w:val="da-DK"/>
        </w:rPr>
        <w:t xml:space="preserve"> </w:t>
      </w:r>
      <w:r w:rsidR="00A45AF4" w:rsidRPr="00A45AF4">
        <w:rPr>
          <w:sz w:val="24"/>
          <w:lang w:val="da-DK"/>
        </w:rPr>
        <w:tab/>
      </w:r>
      <w:r w:rsidRPr="00A45AF4">
        <w:rPr>
          <w:sz w:val="24"/>
          <w:lang w:val="da-DK"/>
        </w:rPr>
        <w:t xml:space="preserve">Briefing – "Illegal, </w:t>
      </w:r>
      <w:proofErr w:type="spellStart"/>
      <w:r w:rsidRPr="00A45AF4">
        <w:rPr>
          <w:sz w:val="24"/>
          <w:lang w:val="da-DK"/>
        </w:rPr>
        <w:t>unreported</w:t>
      </w:r>
      <w:proofErr w:type="spellEnd"/>
      <w:r w:rsidRPr="00A45AF4">
        <w:rPr>
          <w:sz w:val="24"/>
          <w:lang w:val="da-DK"/>
        </w:rPr>
        <w:t xml:space="preserve"> and </w:t>
      </w:r>
      <w:proofErr w:type="spellStart"/>
      <w:r w:rsidRPr="00A45AF4">
        <w:rPr>
          <w:sz w:val="24"/>
          <w:lang w:val="da-DK"/>
        </w:rPr>
        <w:t>unregulated</w:t>
      </w:r>
      <w:proofErr w:type="spellEnd"/>
      <w:r w:rsidRPr="00A45AF4">
        <w:rPr>
          <w:sz w:val="24"/>
          <w:lang w:val="da-DK"/>
        </w:rPr>
        <w:t xml:space="preserve"> (IUU) </w:t>
      </w:r>
      <w:proofErr w:type="spellStart"/>
      <w:r w:rsidRPr="00A45AF4">
        <w:rPr>
          <w:sz w:val="24"/>
          <w:lang w:val="da-DK"/>
        </w:rPr>
        <w:t>fishing</w:t>
      </w:r>
      <w:proofErr w:type="spellEnd"/>
      <w:r w:rsidRPr="00A45AF4">
        <w:rPr>
          <w:sz w:val="24"/>
          <w:lang w:val="da-DK"/>
        </w:rPr>
        <w:t xml:space="preserve">", Europa-Parlamentet, Generaldirektoratet for Parlamentarisk Forskning, 14. oktober 2022, </w:t>
      </w:r>
      <w:r w:rsidR="001C45F2">
        <w:fldChar w:fldCharType="begin"/>
      </w:r>
      <w:r w:rsidR="001C45F2" w:rsidRPr="001C45F2">
        <w:rPr>
          <w:lang w:val="da-DK"/>
        </w:rPr>
        <w:instrText xml:space="preserve"> HYPERLINK "https://www.europarl.europa.eu/RegData/etudes/BRIE/2</w:instrText>
      </w:r>
      <w:r w:rsidR="001C45F2" w:rsidRPr="001C45F2">
        <w:rPr>
          <w:lang w:val="da-DK"/>
        </w:rPr>
        <w:instrText xml:space="preserve">017/614598/EPRS_BRI(2017)614598_EN.pdf" </w:instrText>
      </w:r>
      <w:r w:rsidR="001C45F2">
        <w:fldChar w:fldCharType="separate"/>
      </w:r>
      <w:r w:rsidRPr="00A45AF4">
        <w:rPr>
          <w:rStyle w:val="Hyperlink"/>
          <w:sz w:val="24"/>
          <w:lang w:val="da-DK"/>
        </w:rPr>
        <w:t>https://www.europarl.europa.eu/RegData/etudes/BRIE/2017/614598/EPRS_BRI(2017)614598_EN.pdf</w:t>
      </w:r>
      <w:r w:rsidR="001C45F2">
        <w:rPr>
          <w:rStyle w:val="Hyperlink"/>
          <w:sz w:val="24"/>
          <w:lang w:val="da-DK"/>
        </w:rPr>
        <w:fldChar w:fldCharType="end"/>
      </w:r>
      <w:r w:rsidRPr="00A45AF4">
        <w:rPr>
          <w:sz w:val="24"/>
          <w:lang w:val="da-DK"/>
        </w:rPr>
        <w:t xml:space="preserve">, Temple, Andrew J. et al., "Illegal, </w:t>
      </w:r>
      <w:proofErr w:type="spellStart"/>
      <w:r w:rsidRPr="00A45AF4">
        <w:rPr>
          <w:sz w:val="24"/>
          <w:lang w:val="da-DK"/>
        </w:rPr>
        <w:t>unregulated</w:t>
      </w:r>
      <w:proofErr w:type="spellEnd"/>
      <w:r w:rsidRPr="00A45AF4">
        <w:rPr>
          <w:sz w:val="24"/>
          <w:lang w:val="da-DK"/>
        </w:rPr>
        <w:t xml:space="preserve"> and </w:t>
      </w:r>
      <w:proofErr w:type="spellStart"/>
      <w:r w:rsidRPr="00A45AF4">
        <w:rPr>
          <w:sz w:val="24"/>
          <w:lang w:val="da-DK"/>
        </w:rPr>
        <w:t>unreported</w:t>
      </w:r>
      <w:proofErr w:type="spellEnd"/>
      <w:r w:rsidRPr="00A45AF4">
        <w:rPr>
          <w:sz w:val="24"/>
          <w:lang w:val="da-DK"/>
        </w:rPr>
        <w:t xml:space="preserve"> </w:t>
      </w:r>
      <w:proofErr w:type="spellStart"/>
      <w:r w:rsidRPr="00A45AF4">
        <w:rPr>
          <w:sz w:val="24"/>
          <w:lang w:val="da-DK"/>
        </w:rPr>
        <w:t>fishing</w:t>
      </w:r>
      <w:proofErr w:type="spellEnd"/>
      <w:r w:rsidRPr="00A45AF4">
        <w:rPr>
          <w:sz w:val="24"/>
          <w:lang w:val="da-DK"/>
        </w:rPr>
        <w:t xml:space="preserve"> </w:t>
      </w:r>
      <w:proofErr w:type="spellStart"/>
      <w:r w:rsidRPr="00A45AF4">
        <w:rPr>
          <w:sz w:val="24"/>
          <w:lang w:val="da-DK"/>
        </w:rPr>
        <w:t>impacts</w:t>
      </w:r>
      <w:proofErr w:type="spellEnd"/>
      <w:r w:rsidRPr="00A45AF4">
        <w:rPr>
          <w:sz w:val="24"/>
          <w:lang w:val="da-DK"/>
        </w:rPr>
        <w:t xml:space="preserve">: A </w:t>
      </w:r>
      <w:proofErr w:type="spellStart"/>
      <w:r w:rsidRPr="00A45AF4">
        <w:rPr>
          <w:sz w:val="24"/>
          <w:lang w:val="da-DK"/>
        </w:rPr>
        <w:t>systematic</w:t>
      </w:r>
      <w:proofErr w:type="spellEnd"/>
      <w:r w:rsidRPr="00A45AF4">
        <w:rPr>
          <w:sz w:val="24"/>
          <w:lang w:val="da-DK"/>
        </w:rPr>
        <w:t xml:space="preserve"> </w:t>
      </w:r>
      <w:proofErr w:type="spellStart"/>
      <w:r w:rsidRPr="00A45AF4">
        <w:rPr>
          <w:sz w:val="24"/>
          <w:lang w:val="da-DK"/>
        </w:rPr>
        <w:t>review</w:t>
      </w:r>
      <w:proofErr w:type="spellEnd"/>
      <w:r w:rsidRPr="00A45AF4">
        <w:rPr>
          <w:sz w:val="24"/>
          <w:lang w:val="da-DK"/>
        </w:rPr>
        <w:t xml:space="preserve"> of </w:t>
      </w:r>
      <w:proofErr w:type="spellStart"/>
      <w:r w:rsidRPr="00A45AF4">
        <w:rPr>
          <w:sz w:val="24"/>
          <w:lang w:val="da-DK"/>
        </w:rPr>
        <w:t>evidence</w:t>
      </w:r>
      <w:proofErr w:type="spellEnd"/>
      <w:r w:rsidRPr="00A45AF4">
        <w:rPr>
          <w:sz w:val="24"/>
          <w:lang w:val="da-DK"/>
        </w:rPr>
        <w:t xml:space="preserve"> and </w:t>
      </w:r>
      <w:proofErr w:type="spellStart"/>
      <w:r w:rsidRPr="00A45AF4">
        <w:rPr>
          <w:sz w:val="24"/>
          <w:lang w:val="da-DK"/>
        </w:rPr>
        <w:t>proposed</w:t>
      </w:r>
      <w:proofErr w:type="spellEnd"/>
      <w:r w:rsidRPr="00A45AF4">
        <w:rPr>
          <w:sz w:val="24"/>
          <w:lang w:val="da-DK"/>
        </w:rPr>
        <w:t xml:space="preserve"> future agenda", </w:t>
      </w:r>
      <w:r w:rsidRPr="00A45AF4">
        <w:rPr>
          <w:i/>
          <w:sz w:val="24"/>
          <w:lang w:val="da-DK"/>
        </w:rPr>
        <w:t>Marine Policy</w:t>
      </w:r>
      <w:r w:rsidRPr="00A45AF4">
        <w:rPr>
          <w:sz w:val="24"/>
          <w:lang w:val="da-DK"/>
        </w:rPr>
        <w:t xml:space="preserve">, bind 139, 2022, </w:t>
      </w:r>
      <w:hyperlink r:id="rId1" w:history="1">
        <w:r w:rsidRPr="00A45AF4">
          <w:rPr>
            <w:rStyle w:val="Hyperlink"/>
            <w:sz w:val="24"/>
            <w:lang w:val="da-DK"/>
          </w:rPr>
          <w:t>https://www.sciencedirect.com/science/article/pii/S0308597X2200080X</w:t>
        </w:r>
      </w:hyperlink>
      <w:r w:rsidRPr="00A45AF4">
        <w:rPr>
          <w:sz w:val="24"/>
          <w:lang w:val="da-DK"/>
        </w:rPr>
        <w:t>, Den Europæiske Revisionsrets særberetning 20/2022.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A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A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A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DA"/>
    <w:docVar w:name="dvnumam" w:val="0"/>
    <w:docVar w:name="dvpe" w:val="753.497"/>
    <w:docVar w:name="dvrapporteur" w:val="Ordfører: "/>
    <w:docVar w:name="dvtitre" w:val="Europa-Parlamentets beslutning af xx.xx 2024 om ulovligt fiskeris indvirkning på fødevaresikkerheden – Den Europæiske Unions rolle(2023/2027(INI))"/>
  </w:docVars>
  <w:rsids>
    <w:rsidRoot w:val="00AE6F6C"/>
    <w:rsid w:val="00002272"/>
    <w:rsid w:val="00064002"/>
    <w:rsid w:val="000677B9"/>
    <w:rsid w:val="000831BA"/>
    <w:rsid w:val="000A42CC"/>
    <w:rsid w:val="000E7DD9"/>
    <w:rsid w:val="0010095E"/>
    <w:rsid w:val="00125B37"/>
    <w:rsid w:val="00187494"/>
    <w:rsid w:val="001C45F2"/>
    <w:rsid w:val="001F32AE"/>
    <w:rsid w:val="002531B0"/>
    <w:rsid w:val="002767FF"/>
    <w:rsid w:val="002B18FE"/>
    <w:rsid w:val="002B5493"/>
    <w:rsid w:val="00343214"/>
    <w:rsid w:val="0034363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F07"/>
    <w:rsid w:val="00857EED"/>
    <w:rsid w:val="00865F67"/>
    <w:rsid w:val="00881A7B"/>
    <w:rsid w:val="008840E5"/>
    <w:rsid w:val="00887B3E"/>
    <w:rsid w:val="008C2AC6"/>
    <w:rsid w:val="00930C23"/>
    <w:rsid w:val="0093193B"/>
    <w:rsid w:val="009509D8"/>
    <w:rsid w:val="00950B64"/>
    <w:rsid w:val="00981893"/>
    <w:rsid w:val="00A1687D"/>
    <w:rsid w:val="00A43E52"/>
    <w:rsid w:val="00A45AF4"/>
    <w:rsid w:val="00A4678D"/>
    <w:rsid w:val="00A778C7"/>
    <w:rsid w:val="00AB441E"/>
    <w:rsid w:val="00AB6293"/>
    <w:rsid w:val="00AE0928"/>
    <w:rsid w:val="00AE6F6C"/>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20759"/>
  <w15:chartTrackingRefBased/>
  <w15:docId w15:val="{1E452931-3143-4131-BD62-A654ADA5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3635"/>
    <w:pPr>
      <w:spacing w:before="480" w:after="240"/>
    </w:pPr>
    <w:rPr>
      <w:snapToGrid w:val="0"/>
      <w:lang w:eastAsia="en-US"/>
    </w:rPr>
  </w:style>
  <w:style w:type="paragraph" w:customStyle="1" w:styleId="NormalHanging12a">
    <w:name w:val="NormalHanging12a"/>
    <w:basedOn w:val="Normal"/>
    <w:rsid w:val="00343635"/>
    <w:pPr>
      <w:widowControl/>
      <w:spacing w:after="240"/>
      <w:ind w:left="567" w:hanging="567"/>
    </w:pPr>
    <w:rPr>
      <w:snapToGrid w:val="0"/>
      <w:lang w:eastAsia="en-US"/>
    </w:rPr>
  </w:style>
  <w:style w:type="character" w:customStyle="1" w:styleId="Italic">
    <w:name w:val="Italic"/>
    <w:uiPriority w:val="1"/>
    <w:rsid w:val="00343635"/>
    <w:rPr>
      <w:i/>
    </w:rPr>
  </w:style>
  <w:style w:type="character" w:styleId="Hyperlink">
    <w:name w:val="Hyperlink"/>
    <w:basedOn w:val="DefaultParagraphFont"/>
    <w:uiPriority w:val="99"/>
    <w:unhideWhenUsed/>
    <w:rsid w:val="00343635"/>
    <w:rPr>
      <w:color w:val="0563C1" w:themeColor="hyperlink"/>
      <w:u w:val="single"/>
    </w:rPr>
  </w:style>
  <w:style w:type="paragraph" w:styleId="BalloonText">
    <w:name w:val="Balloon Text"/>
    <w:basedOn w:val="Normal"/>
    <w:link w:val="BalloonTextChar"/>
    <w:rsid w:val="00842F07"/>
    <w:rPr>
      <w:rFonts w:ascii="Segoe UI" w:hAnsi="Segoe UI" w:cs="Segoe UI"/>
      <w:sz w:val="18"/>
      <w:szCs w:val="18"/>
    </w:rPr>
  </w:style>
  <w:style w:type="character" w:customStyle="1" w:styleId="BalloonTextChar">
    <w:name w:val="Balloon Text Char"/>
    <w:basedOn w:val="DefaultParagraphFont"/>
    <w:link w:val="BalloonText"/>
    <w:rsid w:val="00842F0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sciencedirect.com/science/article/pii/S0308597X220008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29E57-6669-4FD3-BEB5-28748AA39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4075</Words>
  <Characters>25625</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2024-01-18T12:28:00Z</dcterms:created>
  <dcterms:modified xsi:type="dcterms:W3CDTF">2024-01-18T12:28:00Z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A9-0433/2023</vt:lpwstr>
  </property>
  <property fmtid="{D5CDD505-2E9C-101B-9397-08002B2CF9AE}" pid="4" name="&lt;Type&gt;">
    <vt:lpwstr>RR</vt:lpwstr>
  </property>
</Properties>
</file>