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P9_TA(2024)0043</w:t>
      </w:r>
      <w:bookmarkEnd w:id="0"/>
    </w:p>
    <w:p>
      <w:pPr>
        <w:pStyle w:val="ATHeading2"/>
      </w:pPr>
      <w:bookmarkStart w:id="1" w:name="title"/>
      <w:r>
        <w:t>Vplyv nezákonného rybolovu na potravinovú bezpečnosť: úloha Európskej únie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A9-0433/2023</w:instrText>
      </w:r>
      <w:bookmarkEnd w:id="2"/>
      <w:r>
        <w:rPr>
          <w:i/>
        </w:rPr>
        <w:instrText xml:space="preserve"> - Spravodajca: </w:instrText>
      </w:r>
      <w:proofErr w:type="spellStart"/>
      <w:r>
        <w:rPr>
          <w:i/>
        </w:rPr>
        <w:instrText>Nuno</w:instrText>
      </w:r>
      <w:proofErr w:type="spellEnd"/>
      <w:r>
        <w:rPr>
          <w:i/>
        </w:rPr>
        <w:instrText xml:space="preserve"> </w:instrText>
      </w:r>
      <w:proofErr w:type="spellStart"/>
      <w:r>
        <w:rPr>
          <w:i/>
        </w:rPr>
        <w:instrText>Melo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rybárstvo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PE753.497</w:t>
      </w:r>
      <w:bookmarkEnd w:id="4"/>
    </w:p>
    <w:p>
      <w:pPr>
        <w:pStyle w:val="ATHeading3"/>
      </w:pPr>
      <w:bookmarkStart w:id="5" w:name="Sujet"/>
      <w:r>
        <w:t>Uznesenie Európskeho parlamentu z 18. januára 2024 o vplyve nezákonného rybolovu na potravinovú bezpečnosť: úloha Európskej únie</w:t>
      </w:r>
      <w:bookmarkEnd w:id="5"/>
      <w:r>
        <w:t xml:space="preserve"> </w:t>
      </w:r>
      <w:bookmarkStart w:id="6" w:name="References"/>
      <w:r>
        <w:t>(2023/2027(INI))</w:t>
      </w:r>
      <w:bookmarkEnd w:id="6"/>
    </w:p>
    <w:p>
      <w:pPr>
        <w:pStyle w:val="EPComma"/>
      </w:pPr>
      <w:bookmarkStart w:id="7" w:name="TextBodyBegin"/>
      <w:bookmarkEnd w:id="7"/>
      <w:r>
        <w:rPr>
          <w:rStyle w:val="Italic"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Dohovor OSN o morskom práve z roku 1982,</w:t>
      </w:r>
    </w:p>
    <w:p>
      <w:pPr>
        <w:pStyle w:val="NormalHanging12a"/>
      </w:pPr>
      <w:r>
        <w:t>–</w:t>
      </w:r>
      <w:r>
        <w:tab/>
        <w:t>so zreteľom na dohodu OSN o populáciách rýb z roku 1995,</w:t>
      </w:r>
    </w:p>
    <w:p>
      <w:pPr>
        <w:pStyle w:val="NormalHanging12a"/>
      </w:pPr>
      <w:r>
        <w:t>–</w:t>
      </w:r>
      <w:r>
        <w:tab/>
        <w:t>so zreteľom na Dohodu Organizácie OSN pre výživu a poľnohospodárstvo (FAO) o podporovaní dodržiavania medzinárodných ochranných a riadiacich opatrení rybárskymi plavidlami na šírom mori z roku 1995,</w:t>
      </w:r>
    </w:p>
    <w:p>
      <w:pPr>
        <w:pStyle w:val="NormalHanging12a"/>
      </w:pPr>
      <w:r>
        <w:t>–</w:t>
      </w:r>
      <w:r>
        <w:tab/>
        <w:t>so zreteľom na Kódex správania pre zodpovedný rybolov Organizácie OSN pre výživu a poľnohospodárstvo z roku 1995,</w:t>
      </w:r>
    </w:p>
    <w:p>
      <w:pPr>
        <w:pStyle w:val="NormalHanging12a"/>
      </w:pPr>
      <w:r>
        <w:t>–</w:t>
      </w:r>
      <w:r>
        <w:tab/>
        <w:t>so zreteľom na medzinárodný akčný plán Organizácie OSN pre výživu a poľnohospodárstvo na zabraňovanie nezákonnému, nenahlásenému a neregulovanému rybolovu, odrádzanie od neho a jeho odstraňovanie z roku 2001,</w:t>
      </w:r>
    </w:p>
    <w:p>
      <w:pPr>
        <w:pStyle w:val="NormalHanging12a"/>
      </w:pPr>
      <w:r>
        <w:t>–</w:t>
      </w:r>
      <w:r>
        <w:tab/>
        <w:t>so zreteľom na Dohovor Medzinárodnej organizácie práce (MOP) č. 188 o práci v odvetví rybolovu zo 14. júna 2007,</w:t>
      </w:r>
    </w:p>
    <w:p>
      <w:pPr>
        <w:pStyle w:val="NormalHanging12a"/>
      </w:pPr>
      <w:r>
        <w:t>–</w:t>
      </w:r>
      <w:r>
        <w:tab/>
        <w:t>so zreteľom na nariadenie Rady (ES) č. 1005/2008 z 29. septembra 2008, ktorým sa ustanovuje systém Spoločenstva na zabraňovanie nezákonnému, nenahlásenému a neregulovanému rybolovu, na odrádzanie od neho a jeho odstránenie, ktorým sa menia a dopĺňajú nariadenia (EHS) č. 2847/93, (ES) č. 1936/2001 a (ES) č. 601/2004 a ktorým sa zrušujú nariadenia (ES) č. 1093/94 a (ES) č. 1447/1999</w:t>
      </w:r>
      <w:r>
        <w:rPr>
          <w:rStyle w:val="FootnoteReference"/>
        </w:rPr>
        <w:footnoteReference w:id="1"/>
      </w:r>
      <w:r>
        <w:t xml:space="preserve"> (nariadenie o NNN rybolove),</w:t>
      </w:r>
    </w:p>
    <w:p>
      <w:pPr>
        <w:pStyle w:val="NormalHanging12a"/>
      </w:pPr>
      <w:r>
        <w:lastRenderedPageBreak/>
        <w:t>–</w:t>
      </w:r>
      <w:r>
        <w:tab/>
        <w:t>so zreteľom na nariadenie Rady (ES) č. 1224/2009 z 20. novembra 2009, ktorým sa zriaďuje systém kontroly Spoločenstva na zabezpečenie dodržiavania pravidiel spoločnej politiky v oblasti rybného hospodárstva a ktorým sa menia a dopĺňajú nariadenia (ES) č. 847/96, (ES) č. 2371/2002, (ES) č. 811/2004, (ES) č. 768/2005, (ES) č. 2115/2005, (ES) č. 2166/2005, (ES) č. 388/2006, (ES) č. 509/2007, (ES) č. 676/2007, (ES) č. 1098/2007, (ES) č. 1300/2008, (ES) č. 1342/2008 a ktorým sa zrušujú nariadenia (EHS) č. 2847/93, (ES) č. 1627/94 a (ES) č. 1966/2006</w:t>
      </w:r>
      <w:r>
        <w:rPr>
          <w:rStyle w:val="FootnoteReference"/>
        </w:rPr>
        <w:footnoteReference w:id="2"/>
      </w:r>
      <w:r>
        <w:t xml:space="preserve"> (nariadenie o kontrole rybárstva),</w:t>
      </w:r>
    </w:p>
    <w:p>
      <w:pPr>
        <w:pStyle w:val="NormalHanging12a"/>
      </w:pPr>
      <w:r>
        <w:t>–</w:t>
      </w:r>
      <w:r>
        <w:tab/>
        <w:t>so zreteľom na Dohodu Organizácie OSN pre výživu a poľnohospodárstvo o opatreniach prístavných štátov zameraných na prevenciu a odrádzanie od nezákonného, nenahláseného a neregulovaného rybolovu a na jeho odstránenie z roku 2009,</w:t>
      </w:r>
    </w:p>
    <w:p>
      <w:pPr>
        <w:pStyle w:val="NormalHanging12a"/>
      </w:pPr>
      <w:r>
        <w:t>–</w:t>
      </w:r>
      <w:r>
        <w:tab/>
        <w:t xml:space="preserve">so zreteľom na Dohodu z </w:t>
      </w:r>
      <w:proofErr w:type="spellStart"/>
      <w:r>
        <w:t>Kapského</w:t>
      </w:r>
      <w:proofErr w:type="spellEnd"/>
      <w:r>
        <w:t xml:space="preserve"> Mesta z roku 2012 o vykonávaní ustanovení protokolu z </w:t>
      </w:r>
      <w:proofErr w:type="spellStart"/>
      <w:r>
        <w:t>Torremolinosu</w:t>
      </w:r>
      <w:proofErr w:type="spellEnd"/>
      <w:r>
        <w:t xml:space="preserve"> z roku 1993 týkajúceho sa Medzinárodného dohovoru o bezpečnosti rybárskych plavidiel z </w:t>
      </w:r>
      <w:proofErr w:type="spellStart"/>
      <w:r>
        <w:t>Torremolinosu</w:t>
      </w:r>
      <w:proofErr w:type="spellEnd"/>
      <w:r>
        <w:t xml:space="preserve"> z roku 1977,</w:t>
      </w:r>
    </w:p>
    <w:p>
      <w:pPr>
        <w:pStyle w:val="NormalHanging12a"/>
      </w:pPr>
      <w:r>
        <w:t>–</w:t>
      </w:r>
      <w:r>
        <w:tab/>
        <w:t>so zreteľom na dobrovoľné usmernenia Organizácie OSN pre výživu a poľnohospodárstvo k vykonávaniu povinností vlajkového štátu z roku 2014,</w:t>
      </w:r>
    </w:p>
    <w:p>
      <w:pPr>
        <w:pStyle w:val="NormalHanging12a"/>
      </w:pPr>
      <w:r>
        <w:t>–</w:t>
      </w:r>
      <w:r>
        <w:tab/>
        <w:t>so zreteľom na nariadenie Rady (EÚ) 2020/1998 zo 7. decembra 2020 o reštriktívnych opatreniach proti závažnému porušovaniu a zneužívaniu ľudských práv</w:t>
      </w:r>
      <w:r>
        <w:rPr>
          <w:rStyle w:val="FootnoteReference"/>
        </w:rPr>
        <w:footnoteReference w:id="3"/>
      </w:r>
      <w:r>
        <w:t>, </w:t>
      </w:r>
    </w:p>
    <w:p>
      <w:pPr>
        <w:pStyle w:val="NormalHanging12a"/>
      </w:pPr>
      <w:r>
        <w:t>–</w:t>
      </w:r>
      <w:r>
        <w:tab/>
        <w:t xml:space="preserve">so zreteľom na správu koalície EÚ pre NNN rybolov z decembra 2021 s názvom </w:t>
      </w:r>
      <w:proofErr w:type="spellStart"/>
      <w:r>
        <w:t>Vysledovateľnosť</w:t>
      </w:r>
      <w:proofErr w:type="spellEnd"/>
      <w:r>
        <w:t xml:space="preserve"> morských potravín: zosúladenie systémov dokumentácie úlovkov regionálnych rybárskych organizácií s cieľom bojovať proti NNN rybolovu,</w:t>
      </w:r>
    </w:p>
    <w:p>
      <w:pPr>
        <w:pStyle w:val="NormalHanging12a"/>
      </w:pPr>
      <w:r>
        <w:t>–</w:t>
      </w:r>
      <w:r>
        <w:tab/>
        <w:t>so zreteľom na štúdiu Komisie z roku 2022 s názvom Štúdia o legislatívnych rámcoch a systémoch presadzovania práva členských štátov, pokiaľ ide o povinnosti a sankcie voči štátnym príslušníkom za porušenie pravidiel vyplývajúcich z nariadenia o NNN rybolove,</w:t>
      </w:r>
    </w:p>
    <w:p>
      <w:pPr>
        <w:pStyle w:val="NormalHanging12a"/>
      </w:pPr>
      <w:r>
        <w:t>–</w:t>
      </w:r>
      <w:r>
        <w:tab/>
        <w:t>so zreteľom na osobitnú správu Európskeho dvora audítorov č. 20/2022 z 26. septembra 2022 s názvom Opatrenia EÚ na boj proti nezákonnému rybolovu – Kontrolné systémy existujú, ale sú oslabené nerovnomernými kontrolami a sankciami zo strany členských štátov, ktorá sa týka politiky EÚ v boji proti nezákonnému, nenahlásenému a neregulovanému rybolovu (NNN rybolovu),</w:t>
      </w:r>
    </w:p>
    <w:p>
      <w:pPr>
        <w:pStyle w:val="NormalHanging12a"/>
      </w:pPr>
      <w:r>
        <w:t>–</w:t>
      </w:r>
      <w:r>
        <w:tab/>
        <w:t xml:space="preserve">so zreteľom na správu Organizácie OSN pre výživu a poľnohospodárstvo z roku 2022 s názvom Stav svetového rybolovu a </w:t>
      </w:r>
      <w:proofErr w:type="spellStart"/>
      <w:r>
        <w:t>akvakultúry</w:t>
      </w:r>
      <w:proofErr w:type="spellEnd"/>
      <w:r>
        <w:t xml:space="preserve"> za rok 2022: smerom k modrej transformácii,</w:t>
      </w:r>
    </w:p>
    <w:p>
      <w:pPr>
        <w:pStyle w:val="NormalHanging12a"/>
      </w:pPr>
      <w:r>
        <w:t>–</w:t>
      </w:r>
      <w:r>
        <w:tab/>
        <w:t>so zreteľom na záväzok Aliancie pre NNN rybolov s cieľom stimulovať ambície a opatrenia na boj proti nezákonnému, nenahlásenému a neregulovanému rybolovu, na ktorom sa dohodlo 28. júna 2022, </w:t>
      </w:r>
    </w:p>
    <w:p>
      <w:pPr>
        <w:pStyle w:val="NormalHanging12a"/>
      </w:pPr>
      <w:r>
        <w:lastRenderedPageBreak/>
        <w:t>–</w:t>
      </w:r>
      <w:r>
        <w:tab/>
        <w:t>so zreteľom na Dohodu Svetovej obchodnej organizácie (WTO) o rybolovných dotáciách z roku 2022, ktorou sa zakazujú škodlivé rybolovné dotácie,</w:t>
      </w:r>
    </w:p>
    <w:p>
      <w:pPr>
        <w:pStyle w:val="NormalHanging12a"/>
      </w:pPr>
      <w:r>
        <w:t>–</w:t>
      </w:r>
      <w:r>
        <w:tab/>
        <w:t xml:space="preserve">so zreteľom na usmernenie Organizácie OSN pre výživu a poľnohospodárstvo z roku 2023 s názvom Posilnenie </w:t>
      </w:r>
      <w:proofErr w:type="spellStart"/>
      <w:r>
        <w:t>vysledovateľnosti</w:t>
      </w:r>
      <w:proofErr w:type="spellEnd"/>
      <w:r>
        <w:t xml:space="preserve"> medzi koncovými bodmi – kritické udalosti sledovania a kľúčové dátové prvky v hodnotových reťazcoch rybolovu a </w:t>
      </w:r>
      <w:proofErr w:type="spellStart"/>
      <w:r>
        <w:t>akvakultúry</w:t>
      </w:r>
      <w:proofErr w:type="spellEnd"/>
      <w:r>
        <w:t>,</w:t>
      </w:r>
    </w:p>
    <w:p>
      <w:pPr>
        <w:pStyle w:val="NormalHanging12a"/>
      </w:pPr>
      <w:r>
        <w:t>–</w:t>
      </w:r>
      <w:r>
        <w:tab/>
        <w:t>so zreteľom na technické usmernenie Organizácie OSN pre výživu a poľnohospodárstvo z roku 2023 s názvom Vykonávanie medzinárodného akčného plánu na zabraňovanie nezákonnému, nenahlásenému a neregulovanému rybolovu, odrádzanie od neho a jeho odstraňovanie – 1, metodiky a ukazovatele pre odhad rozsahu a vplyvu nezákonného, nenahláseného a neregulovaného rybolovu: 1.1 zásady a prístupy,</w:t>
      </w:r>
    </w:p>
    <w:p>
      <w:pPr>
        <w:pStyle w:val="NormalHanging12a"/>
      </w:pPr>
      <w:r>
        <w:t>–</w:t>
      </w:r>
      <w:r>
        <w:tab/>
        <w:t>so zreteľom na spoločné odporúčanie Poradnej rady pre trhy a Poradnej rady pre diaľkové flotily z 21. apríla 2023 o potrebe harmonizovaných kontrol dovozu medzi členskými štátmi s cieľom zabrániť vstupu produktov nezákonného, nenahláseného a neregulovaného rybolovu na trh Európskej únie,</w:t>
      </w:r>
    </w:p>
    <w:p>
      <w:pPr>
        <w:pStyle w:val="NormalHanging12a"/>
      </w:pPr>
      <w:r>
        <w:t>–</w:t>
      </w:r>
      <w:r>
        <w:tab/>
        <w:t>so zreteľom na pozíciu Európskeho parlamentu k zákazu výrobkov vyrobených s využitím nútenej práce na trhu Únie (COM(2022)0453),</w:t>
      </w:r>
    </w:p>
    <w:p>
      <w:pPr>
        <w:pStyle w:val="NormalHanging12a"/>
      </w:pPr>
      <w:r>
        <w:t>–</w:t>
      </w:r>
      <w:r>
        <w:tab/>
        <w:t>so zreteľom na svoje uznesenie zo 17. októbra 2023 o dôsledkoch čínskych rybolovných činností na rybárstvo EÚ a o ďalšom postupe</w:t>
      </w:r>
      <w:r>
        <w:rPr>
          <w:rStyle w:val="FootnoteReference"/>
        </w:rPr>
        <w:footnoteReference w:id="4"/>
      </w:r>
      <w:r>
        <w:t>,</w:t>
      </w:r>
    </w:p>
    <w:p>
      <w:pPr>
        <w:pStyle w:val="NormalHanging12a"/>
      </w:pPr>
      <w:r>
        <w:t>–</w:t>
      </w:r>
      <w:r>
        <w:tab/>
        <w:t>so zreteľom na ciele udržateľného rozvoja OSN, najmä cieľ udržateľného rozvoja č. 14 – Život pod vodou: Zachovať a udržateľne využívať oceány, moria a morské zdroje v záujme udržateľného rozvoja,</w:t>
      </w:r>
    </w:p>
    <w:p>
      <w:pPr>
        <w:pStyle w:val="NormalHanging12a"/>
      </w:pPr>
      <w:r>
        <w:t>–</w:t>
      </w:r>
      <w:r>
        <w:tab/>
        <w:t>so zreteľom na článok 54 rokovacieho poriadku,</w:t>
      </w:r>
    </w:p>
    <w:p>
      <w:pPr>
        <w:pStyle w:val="NormalHanging12a"/>
      </w:pPr>
      <w:r>
        <w:t>–</w:t>
      </w:r>
      <w:r>
        <w:tab/>
        <w:t>so zreteľom na správu Výboru pre rybárstvo (A9-0433/2023),</w:t>
      </w:r>
    </w:p>
    <w:p>
      <w:pPr>
        <w:pStyle w:val="NormalHanging12a"/>
      </w:pPr>
      <w:r>
        <w:t>A.</w:t>
      </w:r>
      <w:r>
        <w:tab/>
        <w:t>keďže EÚ ako významný svetový aktér v oblasti rybného hospodárstva s rybárskou flotilou približne 73 000 plavidiel a ako najväčší dovozca produktov rybolovu na svete (čo predstavuje 34 % celkového svetového obchodu z hľadiska hodnoty, pričom takmer 70 % produktov rybolovu skonzumovaných v EÚ sa dováža) preto zohráva ústrednú úlohu v boji proti NNN rybolovu na celom svete;</w:t>
      </w:r>
    </w:p>
    <w:p>
      <w:pPr>
        <w:pStyle w:val="NormalHanging12a"/>
      </w:pPr>
      <w:r>
        <w:t>B.</w:t>
      </w:r>
      <w:r>
        <w:tab/>
        <w:t>keďže odvetvie rybolovu v EÚ priamo zamestnáva 124 000 rybárov a každoročne prináša príjmy vo výške 6,3 miliardy EUR;</w:t>
      </w:r>
    </w:p>
    <w:p>
      <w:pPr>
        <w:pStyle w:val="NormalHanging12a"/>
      </w:pPr>
      <w:r>
        <w:t>C.</w:t>
      </w:r>
      <w:r>
        <w:tab/>
        <w:t xml:space="preserve">keďže je ťažké odhadnúť rozsah NNN rybolovu a jeho hospodársku hodnotu; keďže v štúdiách sa zistilo, že celkové množstvo nenahlásených úlovkov v roku 2016 predstavovalo približne 28 miliónov ton s odhadovanou hodnotou 41 miliárd USD; keďže na začiatku 21. storočia predstavovali nezákonné úlovky podľa odhadov 10 až 26 miliónov ton rýb s odhadovanou hodnotou 10 – 23 miliárd USD; keďže v EÚ </w:t>
      </w:r>
      <w:r>
        <w:lastRenderedPageBreak/>
        <w:t>predstavujú každoročne dovezené produkty pochádzajúce z NNN rybolovu približne 500 000 ton v hodnote 1,1 miliardy EUR</w:t>
      </w:r>
      <w:r>
        <w:rPr>
          <w:rStyle w:val="FootnoteReference"/>
        </w:rPr>
        <w:footnoteReference w:id="5"/>
      </w:r>
      <w:r>
        <w:t xml:space="preserve">; </w:t>
      </w:r>
    </w:p>
    <w:p>
      <w:pPr>
        <w:pStyle w:val="NormalHanging12a"/>
      </w:pPr>
      <w:r>
        <w:t>D.</w:t>
      </w:r>
      <w:r>
        <w:tab/>
        <w:t>keďže praktiky NNN rybolovu majú významný vplyv na potravinovú bezpečnosť a pracovné príležitosti pre pobrežné komunity a predstavujú tiež veľkú hrozbu pre morské ekosystémy a populácie rýb, čo vážne ohrozuje živobytie rybárov a pobrežných komunít v Európskej únii a tretích krajinách a vytvára nespravodlivú hospodársku súťaž na trhu s produktmi rybolovu;</w:t>
      </w:r>
    </w:p>
    <w:p>
      <w:pPr>
        <w:pStyle w:val="NormalHanging12a"/>
      </w:pPr>
      <w:r>
        <w:t>E.</w:t>
      </w:r>
      <w:r>
        <w:tab/>
        <w:t>keďže EÚ je odhodlaná dosiahnuť cieľ udržateľného rozvoja č. 14.4 a skoncovať s NNN rybolovom do roku 2020 a v čo najväčšej možnej miere odstrániť dovoz produktov pochádzajúcich z NNN rybolovu, ktoré stále vstupujú na trh EÚ;</w:t>
      </w:r>
    </w:p>
    <w:p>
      <w:pPr>
        <w:pStyle w:val="NormalHanging12a"/>
      </w:pPr>
      <w:r>
        <w:t>F.</w:t>
      </w:r>
      <w:r>
        <w:tab/>
        <w:t>keďže flotila EÚ vo vzdialených vodách čelí konkurencii istých zahraničných flotíl, ktoré boli obvinené z vykonávania NNN rybolovu vrátane nútenej práce, pracovného vykorisťovania a obchodovania s ľuďmi, čím narúšajú živobytie a ľudské práva rybárov na celom svete, ako aj udržateľnosť populácií rýb, a z predaja lacných produktov rybolovu na trhu EÚ, čím sa kvalitné produkty EÚ stávajú nekonkurencieschopnými; keďže opatrenia EÚ proti NNN rybolovu pomáhajú zabezpečiť rovnaké podmienky pre prevádzkovateľov z EÚ a z krajín mimo EÚ;</w:t>
      </w:r>
    </w:p>
    <w:p>
      <w:pPr>
        <w:pStyle w:val="NormalHanging12a"/>
      </w:pPr>
      <w:r>
        <w:t>G.</w:t>
      </w:r>
      <w:r>
        <w:tab/>
        <w:t>keďže EÚ má účinný rámec právnych predpisov v oblasti rybárstva vrátane opatrení na zlepšenie kapacít na monitorovanie, inšpekciu, kontrolu a dohľad, ktoré sa používajú v boji proti NNN rybolovu;</w:t>
      </w:r>
    </w:p>
    <w:p>
      <w:pPr>
        <w:pStyle w:val="NormalHanging12a"/>
      </w:pPr>
      <w:r>
        <w:t>H.</w:t>
      </w:r>
      <w:r>
        <w:tab/>
        <w:t xml:space="preserve">keďže podľa osobitnej správy Európskeho dvora audítorov o opatreniach EÚ na boj proti NNN rybolovu nariadenie o NNN rybolove zlepšilo </w:t>
      </w:r>
      <w:proofErr w:type="spellStart"/>
      <w:r>
        <w:t>vysledovateľnosť</w:t>
      </w:r>
      <w:proofErr w:type="spellEnd"/>
      <w:r>
        <w:t xml:space="preserve"> a posilnilo kontrolu dovozu, osvedčilo sa ako užitočné a viedlo k pozitívnym reformám vo väčšine dotknutých krajín, no keďže sa v správe dospelo k záveru, že systémy kontroly oslabujú nerovnomerné kontroly a sankcie zo strany členských štátov; </w:t>
      </w:r>
    </w:p>
    <w:p>
      <w:pPr>
        <w:pStyle w:val="NormalHanging12a"/>
      </w:pPr>
      <w:r>
        <w:t>I.</w:t>
      </w:r>
      <w:r>
        <w:tab/>
        <w:t xml:space="preserve">keďže digitalizácia certifikátov o úlovku NNN využitím informačného systému CATCH obmedzí príležitosti na podvodný dovoz; keďže systém osvedčovania úlovkov EÚ je navyše najkomplexnejší, a to v porovnaní so systémami USA a Japonska, ktoré sú v poradí druhým a tretím najväčším dovozcom na svete; </w:t>
      </w:r>
    </w:p>
    <w:p>
      <w:pPr>
        <w:pStyle w:val="NormalHanging12a"/>
      </w:pPr>
      <w:r>
        <w:t>J.</w:t>
      </w:r>
      <w:r>
        <w:tab/>
        <w:t>keďže v článku 12 nariadenia o NNN rybolove sa zakazuje dovoz produktov pochádzajúcich z NNN rybolovu a tretie krajiny môžu byť označené za nespolupracujúce krajiny v súlade s ustanoveniami článkov 31 – 36 tohto nariadenia; keďže EÚ uplatňuje v prípade NNN rybolovu politiku nulovej tolerancie, ktorá sa vzťahuje na všetky aspekty rybolovu bez ohľadu na to, či sa vykonáva v EÚ alebo mimo nej;</w:t>
      </w:r>
    </w:p>
    <w:p>
      <w:pPr>
        <w:pStyle w:val="NormalHanging12a"/>
      </w:pPr>
      <w:r>
        <w:lastRenderedPageBreak/>
        <w:t>K.</w:t>
      </w:r>
      <w:r>
        <w:tab/>
        <w:t>keďže päť tretích krajín má v súčasnosti červenú kartu a osem má žltú kartu; keďže však voči jednému hlavnému producentovi morských plodov, Čínskej ľudovej republike, nikdy nebol uplatnený postup podľa nariadenia o NNN rybolove napriek značným dôkazom o jeho významnom a stále intenzívnejšom zapojení do NNN rybolovu a keďže jeho neregulované a nejasné rybolovné operácie predstavujú vážnu hrozbu pre zachovanie globálnych rybolovných zdrojov a dodávateľských reťazcov;</w:t>
      </w:r>
    </w:p>
    <w:p>
      <w:pPr>
        <w:pStyle w:val="NormalHanging12a"/>
      </w:pPr>
      <w:r>
        <w:t>L.</w:t>
      </w:r>
      <w:r>
        <w:tab/>
        <w:t>keďže Európsky námorný a rybársky fond poskytoval podporu činnostiam v oblasti monitorovania, kontroly a presadzovania práva, na čo mal vyhradený celkový rozpočet vo výške 580 miliónov EUR;</w:t>
      </w:r>
    </w:p>
    <w:p>
      <w:pPr>
        <w:pStyle w:val="NormalHanging12a"/>
      </w:pPr>
      <w:r>
        <w:t>M.</w:t>
      </w:r>
      <w:r>
        <w:tab/>
        <w:t xml:space="preserve">keďže Európsky námorný, rybolovný a </w:t>
      </w:r>
      <w:proofErr w:type="spellStart"/>
      <w:r>
        <w:t>akvakultúrny</w:t>
      </w:r>
      <w:proofErr w:type="spellEnd"/>
      <w:r>
        <w:t xml:space="preserve"> fond (ENRAF) poskytuje významnú podporu na činnosti monitorovania, kontroly a presadzovania práva s osobitným cieľom „podporovať účinnú kontrolu a presadzovanie práva v oblasti rybárstva vrátane boja proti NNN rybolovu“ v rámci priority 1 – Podpora udržateľného rybárstva a obnova a ochrana vodných biologických zdrojov;</w:t>
      </w:r>
    </w:p>
    <w:p>
      <w:pPr>
        <w:pStyle w:val="NormalHanging12a"/>
      </w:pPr>
      <w:r>
        <w:t>N.</w:t>
      </w:r>
      <w:r>
        <w:tab/>
        <w:t xml:space="preserve">keďže produkty pochádzajúce z NNN rybolovu predstavujú riziko pre potravinovú bezpečnosť občanov Európskej únie tým, že ohrozujú prístup k bezpečným, cenovo dostupným, kvalitným a </w:t>
      </w:r>
      <w:proofErr w:type="spellStart"/>
      <w:r>
        <w:t>vysledovateľným</w:t>
      </w:r>
      <w:proofErr w:type="spellEnd"/>
      <w:r>
        <w:t xml:space="preserve"> potravinám pre všetkých;</w:t>
      </w:r>
    </w:p>
    <w:p>
      <w:pPr>
        <w:pStyle w:val="NormalHanging12a"/>
      </w:pPr>
      <w:r>
        <w:t>O.</w:t>
      </w:r>
      <w:r>
        <w:tab/>
        <w:t>keďže uznáva, že NNN rybolov neúmerne postihuje zraniteľné a marginalizované komunity v EÚ aj v tretích krajinách;</w:t>
      </w:r>
    </w:p>
    <w:p>
      <w:pPr>
        <w:pStyle w:val="NormalHanging12a"/>
      </w:pPr>
      <w:r>
        <w:t>P.</w:t>
      </w:r>
      <w:r>
        <w:tab/>
        <w:t xml:space="preserve">keďže EÚ sa v marci 2023 pripojila k Aliancii pre NNN rybolov; </w:t>
      </w:r>
    </w:p>
    <w:p>
      <w:pPr>
        <w:pStyle w:val="NormalHanging12a"/>
      </w:pPr>
      <w:r>
        <w:t>1.</w:t>
      </w:r>
      <w:r>
        <w:tab/>
        <w:t xml:space="preserve">opätovne potvrdzuje, že je potrebné, aby EÚ a jej členské štáty aj naďalej pristupovali k NNN rybolovu s nulovou toleranciou a tento prístup uplatňovali rovnako na všetky krajiny bez ohľadu na ich veľkosť a aby podporovali hospodársky, environmentálne a sociálne udržateľný rybolov s cieľom bojovať proti nadmernému rybolovu, ničeniu morských ekosystémov a nespravodlivej hospodárskej súťaži v odvetví rybárstva EÚ a zároveň zaistiť potravinovú bezpečnosť a chrániť verejné zdravie; </w:t>
      </w:r>
    </w:p>
    <w:p>
      <w:pPr>
        <w:pStyle w:val="NormalHanging12a"/>
      </w:pPr>
      <w:r>
        <w:t>2.</w:t>
      </w:r>
      <w:r>
        <w:tab/>
        <w:t>konštatuje, že odvetvie rybolovu zohráva kľúčovú úlohu pri zaisťovaní globálnej potravinovej a výživovej bezpečnosti a zabezpečovaní živobytia pre ľudí žijúcich v pobrežných oblastiach; zdôrazňuje, že Únia prikladá veľký význam udržateľnému rozvoju celosvetového rybárstva a odstráneniu nútenej práce, obchodovania s ľuďmi a iných foriem porušovania predpisov, a to aj v odvetví rybolovu; uznáva odhodlanie a dodržiavanie predpisov, ktoré preukazujú mnohí rybári EÚ, pokiaľ ide o zabezpečenie udržateľného riadenia rybolovných zdrojov;</w:t>
      </w:r>
    </w:p>
    <w:p>
      <w:pPr>
        <w:pStyle w:val="NormalHanging12a"/>
      </w:pPr>
      <w:r>
        <w:t>3.</w:t>
      </w:r>
      <w:r>
        <w:tab/>
        <w:t>uznáva, že boj proti NNN rybolovu si vyžaduje holistický prístup zameraný na príčiny NNN rybolovu, ako je chudoba, nedostatok hospodárskych alternatív a slabá správa vecí verejných v niektorých regiónoch; nabáda Komisiu, aby sa zapojila do programov budovania kapacít a medzinárodnej spolupráce s cieľom pomôcť riešiť tieto základné otázky a podporovať udržateľné rybolovné postupy;</w:t>
      </w:r>
    </w:p>
    <w:p>
      <w:pPr>
        <w:pStyle w:val="NormalHanging12a"/>
      </w:pPr>
      <w:r>
        <w:t>4.</w:t>
      </w:r>
      <w:r>
        <w:tab/>
        <w:t xml:space="preserve">naliehavo vyzýva Komisiu, aby spolupracovala najmä s tretími krajinami, ktoré sú významnými vývozcami produktov rybolovu do EÚ, s cieľom zabezpečiť, aby vykonávali opatrenia na predchádzanie NNN rybolovu vrátane pracovnoprávnych a </w:t>
      </w:r>
      <w:r>
        <w:lastRenderedPageBreak/>
        <w:t>environmentálnych predpisov; nabáda Komisiu, aby zvážila sankcie alebo iné obchodné opatrenia, ak tretie krajiny nedodržiavajú medzinárodné normy;</w:t>
      </w:r>
    </w:p>
    <w:p>
      <w:pPr>
        <w:pStyle w:val="NormalHanging12a"/>
      </w:pPr>
      <w:r>
        <w:t>5.</w:t>
      </w:r>
      <w:r>
        <w:tab/>
        <w:t>vyzýva Komisiu, aby poskytla technickú pomoc a podporovala budovanie kapacít s využitím všetkých možných kanálov v rámci spoločnej rybárskej politiky v súlade s cieľmi EÚ v oblasti medzinárodnej správy oceánov a motivovala a podporovala pobrežné štáty, s ktorými Únia vedie dialóg o zintenzívnení boja proti NNN rybolovu a sprísnení požiadaviek udržateľnosti a transparentnosti, pokiaľ ide o podmienky prístupu do ich výhradných hospodárskych zón;</w:t>
      </w:r>
    </w:p>
    <w:p>
      <w:pPr>
        <w:pStyle w:val="NormalHanging12a"/>
      </w:pPr>
      <w:r>
        <w:t>6.</w:t>
      </w:r>
      <w:r>
        <w:tab/>
        <w:t>víta iniciatívu Komisie zverejniť 10. mája 2023 webové sídlo, ktoré bude obsahovať údaje o oprávneniach na rybolov udelených plavidlám EÚ loviacim mimo vôd EÚ a plavidlám z krajín mimo EÚ loviacim vo vodách EÚ; naliehavo vyzýva orgány tretích krajín zodpovedné za rybolov a regionálne organizácie pre riadenie rybárstva (RFMO), aby prijali podobné opatrenia;</w:t>
      </w:r>
    </w:p>
    <w:p>
      <w:pPr>
        <w:pStyle w:val="NormalHanging12a"/>
      </w:pPr>
      <w:r>
        <w:t>7.</w:t>
      </w:r>
      <w:r>
        <w:tab/>
        <w:t>víta, že v novom nariadení o kontrole rybárstva sa vyžaduje, aby sa na produktoch rybolovu dovážaných do EÚ a ulovených na mori uvádzalo číslo IMO rybárskeho plavidla alebo iný jedinečný identifikátor plavidla, ak sa neuplatňuje číslo IMO; </w:t>
      </w:r>
    </w:p>
    <w:p>
      <w:pPr>
        <w:pStyle w:val="NormalHanging12a"/>
      </w:pPr>
      <w:r>
        <w:t>8.</w:t>
      </w:r>
      <w:r>
        <w:tab/>
        <w:t>víta záväzok Aliancie pre NNN rybolov s cieľom stimulovať ambície a opatrenia na boj proti nezákonnému, nenahlásenému a neregulovanému rybolovu, na ktorom sa dohodlo 28. júna 2022, víta, že Európska únia sa nedávno pripojila k Aliancii proti NNN rybolovu; naliehavo vyzýva členov aliancie, aby koordinovali svoje vnútroštátne systémy boja proti NNN rybolovu, a najmä aby preskúmali možnosť spoločného vydávania žltých a červených kariet alebo používania iných podobných nástrojov;</w:t>
      </w:r>
    </w:p>
    <w:p>
      <w:pPr>
        <w:pStyle w:val="NormalHanging12a"/>
      </w:pPr>
      <w:r>
        <w:t>9.</w:t>
      </w:r>
      <w:r>
        <w:tab/>
        <w:t>zdôrazňuje potrebu vykonať dôsledný vedecký výskum a zber údajov s cieľom lepšie pochopiť konkrétne vplyvy NNN rybolovu na potravinovú bezpečnosť, miestne hospodárstva a životné prostredie; vyzýva Komisiu, aby na takýto výskum vyčlenila finančné prostriedky a zdroje a aby pravidelne aktualizovala svoje posúdenia s cieľom poskytnúť základ pre tvorbu politík založenú na dôkazoch;</w:t>
      </w:r>
    </w:p>
    <w:p>
      <w:pPr>
        <w:pStyle w:val="NormalHanging12a"/>
      </w:pPr>
      <w:r>
        <w:t>10.</w:t>
      </w:r>
      <w:r>
        <w:tab/>
        <w:t>zdôrazňuje, že nariadenie EÚ o NNN rybolove sa musí vykonávať harmonizovaným prístupom, ktorým sa zabezpečí rovnaká úroveň vykonávania vo všetkých členských štátoch, čím by sa zvýšila účinnosť nariadenia pri používaní a zabránilo by sa akýmkoľvek potenciálnym medzerám;</w:t>
      </w:r>
    </w:p>
    <w:p>
      <w:pPr>
        <w:pStyle w:val="NormalHanging12a"/>
      </w:pPr>
      <w:r>
        <w:t>11.</w:t>
      </w:r>
      <w:r>
        <w:tab/>
        <w:t>žiada, aby Komisia zabezpečila, aby usmernenia EÚ k vykonávaniu nariadenia EÚ o NNN rybolove poskytovali usmernenie k tomu, ako zlepšiť vykonávanie nariadenia EÚ o NNN rybolove v členských štátoch, ktoré nedodržiavajú požiadavky nariadenia, a ako najlepšie overiť informácie uvedené v dvojročných správach;</w:t>
      </w:r>
    </w:p>
    <w:p>
      <w:pPr>
        <w:pStyle w:val="NormalHanging12a"/>
      </w:pPr>
      <w:r>
        <w:t>12.</w:t>
      </w:r>
      <w:r>
        <w:tab/>
        <w:t xml:space="preserve">zdôrazňuje, že je dôležité zaviesť viac kontrol dovozu s cieľom chrániť verejné zdravie a konkurencieschopnosť odvetvia rybolovu EÚ tým, že sa vykonajú prísne a včasné opatrenia a sankcie; </w:t>
      </w:r>
    </w:p>
    <w:p>
      <w:pPr>
        <w:pStyle w:val="NormalHanging12a"/>
      </w:pPr>
      <w:r>
        <w:t>13.</w:t>
      </w:r>
      <w:r>
        <w:tab/>
        <w:t>poukazuje na to, že členské štáty musia vyčleniť dostatočné kapacity a zdroje na zabezpečenie účinného vykonávania kontrol dovozu;</w:t>
      </w:r>
    </w:p>
    <w:p>
      <w:pPr>
        <w:pStyle w:val="NormalHanging12a"/>
      </w:pPr>
      <w:r>
        <w:t>14.</w:t>
      </w:r>
      <w:r>
        <w:tab/>
        <w:t xml:space="preserve">nabáda vnútroštátne orgány, aby zabezpečili primerané vykonávanie nariadenia o NNN rybolove, a poskytli tak príklad osvedčeného postupu pre ostatné členské štáty, prispeli </w:t>
      </w:r>
      <w:r>
        <w:lastRenderedPageBreak/>
        <w:t xml:space="preserve">k zavedeniu primeraného systému </w:t>
      </w:r>
      <w:proofErr w:type="spellStart"/>
      <w:r>
        <w:t>vysledovateľnosti</w:t>
      </w:r>
      <w:proofErr w:type="spellEnd"/>
      <w:r>
        <w:t xml:space="preserve"> a zabezpečili zodpovedné rybolovné postupy, čím sa zlepší bezpečnosť na mori a pracovné podmienky na rybárskych plavidlách, a zlepšili presné nahlasovanie úlovkov;</w:t>
      </w:r>
    </w:p>
    <w:p>
      <w:pPr>
        <w:pStyle w:val="NormalHanging12a"/>
      </w:pPr>
      <w:r>
        <w:t>15.</w:t>
      </w:r>
      <w:r>
        <w:tab/>
        <w:t>zdôrazňuje, že Komisia musí poskytovať primeranú podporu vnútroštátnym orgánom zodpovedným za kontrolu dovozu produktov rybolovu, a poznamenáva, že táto podpora môže v príslušnom prípade zahŕňať vypracovanie zoznamu riadiacich a ochranných opatrení uplatňovaných v krajinách mimo EÚ a poskytovanie podrobných informácií o nedostatkoch zistených v súvislosti s vykonávaním nariadenia EÚ o NNN rybolove vo vzťahu ku krajinám mimo EÚ;</w:t>
      </w:r>
    </w:p>
    <w:p>
      <w:pPr>
        <w:pStyle w:val="NormalHanging12a"/>
      </w:pPr>
      <w:r>
        <w:t>16.</w:t>
      </w:r>
      <w:r>
        <w:tab/>
        <w:t>zdôrazňuje, že Komisia musí spolu s Európskou agentúrou pre kontrolu rybárstva a v úzkej koordinácii s členskými štátmi poskytovať vnútroštátnym orgánom ďalšiu podporu, pokiaľ ide o to, ako čo najlepšie vykonávať nariadenie o NNN rybolove, pričom táto podpora môže mať podobu usmernení, výmeny osvedčených postupov, odbornej prípravy a podobne, čo tiež vnútroštátnym odvetviam rybárstva umožní znovu nadobudnúť konkurencieschopnosť;</w:t>
      </w:r>
    </w:p>
    <w:p>
      <w:pPr>
        <w:pStyle w:val="NormalHanging12a"/>
      </w:pPr>
      <w:r>
        <w:t>17.</w:t>
      </w:r>
      <w:r>
        <w:tab/>
        <w:t>vyzýva členské štáty, aby fond ENRAF využívali s cieľom zabezpečiť, aby poskytoval potrebnú cielenú podporu maloobjemovým a tradičným rybárom, ktorí často čelia osobitným výzvam pri dodržiavaní nariadenia o NNN rybolove; zdôrazňuje, že títo rybári zohrávajú kľúčovú úlohu, pokiaľ ide o miestnu potravinovú bezpečnosť, a mali by dostať pomoc, ktorú potrebujú;</w:t>
      </w:r>
    </w:p>
    <w:p>
      <w:pPr>
        <w:pStyle w:val="NormalHanging12a"/>
      </w:pPr>
      <w:r>
        <w:t>18.</w:t>
      </w:r>
      <w:r>
        <w:tab/>
        <w:t>naliehavo vyzýva Komisiu, aby preskúmala možnosti podpory zasiahnutých komunít v členských štátoch; uznáva, že prechod na udržateľné rybolovné postupy môže viesť k narušeniu hospodárstva a strate pracovných miest, a preto vyzýva na prijatie opatrení na ochranu živobytia osôb závislých od odvetvia rybolovu, ako je odborná príprava a finančná podpora prechodu;</w:t>
      </w:r>
    </w:p>
    <w:p>
      <w:pPr>
        <w:pStyle w:val="NormalHanging12a"/>
      </w:pPr>
      <w:r>
        <w:t>19.</w:t>
      </w:r>
      <w:r>
        <w:tab/>
        <w:t>zdôrazňuje, že je povinnosťou Komisie, aby zabezpečila konzistentné uplatňovanie a vykonávanie postupov kontroly dovozu v celej EÚ vrátane kontrol osvedčení o úlovku, prístupu založeného na riziku, overovaní a začatia postupov v prípade nesplnenia povinnosti;</w:t>
      </w:r>
    </w:p>
    <w:p>
      <w:pPr>
        <w:pStyle w:val="NormalHanging12a"/>
      </w:pPr>
      <w:r>
        <w:t>20.</w:t>
      </w:r>
      <w:r>
        <w:tab/>
        <w:t>v súlade s nedávnou dohodou o revízii nariadenia o kontrole rybárstva nabáda na zavedenie opatrení diaľkového elektronického monitorovania vo vodách krajín mimo EÚ s cieľom bojovať proti NNN rybolovu;</w:t>
      </w:r>
    </w:p>
    <w:p>
      <w:pPr>
        <w:pStyle w:val="NormalHanging12a"/>
      </w:pPr>
      <w:r>
        <w:t>21.</w:t>
      </w:r>
      <w:r>
        <w:tab/>
        <w:t xml:space="preserve">očakáva, že Komisia bude podporovať inovácie a výskum s cieľom vyvinúť nástroje monitorovania, sledovania a </w:t>
      </w:r>
      <w:proofErr w:type="spellStart"/>
      <w:r>
        <w:t>geolokalizácie</w:t>
      </w:r>
      <w:proofErr w:type="spellEnd"/>
      <w:r>
        <w:t xml:space="preserve"> plavidiel na šírom mori podporou vykonávania medzinárodných iniciatív zameraných na koordináciu dátových systémov a poskytovanie úplných, presných údajov a transparentných informácií o polohe, pôvode a činnosti rybárskych plavidiel;</w:t>
      </w:r>
    </w:p>
    <w:p>
      <w:pPr>
        <w:pStyle w:val="NormalHanging12a"/>
      </w:pPr>
      <w:r>
        <w:t>22.</w:t>
      </w:r>
      <w:r>
        <w:tab/>
        <w:t xml:space="preserve">pripomína Komisii, že treba harmonizovať kontroly dovozu vo všetkých členských štátoch, aby sa zabránilo vstupu produktov NNN rybolovu na trh EÚ, a dôrazne jej odporúča, aby v tejto súvislosti podnikla ďalšie kroky; zdôrazňuje, že Európska únia musí zlepšiť kontrolu a presadzovanie práva s cieľom bojovať proti nútenej práci v odvetví rybolovu aj spracovania dovážaných produktov; </w:t>
      </w:r>
    </w:p>
    <w:p>
      <w:pPr>
        <w:pStyle w:val="NormalHanging12a"/>
      </w:pPr>
      <w:r>
        <w:lastRenderedPageBreak/>
        <w:t>23.</w:t>
      </w:r>
      <w:r>
        <w:tab/>
        <w:t xml:space="preserve">uznáva, že Dohoda IMO z </w:t>
      </w:r>
      <w:proofErr w:type="spellStart"/>
      <w:r>
        <w:t>Kapského</w:t>
      </w:r>
      <w:proofErr w:type="spellEnd"/>
      <w:r>
        <w:t xml:space="preserve"> Mesta z roku 2012, Dohoda FAO o opatreniach prístavných štátov z roku 2009, protokol MOP k Dohovoru o nútenej alebo povinnej práci z roku 1930 (č. 29) a Dohovor MOP o práci v odvetví rybolovu (č. 188) sú dôležitými nástrojmi na zabezpečenie dôstojných pracovných podmienok a pomoc pri predchádzaní neprijateľným formám práce pre všetkých rybárov, najmä nútenej práci, obchodovaniu s ľuďmi a iným porušeniam, a na boj proti NNN rybolovu; vyzýva členské štáty, aby podpísali a ratifikovali tieto dohovory alebo k nim pristúpili;</w:t>
      </w:r>
    </w:p>
    <w:p>
      <w:pPr>
        <w:pStyle w:val="NormalHanging12a"/>
      </w:pPr>
      <w:r>
        <w:t>24.</w:t>
      </w:r>
      <w:r>
        <w:tab/>
        <w:t>vyzýva Komisiu, aby zvyšovala informovanosť o ochrane ľudských práv v odvetví rybolovu; zdôrazňuje, že v odvetví rybárstva v konkrétnych geografických oblastiach existuje vyššie riziko nútenej práce nariadenej štátnymi orgánmi; trvá na tom, že ak sa zistí, že došlo k nútenej práci, vstup produktov vyrobených nútenou prácou na trh EÚ by sa mal zakázať;</w:t>
      </w:r>
    </w:p>
    <w:p>
      <w:pPr>
        <w:pStyle w:val="NormalHanging12a"/>
      </w:pPr>
      <w:r>
        <w:t>25.</w:t>
      </w:r>
      <w:r>
        <w:tab/>
        <w:t>žiada Komisiu, aby prijala opatrenia na zastavenie používania lacných vlajok; požaduje jednoduchý prístup k informáciám o skutočnom vlastníctve rybárskych plavidiel plávajúcich pod všetkými vlajkami; vyzýva Komisiu, aby zlepšila svoj systém identifikácie plavidiel zapojených do NNN rybolovu, ako sa stanovuje vo vykonávacom nariadení (EÚ) 2022/1184, aby bolo možné identifikovať krajinu pôvodu plavidla, aj keď je jeho vlajkový štát neistý, a aby sa zahrnuli aj plavidlá, na ktorých sa zistilo porušovanie ľudských práv;</w:t>
      </w:r>
    </w:p>
    <w:p>
      <w:pPr>
        <w:pStyle w:val="NormalHanging12a"/>
      </w:pPr>
      <w:r>
        <w:t>26.</w:t>
      </w:r>
      <w:r>
        <w:tab/>
        <w:t xml:space="preserve">víta, že revidované nariadenie o kontrole rybárstva konkrétnymi ustanoveniami zakazuje prevádzkovateľom z Únie vrátane konečných užívateľov výhod vlastniť, prevádzkovať alebo spravovať plavidlá registrované pod vlajkou krajín, ktorým bola vydaná červená karta za </w:t>
      </w:r>
      <w:proofErr w:type="spellStart"/>
      <w:r>
        <w:t>nespoluprácu</w:t>
      </w:r>
      <w:proofErr w:type="spellEnd"/>
      <w:r>
        <w:t xml:space="preserve"> v boji proti NNN rybolovu;</w:t>
      </w:r>
    </w:p>
    <w:p>
      <w:pPr>
        <w:pStyle w:val="NormalHanging12a"/>
      </w:pPr>
      <w:r>
        <w:t>27.</w:t>
      </w:r>
      <w:r>
        <w:tab/>
        <w:t>naliehavo vyzýva členské štáty, aby vytvorili a udržiavali komplexné databázy, v ktorých sa zhromažďujú a zaznamenávajú informácie o konečných užívateľoch výhod registrovaných plavidiel;</w:t>
      </w:r>
    </w:p>
    <w:p>
      <w:pPr>
        <w:pStyle w:val="NormalHanging12a"/>
      </w:pPr>
      <w:r>
        <w:t>28.</w:t>
      </w:r>
      <w:r>
        <w:tab/>
        <w:t>nabáda členské štáty, aby spolupracovali s príslušnými orgánmi s cieľom zabezpečiť presnosť zhromaždených údajov o skutočnom vlastníctve plavidiel s cieľom uľahčiť tvorbu politiky a presadzovanie revidovaného nariadenia o kontrole rybárstva;</w:t>
      </w:r>
    </w:p>
    <w:p>
      <w:pPr>
        <w:pStyle w:val="NormalHanging12a"/>
      </w:pPr>
      <w:r>
        <w:t>29.</w:t>
      </w:r>
      <w:r>
        <w:tab/>
        <w:t>nabáda Komisiu, aby urýchlene pracovala na zabezpečení plnej prevádzkyschopnosti informačného systému CATCH a na tom, aby vnútroštátne orgány členských štátov boli plne oboznámené s jeho používaním do dvoch rokov od dátumu začatia uplatňovania článku 4 revidovaného nariadenia o kontrole rybárstva;</w:t>
      </w:r>
    </w:p>
    <w:p>
      <w:pPr>
        <w:pStyle w:val="NormalHanging12a"/>
      </w:pPr>
      <w:r>
        <w:t>30.</w:t>
      </w:r>
      <w:r>
        <w:tab/>
        <w:t>žiada Komisiu, aby zaistila dostatočné ľudské zdroje s cieľom zabezpečiť rýchlejšie a účinnejšie uvádzanie uvedeného informačného systému do prevádzky v členských štátoch;</w:t>
      </w:r>
    </w:p>
    <w:p>
      <w:pPr>
        <w:pStyle w:val="NormalHanging12a"/>
      </w:pPr>
      <w:r>
        <w:t>31.</w:t>
      </w:r>
      <w:r>
        <w:tab/>
        <w:t>rozhodne víta zavedenie nového informačného systému CATCH na základe revidovaného nariadenia o kontrole rybárstva;</w:t>
      </w:r>
    </w:p>
    <w:p>
      <w:pPr>
        <w:pStyle w:val="NormalHanging12a"/>
      </w:pPr>
      <w:r>
        <w:t>32.</w:t>
      </w:r>
      <w:r>
        <w:tab/>
        <w:t xml:space="preserve">nabáda na rýchle začlenenie komplexnejších kritérií rizika a krížových kontrol údajov do ďalších iterácií informačného systému CATCH, ako odporúča Poradná rada pre diaľkové flotily; domnieva sa, že v záujme zabezpečenia čo najlepšieho výsledku musí Komisia zaručiť, aby sa v systéme CATCH posudzovalo riziko aspoň tak dôkladne ako </w:t>
      </w:r>
      <w:r>
        <w:lastRenderedPageBreak/>
        <w:t xml:space="preserve">v členských štátoch, ktoré už majú zavedený elektronický systém na kontrolu osvedčení o úlovku; domnieva sa, že v medziobdobí musí Komisia zabezpečiť </w:t>
      </w:r>
      <w:proofErr w:type="spellStart"/>
      <w:r>
        <w:t>interoperabilitu</w:t>
      </w:r>
      <w:proofErr w:type="spellEnd"/>
      <w:r>
        <w:t xml:space="preserve"> medzi systémom CATCH a vnútroštátnymi informačnými systémami bez zvýšenia záťaže hospodárskych subjektov;</w:t>
      </w:r>
    </w:p>
    <w:p>
      <w:pPr>
        <w:pStyle w:val="NormalHanging12a"/>
      </w:pPr>
      <w:r>
        <w:t>33.</w:t>
      </w:r>
      <w:r>
        <w:tab/>
        <w:t>naliehavo vyzýva Komisiu, aby na svojom Generálnom riaditeľstve pre námorné záležitosti a rybárstvo zvýšila počet zamestnancov pracujúcich v oblasti správy oceánov a NNN rybolovu;</w:t>
      </w:r>
    </w:p>
    <w:p>
      <w:pPr>
        <w:pStyle w:val="NormalHanging12a"/>
      </w:pPr>
      <w:r>
        <w:t>34.</w:t>
      </w:r>
      <w:r>
        <w:tab/>
        <w:t>nabáda členské štáty, aby zabezpečili zavedenie potrebných postupov v rámci prípravy na formálne prijatie informačného systému CATCH a aby zaistili, že tento systém bude čo najskôr pripravený na používanie;</w:t>
      </w:r>
    </w:p>
    <w:p>
      <w:pPr>
        <w:pStyle w:val="NormalHanging12a"/>
      </w:pPr>
      <w:r>
        <w:t>35.</w:t>
      </w:r>
      <w:r>
        <w:tab/>
        <w:t xml:space="preserve">naliehavo vyzýva členské štáty, aby posilnili kontrolné systémy na zabránenie dovozu nezákonných produktov rybolovu, a aby prijali potrebné opatrenia; víta úplnú </w:t>
      </w:r>
      <w:proofErr w:type="spellStart"/>
      <w:r>
        <w:t>vysledovateľnosť</w:t>
      </w:r>
      <w:proofErr w:type="spellEnd"/>
      <w:r>
        <w:t xml:space="preserve"> čerstvých, mrazených a spracovaných produktov rybolovu, ako sa dohodlo v novom nariadení o kontrole rybárstva, čo by mohlo prispieť k zvýšeniu bezpečnosti potravín v EÚ a pomôcť presadiť, aby tretie krajiny zvýšili </w:t>
      </w:r>
      <w:proofErr w:type="spellStart"/>
      <w:r>
        <w:t>vysledovateľnosť</w:t>
      </w:r>
      <w:proofErr w:type="spellEnd"/>
      <w:r>
        <w:t xml:space="preserve"> s cieľom umožniť svojim produktom rybolovu vstup na trh Únie;</w:t>
      </w:r>
    </w:p>
    <w:p>
      <w:pPr>
        <w:pStyle w:val="NormalHanging12a"/>
      </w:pPr>
      <w:r>
        <w:t>36.</w:t>
      </w:r>
      <w:r>
        <w:tab/>
        <w:t xml:space="preserve">zdôrazňuje význam lepšej </w:t>
      </w:r>
      <w:proofErr w:type="spellStart"/>
      <w:r>
        <w:t>vysledovateľnosti</w:t>
      </w:r>
      <w:proofErr w:type="spellEnd"/>
      <w:r>
        <w:t xml:space="preserve"> všetkých potravinových produktov rybolovu a </w:t>
      </w:r>
      <w:proofErr w:type="spellStart"/>
      <w:r>
        <w:t>akvakultúry</w:t>
      </w:r>
      <w:proofErr w:type="spellEnd"/>
      <w:r>
        <w:t xml:space="preserve"> v záujme toho, aby spotrebitelia mohli prijímať informované rozhodnutia pri nákupe týchto produktov; domnieva sa, že by sa malo zvážiť konkrétnejšie a transparentnejšie označovanie produktov EÚ, ako aj produktov krajín mimo EÚ, v rámci ktorého by sa jasne uvádzal životný cyklus produktu od výroby po konzumáciu; nabáda členské štáty, aby v prípade produktov z morských plodov začali vhodné propagačné kampane s cieľom zvýšiť informovanosť spotrebiteľov o tom, čo kupujú, a o opatreniach </w:t>
      </w:r>
      <w:proofErr w:type="spellStart"/>
      <w:r>
        <w:t>vysledovateľnosti</w:t>
      </w:r>
      <w:proofErr w:type="spellEnd"/>
      <w:r>
        <w:t>;</w:t>
      </w:r>
    </w:p>
    <w:p>
      <w:pPr>
        <w:pStyle w:val="NormalHanging12a"/>
      </w:pPr>
      <w:r>
        <w:t>37.</w:t>
      </w:r>
      <w:r>
        <w:tab/>
        <w:t>naliehavo vyzýva členské štáty, aby urýchlene vykonali nové nariadenie o kontrole rybárstva, a splnili si tak svoju zákonnú povinnosť zaviesť účinné, primerané a odrádzajúce sankcie proti NNN rybolovu, čím znížia motiváciu vykonávať NNN rybolov a odradia od akéhokoľvek budúceho porušovania;</w:t>
      </w:r>
    </w:p>
    <w:p>
      <w:pPr>
        <w:pStyle w:val="NormalHanging12a"/>
      </w:pPr>
      <w:r>
        <w:t>38.</w:t>
      </w:r>
      <w:r>
        <w:tab/>
        <w:t>zdôrazňuje, že mnohostranná spolupráca a globálna súdržná politika, pokiaľ ide o NNN rybolov, obchod a správu oceánov, majú zásadný význam pre účinný boj proti NNN rybolovu; v tejto súvislosti vyzýva Komisiu, aby prostredníctvom svojich dohôd o partnerstve v odvetví udržateľného rybárstva, politiky v oblasti NNN rybolovu, v rámci RFMO a WTO naďalej povzbudzovala svojich partnerov a zintenzívnila spoluprácu s USA, Spojeným kráľovstvom, Japonskom a inými kľúčovými aktérmi v odvetví rybárstva a námornej politiky prostredníctvom diplomatických a obchodných nástrojov a aby nabádala iné krajiny mimo EÚ, aby prijali spoľahlivé právne predpisy a opatrenia na boj proti NNN rybolovu;</w:t>
      </w:r>
    </w:p>
    <w:p>
      <w:pPr>
        <w:pStyle w:val="NormalHanging12a"/>
      </w:pPr>
      <w:r>
        <w:t>39.</w:t>
      </w:r>
      <w:r>
        <w:tab/>
        <w:t>uznáva, že účinné presadzovanie nariadení o NNN rybolove si vyžaduje spoluprácu medzi členskými štátmi a koordinovaný prístup na úrovni EÚ; nabáda Komisiu, aby spolu s Európskou agentúrou pre kontrolu rybárstva zvýšila koordinačné úsilie s cieľom bojovať proti NNN rybolovu, vymieňala si najlepšie postupy a harmonizovala činnosti v oblasti presadzovania práva vo všetkých členských štátoch;</w:t>
      </w:r>
    </w:p>
    <w:p>
      <w:pPr>
        <w:pStyle w:val="NormalHanging12a"/>
      </w:pPr>
      <w:r>
        <w:lastRenderedPageBreak/>
        <w:t>40.</w:t>
      </w:r>
      <w:r>
        <w:tab/>
        <w:t xml:space="preserve">uznáva význam podpory spolupráce s občianskou spoločnosťou a zainteresovanými stranami z komunít v boji proti NNN rybolovu; zdôrazňuje význam zapojenia zainteresovaných strán v záujme čo najlepšieho vykonávania nariadenia o NNN rybolove; vyzýva Komisiu, aby spolupracovala s týmito zainteresovanými stranami s cieľom presadzovať udržateľné rybolovné postupy a zabezpečiť, aby boli v rozhodovacom procese vypočuté dotknuté komunity; </w:t>
      </w:r>
    </w:p>
    <w:p>
      <w:pPr>
        <w:pStyle w:val="NormalHanging12a"/>
      </w:pPr>
      <w:r>
        <w:t>41.</w:t>
      </w:r>
      <w:r>
        <w:tab/>
        <w:t>vyzýva na vytvorenie komplexného programu na ochranu oznamovateľov v EÚ s cieľom povzbudiť jednotlivcov, ktorí majú vedomosť o NNN rybolove, aby sa prihlásili a poskytli kľúčové informácie; zdôrazňuje, že takýto program by mal zahŕňať právne záruky, anonymitu a stimuly pre oznamovateľov, aby oznamovali porušenia bez strachu z odvetných opatrení;</w:t>
      </w:r>
    </w:p>
    <w:p>
      <w:pPr>
        <w:pStyle w:val="NormalHanging12a"/>
      </w:pPr>
      <w:r>
        <w:t>42.</w:t>
      </w:r>
      <w:r>
        <w:tab/>
        <w:t>vyzýva členské štáty, aby presadzovali spravodlivé obchodné postupy v odvetví rybárstva s cieľom dosiahnuť skutočne rovnaké podmienky pre produkty rybolovu EÚ a produkty rybolovu tretích krajín; zastáva názor, že členské štáty by mali zvážiť vykonávanie obchodných opatrení, v rámci ktorých sa zohľadňujú environmentálne a pracovné normy dovážaných výrobkov;</w:t>
      </w:r>
    </w:p>
    <w:p>
      <w:pPr>
        <w:pStyle w:val="NormalHanging12a"/>
      </w:pPr>
      <w:r>
        <w:t>43.</w:t>
      </w:r>
      <w:r>
        <w:tab/>
        <w:t>vyzýva Komisiu a členské štáty, aby sa zdržali udeľovania preferenčného prístupu na trh krajinám spojeným s praktikami NNN rybolovu a závažným porušovaním pracovnoprávnych predpisov vrátane využívania nútenej práce; domnieva sa, že EÚ by sa mala usilovať zaviesť skutočne rovnaké podmienky, pokiaľ ide o morské plody vyprodukované v EÚ a v tretích krajinách; domnieva sa, že pokiaľ ide o nástroj autonómnych colných kvót, ktorý je nevyhnutný na zabezpečenie konkurencieschopnosti spracovateľského odvetvia Únie a s cieľom predísť ohrozeniu výroby produktov rybolovu v Únii tým, že sa zaručí primerané zásobovanie odvetvia produktmi rybolovu, ten by sa mal používať výlučne v prípadoch nedostatočných dodávok morských plodov na trhy EÚ a nemal by sa používať na dovoz produktov pochádzajúcich z NNN rybolovu alebo na vyvíjanie tlaku na ceny tovaru vyrobeného v EÚ;</w:t>
      </w:r>
    </w:p>
    <w:p>
      <w:pPr>
        <w:pStyle w:val="NormalHanging12a"/>
      </w:pPr>
      <w:r>
        <w:t>44.</w:t>
      </w:r>
      <w:r>
        <w:tab/>
        <w:t>naliehavo vyzýva Komisiu, aby zabezpečila dôsledné a prísne uplatňovanie červených a žltých kariet bez ohľadu na veľkosť krajiny alebo jej hospodársky a obchodný vplyv; v tejto súvislosti, ako sa požaduje v uznesení Európskeho parlamentu s názvom Dôsledky čínskych rybolovných činností na rybárstvo EÚ a ďalší postup (A9-0282/2023), vyzýva Komisiu, aby posúdila všetky iniciatívy Číny zamerané na boj proti NNN rybolovu a na základe týchto posúdení prijala vhodné opatrenia podľa nariadenia o NNN rybolove;</w:t>
      </w:r>
    </w:p>
    <w:p>
      <w:pPr>
        <w:pStyle w:val="NormalHanging12a"/>
      </w:pPr>
      <w:r>
        <w:t>45.</w:t>
      </w:r>
      <w:r>
        <w:tab/>
        <w:t xml:space="preserve">zdôrazňuje, že dostupné databázy týkajúce sa NNN rybolovu sú neprehľadné, t. j. chýbajú v nich informácie o názve, pôvode alebo vlastníctve plavidiel, čo spôsobuje stratu príjmov, najmä v chudobných krajinách; zdôrazňuje, že medzinárodné orgány zapojené do boja proti NNN rybolovu by mali koordinovať svoje činnosti v oblasti kontroly NNN rybolovu so spoločnými elektronickými databázami, jasnými stratégiami a štruktúrovanými plánmi, ktoré vedú k najnižšej možnej úrovni praktík NNN rybolovu na medzinárodnej úrovni; </w:t>
      </w:r>
    </w:p>
    <w:p>
      <w:pPr>
        <w:pStyle w:val="NormalHanging12a"/>
      </w:pPr>
      <w:r>
        <w:t>46.</w:t>
      </w:r>
      <w:r>
        <w:tab/>
        <w:t>nabáda členské štáty, aby zlepšili pravidelnú a správne načasovanú výmenu informácií, a to aj o zamietnutých zásielkach, čo by orgánom pomohlo lepšie uplatňovať a presadzovať právne predpisy; zdôrazňuje, že v tejto súvislosti môže pomôcť Dohoda Organizácie OSN pre výživu a poľnohospodárstvo o opatreniach prístavných štátov;</w:t>
      </w:r>
    </w:p>
    <w:p>
      <w:pPr>
        <w:pStyle w:val="NormalHanging12a"/>
      </w:pPr>
      <w:r>
        <w:lastRenderedPageBreak/>
        <w:t>47.</w:t>
      </w:r>
      <w:r>
        <w:tab/>
        <w:t>konštatuje, že RFMO sa osvedčili ako užitočné v boji proti nezákonnému rybolovu; vyzýva Komisiu, aby aktívne podporovala zriadenie relevantnejších RFMO; nabáda členské štáty, aby podporovali iniciatívy FAO a príslušných RFMO zamerané na boj proti NNN rybolovným činnostiam a aby si vymieňali informácie týkajúce sa rybárskych plavidiel podozrivých z takýchto činností;</w:t>
      </w:r>
    </w:p>
    <w:p>
      <w:pPr>
        <w:pStyle w:val="NormalHanging12a"/>
      </w:pPr>
      <w:r>
        <w:t>48.</w:t>
      </w:r>
      <w:r>
        <w:tab/>
        <w:t xml:space="preserve">zdôrazňuje, že multilaterálne systémy dokumentácie úlovkov, ktoré navrhli a odsúhlasili zmluvné strany regionálnych organizácií pre riadenie rybárstva a spolupracujúce nezmluvné strany a ktoré vyžadujú, aby sa kritické informácie o zásielke zaznamenávali a oznamovali v celom dodávateľskom reťazci, sa osvedčili ako účinné nástroje na zlepšenie </w:t>
      </w:r>
      <w:proofErr w:type="spellStart"/>
      <w:r>
        <w:t>vysledovateľnosti</w:t>
      </w:r>
      <w:proofErr w:type="spellEnd"/>
      <w:r>
        <w:t xml:space="preserve"> a sú prínosné v boji proti NNN rybolovu;</w:t>
      </w:r>
    </w:p>
    <w:p>
      <w:pPr>
        <w:pStyle w:val="NormalHanging12a"/>
      </w:pPr>
      <w:r>
        <w:t>49.</w:t>
      </w:r>
      <w:r>
        <w:tab/>
        <w:t xml:space="preserve">pripomína ciele chrániť do roku 2030 aspoň 30 % oceánov; vyzýva Komisiu a členské štáty, aby zabezpečili, že účinné opatrenia budú zavedené pred rokom 2030 a že nariadenie o NNN rybolove sa bude v plnej miere vykonávať; </w:t>
      </w:r>
    </w:p>
    <w:p>
      <w:pPr>
        <w:pStyle w:val="NormalHanging12a"/>
      </w:pPr>
      <w:r>
        <w:t>50.</w:t>
      </w:r>
      <w:r>
        <w:tab/>
        <w:t>poveruje svoju predsedníčku, aby postúpila toto uznesenie Rade a Komisii.</w:t>
      </w:r>
    </w:p>
    <w:p/>
    <w:p>
      <w:bookmarkStart w:id="9" w:name="TextBodyEnd"/>
      <w:bookmarkEnd w:id="9"/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286, 29.10.2008, s. 1.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L 343, 22.12.2009, s. 1.</w:t>
      </w:r>
    </w:p>
  </w:footnote>
  <w:footnote w:id="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 410 I, 7.12.2020, s. 1.</w:t>
      </w:r>
    </w:p>
  </w:footnote>
  <w:footnote w:id="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P9_TA(2023)0366.</w:t>
      </w:r>
    </w:p>
  </w:footnote>
  <w:footnote w:id="5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proofErr w:type="spellStart"/>
      <w:r>
        <w:rPr>
          <w:sz w:val="24"/>
          <w:lang w:val="sk-SK"/>
        </w:rPr>
        <w:t>Briefing</w:t>
      </w:r>
      <w:proofErr w:type="spellEnd"/>
      <w:r>
        <w:rPr>
          <w:sz w:val="24"/>
          <w:lang w:val="sk-SK"/>
        </w:rPr>
        <w:t xml:space="preserve"> – </w:t>
      </w:r>
      <w:proofErr w:type="spellStart"/>
      <w:r>
        <w:rPr>
          <w:iCs/>
          <w:sz w:val="24"/>
          <w:lang w:val="sk-SK"/>
        </w:rPr>
        <w:t>Illegal</w:t>
      </w:r>
      <w:proofErr w:type="spellEnd"/>
      <w:r>
        <w:rPr>
          <w:iCs/>
          <w:sz w:val="24"/>
          <w:lang w:val="sk-SK"/>
        </w:rPr>
        <w:t xml:space="preserve">, </w:t>
      </w:r>
      <w:proofErr w:type="spellStart"/>
      <w:r>
        <w:rPr>
          <w:iCs/>
          <w:sz w:val="24"/>
          <w:lang w:val="sk-SK"/>
        </w:rPr>
        <w:t>unreported</w:t>
      </w:r>
      <w:proofErr w:type="spellEnd"/>
      <w:r>
        <w:rPr>
          <w:iCs/>
          <w:sz w:val="24"/>
          <w:lang w:val="sk-SK"/>
        </w:rPr>
        <w:t xml:space="preserve"> and </w:t>
      </w:r>
      <w:proofErr w:type="spellStart"/>
      <w:r>
        <w:rPr>
          <w:iCs/>
          <w:sz w:val="24"/>
          <w:lang w:val="sk-SK"/>
        </w:rPr>
        <w:t>unregulated</w:t>
      </w:r>
      <w:proofErr w:type="spellEnd"/>
      <w:r>
        <w:rPr>
          <w:iCs/>
          <w:sz w:val="24"/>
          <w:lang w:val="sk-SK"/>
        </w:rPr>
        <w:t xml:space="preserve"> (IUU) </w:t>
      </w:r>
      <w:proofErr w:type="spellStart"/>
      <w:r>
        <w:rPr>
          <w:iCs/>
          <w:sz w:val="24"/>
          <w:lang w:val="sk-SK"/>
        </w:rPr>
        <w:t>fishing</w:t>
      </w:r>
      <w:proofErr w:type="spellEnd"/>
      <w:r>
        <w:rPr>
          <w:sz w:val="24"/>
          <w:lang w:val="sk-SK"/>
        </w:rPr>
        <w:t xml:space="preserve">, Európsky parlament, generálne riaditeľstvo pre parlamentné výskumné služby, 14. októbra 2022, </w:t>
      </w:r>
      <w:r>
        <w:fldChar w:fldCharType="begin"/>
      </w:r>
      <w:r>
        <w:rPr>
          <w:lang w:val="sk-SK"/>
        </w:rPr>
        <w:instrText xml:space="preserve"> HYPERLINK "https://www.europarl.europa.eu/RegData/etudes/BRIE/2017/614598/EPRS_BRI(2017)614598_EN.pdf" </w:instrText>
      </w:r>
      <w:r>
        <w:fldChar w:fldCharType="separate"/>
      </w:r>
      <w:r>
        <w:rPr>
          <w:rStyle w:val="Hyperlink"/>
          <w:sz w:val="24"/>
          <w:lang w:val="sk-SK"/>
        </w:rPr>
        <w:t>https://www.eur</w:t>
      </w:r>
      <w:bookmarkStart w:id="8" w:name="_GoBack"/>
      <w:bookmarkEnd w:id="8"/>
      <w:r>
        <w:rPr>
          <w:rStyle w:val="Hyperlink"/>
          <w:sz w:val="24"/>
          <w:lang w:val="sk-SK"/>
        </w:rPr>
        <w:t>oparl.europa.eu/RegData/etudes/BRIE/2017/614598/EPRS_BRI(2017)614598_EN.pdf</w:t>
      </w:r>
      <w:r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 xml:space="preserve">; </w:t>
      </w:r>
      <w:proofErr w:type="spellStart"/>
      <w:r>
        <w:rPr>
          <w:sz w:val="24"/>
          <w:lang w:val="sk-SK"/>
        </w:rPr>
        <w:t>Temple</w:t>
      </w:r>
      <w:proofErr w:type="spellEnd"/>
      <w:r>
        <w:rPr>
          <w:sz w:val="24"/>
          <w:lang w:val="sk-SK"/>
        </w:rPr>
        <w:t xml:space="preserve">, </w:t>
      </w:r>
      <w:proofErr w:type="spellStart"/>
      <w:r>
        <w:rPr>
          <w:sz w:val="24"/>
          <w:lang w:val="sk-SK"/>
        </w:rPr>
        <w:t>Andrew</w:t>
      </w:r>
      <w:proofErr w:type="spellEnd"/>
      <w:r>
        <w:rPr>
          <w:sz w:val="24"/>
          <w:lang w:val="sk-SK"/>
        </w:rPr>
        <w:t xml:space="preserve"> J. et al., „</w:t>
      </w:r>
      <w:proofErr w:type="spellStart"/>
      <w:r>
        <w:rPr>
          <w:sz w:val="24"/>
          <w:lang w:val="sk-SK"/>
        </w:rPr>
        <w:t>Illegal</w:t>
      </w:r>
      <w:proofErr w:type="spellEnd"/>
      <w:r>
        <w:rPr>
          <w:sz w:val="24"/>
          <w:lang w:val="sk-SK"/>
        </w:rPr>
        <w:t xml:space="preserve">, </w:t>
      </w:r>
      <w:proofErr w:type="spellStart"/>
      <w:r>
        <w:rPr>
          <w:sz w:val="24"/>
          <w:lang w:val="sk-SK"/>
        </w:rPr>
        <w:t>unregulated</w:t>
      </w:r>
      <w:proofErr w:type="spellEnd"/>
      <w:r>
        <w:rPr>
          <w:sz w:val="24"/>
          <w:lang w:val="sk-SK"/>
        </w:rPr>
        <w:t xml:space="preserve"> and </w:t>
      </w:r>
      <w:proofErr w:type="spellStart"/>
      <w:r>
        <w:rPr>
          <w:sz w:val="24"/>
          <w:lang w:val="sk-SK"/>
        </w:rPr>
        <w:t>unreported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fishing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impacts</w:t>
      </w:r>
      <w:proofErr w:type="spellEnd"/>
      <w:r>
        <w:rPr>
          <w:sz w:val="24"/>
          <w:lang w:val="sk-SK"/>
        </w:rPr>
        <w:t xml:space="preserve">: A </w:t>
      </w:r>
      <w:proofErr w:type="spellStart"/>
      <w:r>
        <w:rPr>
          <w:sz w:val="24"/>
          <w:lang w:val="sk-SK"/>
        </w:rPr>
        <w:t>systematic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review</w:t>
      </w:r>
      <w:proofErr w:type="spellEnd"/>
      <w:r>
        <w:rPr>
          <w:sz w:val="24"/>
          <w:lang w:val="sk-SK"/>
        </w:rPr>
        <w:t xml:space="preserve"> of </w:t>
      </w:r>
      <w:proofErr w:type="spellStart"/>
      <w:r>
        <w:rPr>
          <w:sz w:val="24"/>
          <w:lang w:val="sk-SK"/>
        </w:rPr>
        <w:t>evidence</w:t>
      </w:r>
      <w:proofErr w:type="spellEnd"/>
      <w:r>
        <w:rPr>
          <w:sz w:val="24"/>
          <w:lang w:val="sk-SK"/>
        </w:rPr>
        <w:t xml:space="preserve"> and </w:t>
      </w:r>
      <w:proofErr w:type="spellStart"/>
      <w:r>
        <w:rPr>
          <w:sz w:val="24"/>
          <w:lang w:val="sk-SK"/>
        </w:rPr>
        <w:t>proposed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future</w:t>
      </w:r>
      <w:proofErr w:type="spellEnd"/>
      <w:r>
        <w:rPr>
          <w:sz w:val="24"/>
          <w:lang w:val="sk-SK"/>
        </w:rPr>
        <w:t xml:space="preserve"> agenda“, </w:t>
      </w:r>
      <w:r>
        <w:rPr>
          <w:i/>
          <w:sz w:val="24"/>
          <w:lang w:val="sk-SK"/>
        </w:rPr>
        <w:t xml:space="preserve">Marine </w:t>
      </w:r>
      <w:proofErr w:type="spellStart"/>
      <w:r>
        <w:rPr>
          <w:i/>
          <w:sz w:val="24"/>
          <w:lang w:val="sk-SK"/>
        </w:rPr>
        <w:t>Policy</w:t>
      </w:r>
      <w:proofErr w:type="spellEnd"/>
      <w:r>
        <w:rPr>
          <w:sz w:val="24"/>
          <w:lang w:val="sk-SK"/>
        </w:rPr>
        <w:t xml:space="preserve">, zväzok 139, 2022, </w:t>
      </w:r>
      <w:hyperlink r:id="rId1" w:history="1">
        <w:r>
          <w:rPr>
            <w:rStyle w:val="Hyperlink"/>
            <w:sz w:val="24"/>
            <w:lang w:val="sk-SK"/>
          </w:rPr>
          <w:t>https://www.sciencedirect.com/science/article/pii/S0308597X2200080X</w:t>
        </w:r>
      </w:hyperlink>
      <w:r>
        <w:rPr>
          <w:sz w:val="24"/>
          <w:lang w:val="sk-SK"/>
        </w:rPr>
        <w:t>; Osobitná správa Európskeho dvora audítorov č. 20/2022.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3/2023"/>
    <w:docVar w:name="dvlangue" w:val="SK"/>
    <w:docVar w:name="dvnumam" w:val="0"/>
    <w:docVar w:name="dvpe" w:val="753.497"/>
    <w:docVar w:name="dvrapporteur" w:val="Spravodajca: "/>
    <w:docVar w:name="dvtitre" w:val="Uznesenie Európskeho parlamentu z 18. januára 2024 o vplyve nezákonného rybolovu na potravinovú bezpečnosť: úloha Európskej únie(2023/2027(INI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BF7DE-F0D0-40CE-9A13-3938D6A15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Italic">
    <w:name w:val="Italic"/>
    <w:uiPriority w:val="1"/>
    <w:rPr>
      <w:i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ciencedirect.com/science/article/pii/S0308597X2200080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DA72F-8B70-4543-958F-E7D832B78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4138</Words>
  <Characters>25099</Characters>
  <Application>Microsoft Office Word</Application>
  <DocSecurity>0</DocSecurity>
  <Lines>209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2024-01-18T13:27:00Z</dcterms:created>
  <dcterms:modified xsi:type="dcterms:W3CDTF">2024-01-18T13:27:00Z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A9-0433/2023</vt:lpwstr>
  </property>
  <property fmtid="{D5CDD505-2E9C-101B-9397-08002B2CF9AE}" pid="4" name="&lt;Type&gt;">
    <vt:lpwstr>RR</vt:lpwstr>
  </property>
</Properties>
</file>