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7019" w:rsidTr="0010095E">
        <w:trPr>
          <w:trHeight w:hRule="exact" w:val="1418"/>
        </w:trPr>
        <w:tc>
          <w:tcPr>
            <w:tcW w:w="6804" w:type="dxa"/>
            <w:shd w:val="clear" w:color="auto" w:fill="auto"/>
            <w:vAlign w:val="center"/>
          </w:tcPr>
          <w:p w:rsidR="00751A4A" w:rsidRPr="008F7019" w:rsidRDefault="00B157F3" w:rsidP="0010095E">
            <w:pPr>
              <w:pStyle w:val="EPName"/>
            </w:pPr>
            <w:r w:rsidRPr="008F7019">
              <w:t>Европейски</w:t>
            </w:r>
            <w:r w:rsidR="009E0483" w:rsidRPr="008F7019">
              <w:t xml:space="preserve"> парламент</w:t>
            </w:r>
          </w:p>
          <w:p w:rsidR="00751A4A" w:rsidRPr="008F7019" w:rsidRDefault="00B157F3" w:rsidP="00756632">
            <w:pPr>
              <w:pStyle w:val="EPTerm"/>
              <w:rPr>
                <w:rStyle w:val="HideTWBExt"/>
                <w:noProof w:val="0"/>
                <w:vanish w:val="0"/>
                <w:color w:val="auto"/>
              </w:rPr>
            </w:pPr>
            <w:r>
              <w:t>2019 – </w:t>
            </w:r>
            <w:r w:rsidR="00817416" w:rsidRPr="008F7019">
              <w:t>2024</w:t>
            </w:r>
          </w:p>
        </w:tc>
        <w:tc>
          <w:tcPr>
            <w:tcW w:w="2268" w:type="dxa"/>
            <w:shd w:val="clear" w:color="auto" w:fill="auto"/>
          </w:tcPr>
          <w:p w:rsidR="00751A4A" w:rsidRPr="008F7019" w:rsidRDefault="00187494" w:rsidP="0010095E">
            <w:pPr>
              <w:pStyle w:val="EPLogo"/>
            </w:pPr>
            <w:r w:rsidRPr="008F701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7019" w:rsidRDefault="00D058B8" w:rsidP="004C5D52">
      <w:pPr>
        <w:pStyle w:val="LineTop"/>
      </w:pPr>
    </w:p>
    <w:p w:rsidR="00680577" w:rsidRPr="008F7019" w:rsidRDefault="009E0483" w:rsidP="00680577">
      <w:pPr>
        <w:pStyle w:val="EPBodyTA1"/>
      </w:pPr>
      <w:r w:rsidRPr="008F7019">
        <w:t>ПРИЕТИ ТЕКСТОВЕ</w:t>
      </w:r>
    </w:p>
    <w:p w:rsidR="00D058B8" w:rsidRPr="008F7019" w:rsidRDefault="00D058B8" w:rsidP="00D058B8">
      <w:pPr>
        <w:pStyle w:val="LineBottom"/>
      </w:pPr>
    </w:p>
    <w:p w:rsidR="009E0483" w:rsidRPr="008F7019" w:rsidRDefault="009E0483" w:rsidP="009E0483">
      <w:pPr>
        <w:pStyle w:val="ATHeading1"/>
      </w:pPr>
      <w:bookmarkStart w:id="0" w:name="TANumber"/>
      <w:r w:rsidRPr="008F7019">
        <w:t>P9_TA(2024)00</w:t>
      </w:r>
      <w:r w:rsidR="00C15CAF">
        <w:rPr>
          <w:lang w:val="en-GB"/>
        </w:rPr>
        <w:t>44</w:t>
      </w:r>
      <w:bookmarkEnd w:id="0"/>
    </w:p>
    <w:p w:rsidR="009E0483" w:rsidRPr="008F7019" w:rsidRDefault="009E0483" w:rsidP="009E0483">
      <w:pPr>
        <w:pStyle w:val="ATHeading2"/>
      </w:pPr>
      <w:bookmarkStart w:id="1" w:name="title"/>
      <w:r w:rsidRPr="008F7019">
        <w:t>Разширяване на списъка на престъпленията, установени на равнището на ЕС, за да обхване речта на омразата и престъпленията от омраза</w:t>
      </w:r>
      <w:bookmarkEnd w:id="1"/>
    </w:p>
    <w:p w:rsidR="009E0483" w:rsidRPr="008F7019" w:rsidRDefault="009E0483" w:rsidP="009E0483">
      <w:pPr>
        <w:rPr>
          <w:i/>
          <w:vanish/>
        </w:rPr>
      </w:pPr>
      <w:r w:rsidRPr="008F7019">
        <w:rPr>
          <w:i/>
        </w:rPr>
        <w:fldChar w:fldCharType="begin"/>
      </w:r>
      <w:r w:rsidRPr="008F7019">
        <w:rPr>
          <w:i/>
        </w:rPr>
        <w:instrText xml:space="preserve"> TC"(</w:instrText>
      </w:r>
      <w:bookmarkStart w:id="2" w:name="DocNumber"/>
      <w:r w:rsidRPr="008F7019">
        <w:rPr>
          <w:i/>
        </w:rPr>
        <w:instrText>A9-0377/2023</w:instrText>
      </w:r>
      <w:bookmarkEnd w:id="2"/>
      <w:r w:rsidRPr="008F7019">
        <w:rPr>
          <w:i/>
        </w:rPr>
        <w:instrText xml:space="preserve"> - Докладчик: Майте Пагасауртундуа)"\l3 \n&gt; \* MERGEFORMAT </w:instrText>
      </w:r>
      <w:r w:rsidRPr="008F7019">
        <w:rPr>
          <w:i/>
        </w:rPr>
        <w:fldChar w:fldCharType="end"/>
      </w:r>
    </w:p>
    <w:p w:rsidR="009E0483" w:rsidRPr="008F7019" w:rsidRDefault="009E0483" w:rsidP="009E0483">
      <w:pPr>
        <w:rPr>
          <w:vanish/>
        </w:rPr>
      </w:pPr>
      <w:bookmarkStart w:id="3" w:name="Commission"/>
      <w:r w:rsidRPr="008F7019">
        <w:rPr>
          <w:vanish/>
        </w:rPr>
        <w:t>Комисия по граждански свободи, правосъдие и вътрешни работи</w:t>
      </w:r>
      <w:bookmarkEnd w:id="3"/>
    </w:p>
    <w:p w:rsidR="009E0483" w:rsidRPr="008F7019" w:rsidRDefault="009E0483" w:rsidP="009E0483">
      <w:pPr>
        <w:rPr>
          <w:vanish/>
        </w:rPr>
      </w:pPr>
      <w:bookmarkStart w:id="4" w:name="PE"/>
      <w:r w:rsidRPr="008F7019">
        <w:rPr>
          <w:vanish/>
        </w:rPr>
        <w:t>PE750.074</w:t>
      </w:r>
      <w:bookmarkEnd w:id="4"/>
    </w:p>
    <w:p w:rsidR="009E0483" w:rsidRPr="008F7019" w:rsidRDefault="009E0483" w:rsidP="00B157F3">
      <w:pPr>
        <w:pStyle w:val="ATHeading3"/>
      </w:pPr>
      <w:bookmarkStart w:id="5" w:name="Sujet"/>
      <w:r w:rsidRPr="008F7019">
        <w:t xml:space="preserve">Резолюция на Европейския парламент от </w:t>
      </w:r>
      <w:r w:rsidR="00C15CAF">
        <w:t>18</w:t>
      </w:r>
      <w:r w:rsidR="00B157F3">
        <w:t xml:space="preserve"> януари</w:t>
      </w:r>
      <w:r w:rsidR="00B157F3" w:rsidRPr="008F7019">
        <w:t xml:space="preserve"> </w:t>
      </w:r>
      <w:r w:rsidRPr="008F7019">
        <w:t>2024 г. относно разширяването на списъка на престъпленията, установени на равнището на ЕС, за да обхване речта на омразата и престъпленията от омраза</w:t>
      </w:r>
      <w:bookmarkEnd w:id="5"/>
      <w:r w:rsidRPr="008F7019">
        <w:t xml:space="preserve"> </w:t>
      </w:r>
      <w:bookmarkStart w:id="6" w:name="References"/>
      <w:r w:rsidRPr="008F7019">
        <w:t>(2023/2068(INI))</w:t>
      </w:r>
      <w:bookmarkEnd w:id="6"/>
    </w:p>
    <w:p w:rsidR="006D2E15" w:rsidRPr="008F7019" w:rsidRDefault="006D2E15" w:rsidP="006D2E15">
      <w:pPr>
        <w:pStyle w:val="EPComma"/>
      </w:pPr>
      <w:bookmarkStart w:id="7" w:name="TextBodyBegin"/>
      <w:bookmarkEnd w:id="7"/>
      <w:r w:rsidRPr="008F7019">
        <w:rPr>
          <w:rStyle w:val="Italic"/>
        </w:rPr>
        <w:t>Европейският парламент</w:t>
      </w:r>
      <w:r w:rsidRPr="008F7019">
        <w:t>,</w:t>
      </w:r>
    </w:p>
    <w:p w:rsidR="006D2E15" w:rsidRPr="008F7019" w:rsidRDefault="006D2E15" w:rsidP="006D2E15">
      <w:pPr>
        <w:pStyle w:val="NormalHanging12a"/>
        <w:rPr>
          <w:szCs w:val="24"/>
        </w:rPr>
      </w:pPr>
      <w:r w:rsidRPr="008F7019">
        <w:t>–</w:t>
      </w:r>
      <w:r w:rsidRPr="008F7019">
        <w:tab/>
        <w:t>като взе предвид Хартата на основните права на Европейския съюз („Хартата“’), и по-специално членове 1, 7, 20, 21, 22, 23, 25 и 26 от нея,</w:t>
      </w:r>
    </w:p>
    <w:p w:rsidR="006D2E15" w:rsidRPr="008F7019" w:rsidRDefault="006D2E15" w:rsidP="006D2E15">
      <w:pPr>
        <w:pStyle w:val="NormalHanging12a"/>
      </w:pPr>
      <w:r w:rsidRPr="008F7019">
        <w:t>–</w:t>
      </w:r>
      <w:r w:rsidRPr="008F7019">
        <w:tab/>
        <w:t>като взе предвид Договора за Европейския съюз (ДЕС), и по-специално членове 2, 3 и 6 от него,</w:t>
      </w:r>
    </w:p>
    <w:p w:rsidR="006D2E15" w:rsidRPr="008F7019" w:rsidRDefault="006D2E15" w:rsidP="006D2E15">
      <w:pPr>
        <w:pStyle w:val="NormalHanging12a"/>
      </w:pPr>
      <w:r w:rsidRPr="008F7019">
        <w:t>–</w:t>
      </w:r>
      <w:r w:rsidRPr="008F7019">
        <w:tab/>
        <w:t>като взе предвид Договора за функционирането на Европейския съюз (ДФЕС), и по-специално член 19 и член 83, параграф 1 от него,</w:t>
      </w:r>
    </w:p>
    <w:p w:rsidR="006D2E15" w:rsidRPr="008F7019" w:rsidRDefault="006D2E15" w:rsidP="006D2E15">
      <w:pPr>
        <w:pStyle w:val="NormalHanging12a"/>
      </w:pPr>
      <w:r w:rsidRPr="008F7019">
        <w:t>–</w:t>
      </w:r>
      <w:r w:rsidRPr="008F7019">
        <w:tab/>
        <w:t>като взе предвид Европейската конвенция за правата на човека и свързаната с нея практика на Европейския съд по правата на човека,</w:t>
      </w:r>
    </w:p>
    <w:p w:rsidR="006D2E15" w:rsidRPr="008F7019" w:rsidRDefault="006D2E15" w:rsidP="006D2E15">
      <w:pPr>
        <w:pStyle w:val="NormalHanging12a"/>
      </w:pPr>
      <w:r w:rsidRPr="008F7019">
        <w:t>–</w:t>
      </w:r>
      <w:r w:rsidRPr="008F7019">
        <w:tab/>
        <w:t>като взе предвид Всеобщата декларация за правата на човека,</w:t>
      </w:r>
    </w:p>
    <w:p w:rsidR="006D2E15" w:rsidRPr="008F7019" w:rsidRDefault="006D2E15" w:rsidP="006D2E15">
      <w:pPr>
        <w:pStyle w:val="NormalHanging12a"/>
      </w:pPr>
      <w:r w:rsidRPr="008F7019">
        <w:t>–</w:t>
      </w:r>
      <w:r w:rsidRPr="008F7019">
        <w:tab/>
        <w:t>като взе предвид практиката на Съда на Европейския съюз (Съда на ЕС),</w:t>
      </w:r>
    </w:p>
    <w:p w:rsidR="006D2E15" w:rsidRPr="008F7019" w:rsidRDefault="006D2E15" w:rsidP="006D2E15">
      <w:pPr>
        <w:pStyle w:val="NormalHanging12a"/>
      </w:pPr>
      <w:r w:rsidRPr="008F7019">
        <w:t>–</w:t>
      </w:r>
      <w:r w:rsidRPr="008F7019">
        <w:tab/>
        <w:t>като взе предвид съобщението на Комисията от 9 декември 2021 г., озаглавено „По-приобщаваща и защитена Европа: разширяване на списъка на престъпленията в Европа, за да обхване речта на омразата и престъпленията от омраза (COM(2021)0777), и предложението за решение на Съвета, приложено към него,</w:t>
      </w:r>
    </w:p>
    <w:p w:rsidR="006D2E15" w:rsidRPr="008F7019" w:rsidRDefault="006D2E15" w:rsidP="006D2E15">
      <w:pPr>
        <w:pStyle w:val="NormalHanging12a"/>
      </w:pPr>
      <w:r w:rsidRPr="008F7019">
        <w:t>–</w:t>
      </w:r>
      <w:r w:rsidRPr="008F7019">
        <w:tab/>
        <w:t>като взе предвид Рамково решение 2008/913/ПВР на Съвета от 28 ноември 2008 г. относно борбата с определени форми и прояви на расизъм и ксенофобия посредством наказателното право</w:t>
      </w:r>
      <w:r w:rsidRPr="008F7019">
        <w:rPr>
          <w:rStyle w:val="FootnoteReference"/>
        </w:rPr>
        <w:footnoteReference w:id="1"/>
      </w:r>
      <w:r w:rsidRPr="008F7019">
        <w:t>,</w:t>
      </w:r>
    </w:p>
    <w:p w:rsidR="006D2E15" w:rsidRPr="008F7019" w:rsidRDefault="006D2E15" w:rsidP="006D2E15">
      <w:pPr>
        <w:pStyle w:val="NormalHanging12a"/>
      </w:pPr>
      <w:r w:rsidRPr="008F7019">
        <w:t>–</w:t>
      </w:r>
      <w:r w:rsidRPr="008F7019">
        <w:tab/>
        <w:t>като взе предвид съобщението на Комисията от 5 март 2020 г., озаглавено „Съюз на равенство: Стратегия за равенство между половете (2020 – 2025 г.)“ (COM(2020)0152),</w:t>
      </w:r>
    </w:p>
    <w:p w:rsidR="006D2E15" w:rsidRPr="008F7019" w:rsidRDefault="006D2E15" w:rsidP="006D2E15">
      <w:pPr>
        <w:pStyle w:val="NormalHanging12a"/>
      </w:pPr>
      <w:r w:rsidRPr="008F7019">
        <w:lastRenderedPageBreak/>
        <w:t>–</w:t>
      </w:r>
      <w:r w:rsidRPr="008F7019">
        <w:tab/>
        <w:t>като взе предвид съобщението на Комисията от 18 септември 2020 г., озаглавено: „Съюз на равенство: План за действие на ЕС за борба с расизма за периода 2020 – 2025 г. (COM(2020)0565).</w:t>
      </w:r>
    </w:p>
    <w:p w:rsidR="006D2E15" w:rsidRPr="008F7019" w:rsidRDefault="006D2E15" w:rsidP="006D2E15">
      <w:pPr>
        <w:pStyle w:val="NormalHanging12a"/>
      </w:pPr>
      <w:r w:rsidRPr="008F7019">
        <w:t>–</w:t>
      </w:r>
      <w:r w:rsidRPr="008F7019">
        <w:tab/>
        <w:t>като взе предвид съобщението на Комисията от 12 ноември 2020 г., озаглавено „Съюз на равенство: Стратегия за равнопоставеност на ЛГБТИК за 2020–2025 г.“ (COM(2020)0698),</w:t>
      </w:r>
    </w:p>
    <w:p w:rsidR="006D2E15" w:rsidRPr="008F7019" w:rsidRDefault="006D2E15" w:rsidP="006D2E15">
      <w:pPr>
        <w:pStyle w:val="NormalHanging12a"/>
      </w:pPr>
      <w:r w:rsidRPr="008F7019">
        <w:t>–</w:t>
      </w:r>
      <w:r w:rsidRPr="008F7019">
        <w:tab/>
        <w:t>като взе предвид съобщението на Комисията от 3 март 2021 г., озаглавено „Съюз на равенство: Стратегия за правата на хората с увреждания за периода 2021 – 2030 г.“ (COM(2021)0101), и Конвенцията на Организацията на обединените нации за правата на хората с увреждания, ратифицирана от ЕС и от всички негови държави членки,</w:t>
      </w:r>
    </w:p>
    <w:p w:rsidR="006D2E15" w:rsidRPr="008F7019" w:rsidRDefault="006D2E15" w:rsidP="006D2E15">
      <w:pPr>
        <w:pStyle w:val="NormalHanging12a"/>
      </w:pPr>
      <w:r w:rsidRPr="008F7019">
        <w:t>–</w:t>
      </w:r>
      <w:r w:rsidRPr="008F7019">
        <w:tab/>
        <w:t>като взе предвид съобщението на Комисията от 24 юни 2020 г., озаглавено „Стратегия на ЕС за правата на жертвите (2020 – 2025 г.)“ (COM(2020)0258),</w:t>
      </w:r>
    </w:p>
    <w:p w:rsidR="006D2E15" w:rsidRPr="008F7019" w:rsidRDefault="006D2E15" w:rsidP="006D2E15">
      <w:pPr>
        <w:pStyle w:val="NormalHanging12a"/>
      </w:pPr>
      <w:r w:rsidRPr="008F7019">
        <w:t>–</w:t>
      </w:r>
      <w:r w:rsidRPr="008F7019">
        <w:tab/>
        <w:t>като взе предвид препоръката от 20 май 2022 г. на Комитета на министрите на Съвета на Европа към държавите членки относно борбата срещу речта на омразата (CM/Rec(2022)16),</w:t>
      </w:r>
    </w:p>
    <w:p w:rsidR="006D2E15" w:rsidRPr="008F7019" w:rsidRDefault="006D2E15" w:rsidP="006D2E15">
      <w:pPr>
        <w:pStyle w:val="NormalHanging12a"/>
      </w:pPr>
      <w:r w:rsidRPr="008F7019">
        <w:t>–</w:t>
      </w:r>
      <w:r w:rsidRPr="008F7019">
        <w:tab/>
        <w:t>като взе предвид Общата политическа препоръка № 15 на Европейската комисия срещу расизма и нетолерантността (ЕКРН) към Съвета на Европа относно борбата срещу речта на омразата, приета на 8 декември 2015 г.,</w:t>
      </w:r>
    </w:p>
    <w:p w:rsidR="006D2E15" w:rsidRPr="008F7019" w:rsidRDefault="006D2E15" w:rsidP="006D2E15">
      <w:pPr>
        <w:pStyle w:val="NormalHanging12a"/>
        <w:rPr>
          <w:szCs w:val="24"/>
        </w:rPr>
      </w:pPr>
      <w:r w:rsidRPr="008F7019">
        <w:t>–</w:t>
      </w:r>
      <w:r w:rsidRPr="008F7019">
        <w:tab/>
        <w:t>като взе предвид Рамковата конвенция на Съвета на Европа за защита на националните малцинства и Европейската харта за регионалните или малцинствените езици,</w:t>
      </w:r>
    </w:p>
    <w:p w:rsidR="006D2E15" w:rsidRPr="008F7019" w:rsidRDefault="006D2E15" w:rsidP="006D2E15">
      <w:pPr>
        <w:pStyle w:val="NormalHanging12a"/>
      </w:pPr>
      <w:r w:rsidRPr="008F7019">
        <w:t>–</w:t>
      </w:r>
      <w:r w:rsidRPr="008F7019">
        <w:tab/>
        <w:t>като взе предвид препоръките, докладите и резолюциите на ЕКРН, Управителния комитет за борба срещу дискриминацията, за многообразие и за приобщаване, Парламентарната асамблея, Венецианската комисия и на други органи на Съвета на Европа,</w:t>
      </w:r>
    </w:p>
    <w:p w:rsidR="006D2E15" w:rsidRPr="008F7019" w:rsidRDefault="006D2E15" w:rsidP="006D2E15">
      <w:pPr>
        <w:pStyle w:val="NormalHanging12a"/>
      </w:pPr>
      <w:r w:rsidRPr="008F7019">
        <w:t>–</w:t>
      </w:r>
      <w:r w:rsidRPr="008F7019">
        <w:tab/>
        <w:t>като взе предвид Насоките за подобряване на събирането и използването на данни относно равенството, изготвени от Подгрупата за данни относно равенството към Групата на високо равнище на Комисията по въпросите на недискриминацията, равенството и многообразието и публикувани през 2021 г.,</w:t>
      </w:r>
    </w:p>
    <w:p w:rsidR="006D2E15" w:rsidRPr="008F7019" w:rsidRDefault="006D2E15" w:rsidP="006D2E15">
      <w:pPr>
        <w:pStyle w:val="NormalHanging12a"/>
      </w:pPr>
      <w:r w:rsidRPr="008F7019">
        <w:t>–</w:t>
      </w:r>
      <w:r w:rsidRPr="008F7019">
        <w:tab/>
        <w:t>като взе предвид договорите на ООН за правата на човека и инструментите на ООН относно защитата на правата на човека и основните свободи, и по-специално Всеобщата декларация за правата на човека, Международния пакт за граждански и политически права, Конвенцията за ликвидиране на всички форми на расова дискриминация, Конвенцията за премахване на всички форми на дискриминация по отношение на жените и препоръките на годишния Форум на ООН по въпросите на малцинствата,</w:t>
      </w:r>
    </w:p>
    <w:p w:rsidR="006D2E15" w:rsidRPr="008F7019" w:rsidRDefault="006D2E15" w:rsidP="006D2E15">
      <w:pPr>
        <w:pStyle w:val="NormalHanging12a"/>
        <w:rPr>
          <w:szCs w:val="24"/>
        </w:rPr>
      </w:pPr>
      <w:r w:rsidRPr="008F7019">
        <w:t>–</w:t>
      </w:r>
      <w:r w:rsidRPr="008F7019">
        <w:tab/>
        <w:t>като взе предвид годишните данни за престъпленията от омраза, публикувани от Бюрото на ОССЕ за демократични институции и права на човека всяка година на 16 ноември,</w:t>
      </w:r>
    </w:p>
    <w:p w:rsidR="006D2E15" w:rsidRPr="008F7019" w:rsidRDefault="006D2E15" w:rsidP="006D2E15">
      <w:pPr>
        <w:pStyle w:val="NormalHanging12a"/>
      </w:pPr>
      <w:r w:rsidRPr="008F7019">
        <w:t>–</w:t>
      </w:r>
      <w:r w:rsidRPr="008F7019">
        <w:tab/>
        <w:t xml:space="preserve">като взе предвид своята резолюция от 25 ноември 2020 г., озаглавена „Укрепването на свободата на медиите: защита на журналистите в Европа, слово </w:t>
      </w:r>
      <w:r w:rsidRPr="008F7019">
        <w:lastRenderedPageBreak/>
        <w:t>на омразата, дезинформация и роля на платформите“</w:t>
      </w:r>
      <w:r w:rsidRPr="008F7019">
        <w:rPr>
          <w:rStyle w:val="FootnoteReference"/>
        </w:rPr>
        <w:footnoteReference w:id="2"/>
      </w:r>
      <w:r w:rsidRPr="008F7019">
        <w:t>,</w:t>
      </w:r>
    </w:p>
    <w:p w:rsidR="006D2E15" w:rsidRPr="008F7019" w:rsidRDefault="006D2E15" w:rsidP="006D2E15">
      <w:pPr>
        <w:pStyle w:val="NormalHanging12a"/>
      </w:pPr>
      <w:r w:rsidRPr="008F7019">
        <w:t>–</w:t>
      </w:r>
      <w:r w:rsidRPr="008F7019">
        <w:tab/>
        <w:t>като взе предвид своята резолюция от 16 септември 2021 г., съдържаща препоръки към Комисията относно определянето на основаното на пола насилие като нова област на престъпност по смисъла на член 83, параграф 1 от ДФЕС</w:t>
      </w:r>
      <w:r w:rsidRPr="008F7019">
        <w:rPr>
          <w:rStyle w:val="FootnoteReference"/>
        </w:rPr>
        <w:footnoteReference w:id="3"/>
      </w:r>
      <w:r w:rsidRPr="008F7019">
        <w:t>,</w:t>
      </w:r>
    </w:p>
    <w:p w:rsidR="006D2E15" w:rsidRPr="008F7019" w:rsidRDefault="006D2E15" w:rsidP="006D2E15">
      <w:pPr>
        <w:pStyle w:val="NormalHanging12a"/>
        <w:rPr>
          <w:szCs w:val="24"/>
        </w:rPr>
      </w:pPr>
      <w:r w:rsidRPr="008F7019">
        <w:t>–</w:t>
      </w:r>
      <w:r w:rsidRPr="008F7019">
        <w:tab/>
        <w:t>като взе предвид своята резолюция от 13 ноември 2018 г. относно минимални стандарти за малцинствата в ЕС</w:t>
      </w:r>
      <w:r w:rsidRPr="008F7019">
        <w:rPr>
          <w:rStyle w:val="FootnoteReference"/>
        </w:rPr>
        <w:footnoteReference w:id="4"/>
      </w:r>
      <w:r w:rsidRPr="008F7019">
        <w:t>,</w:t>
      </w:r>
    </w:p>
    <w:p w:rsidR="006D2E15" w:rsidRPr="008F7019" w:rsidRDefault="006D2E15" w:rsidP="006D2E15">
      <w:pPr>
        <w:pStyle w:val="NormalHanging12a"/>
      </w:pPr>
      <w:r w:rsidRPr="008F7019">
        <w:t>–</w:t>
      </w:r>
      <w:r w:rsidRPr="008F7019">
        <w:tab/>
        <w:t>като взе предвид член 105, параграф 5 от своя Правилник за дейността,</w:t>
      </w:r>
    </w:p>
    <w:p w:rsidR="006D2E15" w:rsidRPr="008F7019" w:rsidRDefault="006D2E15" w:rsidP="006D2E15">
      <w:pPr>
        <w:pStyle w:val="Normal12Hanging"/>
      </w:pPr>
      <w:r w:rsidRPr="008F7019">
        <w:t>–</w:t>
      </w:r>
      <w:r w:rsidRPr="008F7019">
        <w:tab/>
        <w:t>като взе предвид становището на комисията по правата на жените и равенството между половете,</w:t>
      </w:r>
    </w:p>
    <w:p w:rsidR="006D2E15" w:rsidRPr="008F7019" w:rsidRDefault="006D2E15" w:rsidP="006D2E15">
      <w:pPr>
        <w:pStyle w:val="NormalHanging12a"/>
      </w:pPr>
      <w:r w:rsidRPr="008F7019">
        <w:t>–</w:t>
      </w:r>
      <w:r w:rsidRPr="008F7019">
        <w:tab/>
        <w:t>като взе предвид доклада на комисията по граждански свободи, правосъдие и вътрешни работи (A9-0377/2023),</w:t>
      </w:r>
    </w:p>
    <w:p w:rsidR="006D2E15" w:rsidRPr="008F7019" w:rsidRDefault="006D2E15" w:rsidP="006D2E15">
      <w:pPr>
        <w:pStyle w:val="NormalHanging12a"/>
        <w:rPr>
          <w:szCs w:val="24"/>
        </w:rPr>
      </w:pPr>
      <w:r w:rsidRPr="008F7019">
        <w:t>А.</w:t>
      </w:r>
      <w:r w:rsidRPr="008F7019">
        <w:tab/>
        <w:t>като има предвид, че всяка форма на дискриминация, основана на какъвто и да било признак като пол, раса, цвят на кожата, етнически или социален произход, генетични характеристики, език, религия или убеждения, политически или други мнения, принадлежност към национално малцинство, имотно състояние, рождение, увреждане, възраст или сексуална ориентация, е забранена съгласно член 21 от Хартата; като има предвид, че в обхвата на приложение на Договорите и без да се засягат техните особени разпоредби, се забранява също всяка форма на дискриминация, основана на гражданство; като има предвид, че като резултат от широкото тълкуване на Съда на ЕС основанието „пол“ следва да се разбира широко като включващо всяка форма на дискриминация, свързана с половата идентичност, изразяването на половата принадлежност или половите характеристики</w:t>
      </w:r>
      <w:r w:rsidRPr="008F7019">
        <w:rPr>
          <w:vertAlign w:val="superscript"/>
        </w:rPr>
        <w:footnoteReference w:id="5"/>
      </w:r>
      <w:r w:rsidRPr="008F7019">
        <w:t>;</w:t>
      </w:r>
    </w:p>
    <w:p w:rsidR="006D2E15" w:rsidRPr="008F7019" w:rsidRDefault="006D2E15" w:rsidP="006D2E15">
      <w:pPr>
        <w:pStyle w:val="NormalHanging12a"/>
      </w:pPr>
      <w:r w:rsidRPr="008F7019">
        <w:t>Б.</w:t>
      </w:r>
      <w:r w:rsidRPr="008F7019">
        <w:tab/>
        <w:t>като има предвид, че всички форми и прояви на омраза и нетърпимост, включително речта на омразата и престъпленията от омраза, са несъвместими с ценностите на Съюза за човешко достойнство, свобода, демокрация, равенство, върховенство на закона и зачитане на правата на човека, включително правата на лицата, които принадлежат към малцинства, залегнали в член 2 от ДЕС; като има предвид, че насърчаването и защитата на тези основополагащи ценности на Съюза зависи от това институциите на ЕС, държавите членки и всички други съответни участници да противодействат на предубежденията, предразсъдъците и нетолерантността, както и от премахването на омразата;</w:t>
      </w:r>
    </w:p>
    <w:p w:rsidR="006D2E15" w:rsidRPr="008F7019" w:rsidRDefault="006D2E15" w:rsidP="006D2E15">
      <w:pPr>
        <w:pStyle w:val="NormalHanging12a"/>
        <w:rPr>
          <w:szCs w:val="24"/>
        </w:rPr>
      </w:pPr>
      <w:r w:rsidRPr="008F7019">
        <w:t>В.</w:t>
      </w:r>
      <w:r w:rsidRPr="008F7019">
        <w:tab/>
        <w:t xml:space="preserve">като има предвид, че речта на омразата и престъпленията от омраза са сложни и многоизмерни явления с широкообхватни последици за правата на човека и за </w:t>
      </w:r>
      <w:r w:rsidRPr="008F7019">
        <w:lastRenderedPageBreak/>
        <w:t>принципите на правовата държава в демократичните общества; като има предвид, че борбата с ксенофобията, расизма, омразата към жените, хомофобията, трансфобията и други форми на предразсъдъци, нетърпимост, дискриминация, включително тези, основани на политически или други мнения, и омраза срещу определени лица или обществени групи изисква ЕС и неговите държави членки да разработят цялостен отговор в тясно сътрудничество със съответните заинтересовани страни, включително гражданското общество; като има предвид, че инкриминирането е един от многото инструменти за борба срещу тези престъпления;</w:t>
      </w:r>
    </w:p>
    <w:p w:rsidR="006D2E15" w:rsidRPr="008F7019" w:rsidRDefault="006D2E15" w:rsidP="006D2E15">
      <w:pPr>
        <w:pStyle w:val="NormalHanging12a"/>
        <w:rPr>
          <w:szCs w:val="24"/>
        </w:rPr>
      </w:pPr>
      <w:r w:rsidRPr="008F7019">
        <w:t>Г.</w:t>
      </w:r>
      <w:r w:rsidRPr="008F7019">
        <w:tab/>
        <w:t>като има предвид, че борбата срещу речта на омразата и престъпленията от омраза, както онлайн, така и офлайн, изисква многоизмерен подход и, когато е целесъобразно, различни средства за борба срещу тях, включително със средствата на наказателното право, граждански и административни производства и други важни политики или социални мерки; като има предвид, че държавите членки вече са поели ангажимент да приемат законодателство и мерки за налагане на наказания за престъпленията от омраза, с цел справяне с недостатъчното докладване и с цел въвеждане или по-нататъшно развитие на дейности за изграждане на капацитет за служителите на правоприлагащите и съдебните органи</w:t>
      </w:r>
      <w:r w:rsidRPr="008F7019">
        <w:rPr>
          <w:vertAlign w:val="superscript"/>
        </w:rPr>
        <w:footnoteReference w:id="6"/>
      </w:r>
      <w:r w:rsidRPr="008F7019">
        <w:t>; като има предвид, че за да се води ефективна борба срещу речта на омразата и престъпленията от омраза, е от съществено значение да се противодейства на първопричините за тях, по-специално стереотипите; като има предвид, че превантивните мерки, образованието, включително цифровото образование, грамотността и уменията за насърчаване на безопасни цифрови пространства, обучението и повишаването на осведомеността са от ключово значение в това отношение; като има предвид, че ЕС и държавите членки следва да насърчават по-добро разбиране на необходимостта от многообразие и диалог в контекст на демокрация, права на човека и принципи на правовата държава, да повишават обществената осведоменост относно значението на зачитането на плурализма и да се борят срещу отрицателните стереотипи и стигматизацията;</w:t>
      </w:r>
    </w:p>
    <w:p w:rsidR="006D2E15" w:rsidRPr="008F7019" w:rsidRDefault="006D2E15" w:rsidP="006D2E15">
      <w:pPr>
        <w:pStyle w:val="NormalHanging12a"/>
        <w:rPr>
          <w:szCs w:val="24"/>
        </w:rPr>
      </w:pPr>
      <w:r w:rsidRPr="008F7019">
        <w:t>Д.</w:t>
      </w:r>
      <w:r w:rsidRPr="008F7019">
        <w:tab/>
        <w:t>като има предвид, че речта на омразата и престъпленията от омраза могат да съставляват особено тежки престъпления и засягат не само отделните жертви и техните общности, като им причиняват страдание и ограничават техните основни права и свободи, но и обществото като цяло, като подкопават основите на ЕС;</w:t>
      </w:r>
    </w:p>
    <w:p w:rsidR="006D2E15" w:rsidRPr="008F7019" w:rsidRDefault="006D2E15" w:rsidP="006D2E15">
      <w:pPr>
        <w:pStyle w:val="NormalHanging12a"/>
        <w:rPr>
          <w:szCs w:val="24"/>
        </w:rPr>
      </w:pPr>
      <w:r w:rsidRPr="008F7019">
        <w:t>Е.</w:t>
      </w:r>
      <w:r w:rsidRPr="008F7019">
        <w:tab/>
        <w:t>като има предвид, че не всяка реч на омразата съставлява престъпление, но продължава да допринася за нормализиране на проявите на омраза, насилие и нетърпимост в обществото;</w:t>
      </w:r>
    </w:p>
    <w:p w:rsidR="006D2E15" w:rsidRPr="008F7019" w:rsidRDefault="006D2E15" w:rsidP="006D2E15">
      <w:pPr>
        <w:pStyle w:val="NormalHanging12a"/>
      </w:pPr>
      <w:r w:rsidRPr="008F7019">
        <w:t>Ж.</w:t>
      </w:r>
      <w:r w:rsidRPr="008F7019">
        <w:tab/>
        <w:t>като има предвид, че през последните няколко десетилетия се наблюдава рязко нарастване на дискриминацията, престъпленията от омраза и на речта на омразата в целия ЕС</w:t>
      </w:r>
      <w:r w:rsidRPr="008F7019">
        <w:rPr>
          <w:rStyle w:val="FootnoteReference"/>
        </w:rPr>
        <w:footnoteReference w:id="7"/>
      </w:r>
      <w:r w:rsidRPr="008F7019">
        <w:t xml:space="preserve">, увеличаване на различните форми на расизъм, антисемитизъм, </w:t>
      </w:r>
      <w:r w:rsidRPr="008F7019">
        <w:lastRenderedPageBreak/>
        <w:t>исламофобия, ксенофобия, хомофобия, трансфобия и други форми на нетолерантност и тревожно нарастване на онлайн и офлайн речта на омразата и подбуждането към омраза; като има предвид, че лицата, принадлежащи към уязвими групи, като например ЛГБТИК + лицата, расово обособените лица, етническите, религиозните или езиковите малцинства, коренните общности</w:t>
      </w:r>
      <w:r w:rsidRPr="008F7019">
        <w:rPr>
          <w:vertAlign w:val="superscript"/>
        </w:rPr>
        <w:footnoteReference w:id="8"/>
      </w:r>
      <w:r w:rsidRPr="008F7019">
        <w:rPr>
          <w:rStyle w:val="FootnoteReference"/>
        </w:rPr>
        <w:footnoteReference w:id="9"/>
      </w:r>
      <w:r w:rsidRPr="008F7019">
        <w:t>, хората с увреждания, хората в неравностойно социално-икономическо положение, лицата, търсещи убежище, бежанците и мигрантите, са постоянно обект на реч на омразата и на престъпления от омраза; като има предвид, че се наблюдава значително увеличение на случаите на престъпления от омраза и реч на омразата срещу ЛГБТИК в Европа</w:t>
      </w:r>
      <w:r w:rsidRPr="008F7019">
        <w:rPr>
          <w:vertAlign w:val="superscript"/>
        </w:rPr>
        <w:footnoteReference w:id="10"/>
      </w:r>
      <w:r w:rsidRPr="008F7019">
        <w:t>, както и нарастване на дискриминацията и омразата срещу жени; като има предвид, че множествената и комбинираната дискриминация е плодородна основа за реч на омразата и за престъпления от омраза; като има предвид, че лицата, обект на реч на омразата, стават във все по-голяма степен изключени от обществото;</w:t>
      </w:r>
    </w:p>
    <w:p w:rsidR="006D2E15" w:rsidRPr="008F7019" w:rsidRDefault="006D2E15" w:rsidP="006D2E15">
      <w:pPr>
        <w:pStyle w:val="NormalHanging12a"/>
        <w:rPr>
          <w:szCs w:val="24"/>
        </w:rPr>
      </w:pPr>
      <w:r w:rsidRPr="008F7019">
        <w:t>З.</w:t>
      </w:r>
      <w:r w:rsidRPr="008F7019">
        <w:tab/>
        <w:t>като има предвид, че нарастването на дискриминацията и омразата се изостря в много държави членки от екстремистки и популистки движения и от мултиплициращия ефект на онлайн средата и социалните медии, което благоприятства повторното превръщане в жертва; като има предвид, че това нарастване води до опасни разделения в обществото като цяло и застрашава демокрацията;</w:t>
      </w:r>
    </w:p>
    <w:p w:rsidR="006D2E15" w:rsidRPr="008F7019" w:rsidRDefault="006D2E15" w:rsidP="006D2E15">
      <w:pPr>
        <w:pStyle w:val="NormalHanging12a"/>
        <w:rPr>
          <w:szCs w:val="24"/>
        </w:rPr>
      </w:pPr>
      <w:r w:rsidRPr="008F7019">
        <w:t>И.</w:t>
      </w:r>
      <w:r w:rsidRPr="008F7019">
        <w:tab/>
        <w:t>като има предвид, че има доказателства, че речта на омразата и мотивираните от омраза инциденти продължават да не бъдат докладвани в пълна степен в ЕС</w:t>
      </w:r>
      <w:r w:rsidRPr="008F7019">
        <w:rPr>
          <w:vertAlign w:val="superscript"/>
        </w:rPr>
        <w:footnoteReference w:id="11"/>
      </w:r>
      <w:r w:rsidRPr="008F7019">
        <w:t>, което затруднява количественото определяне на мащаба на проблема;</w:t>
      </w:r>
    </w:p>
    <w:p w:rsidR="006D2E15" w:rsidRPr="008F7019" w:rsidRDefault="006D2E15" w:rsidP="006D2E15">
      <w:pPr>
        <w:pStyle w:val="NormalHanging12a"/>
        <w:rPr>
          <w:szCs w:val="24"/>
        </w:rPr>
      </w:pPr>
      <w:r w:rsidRPr="008F7019">
        <w:t>Й.</w:t>
      </w:r>
      <w:r w:rsidRPr="008F7019">
        <w:tab/>
        <w:t>като има предвид, че медиите и журналистите играят основна роля в информирането на обществото и в приноса към демократичните процеси;</w:t>
      </w:r>
    </w:p>
    <w:p w:rsidR="006D2E15" w:rsidRPr="008F7019" w:rsidRDefault="006D2E15" w:rsidP="006D2E15">
      <w:pPr>
        <w:pStyle w:val="NormalHanging12a"/>
        <w:rPr>
          <w:szCs w:val="24"/>
        </w:rPr>
      </w:pPr>
      <w:r w:rsidRPr="008F7019">
        <w:t>К.</w:t>
      </w:r>
      <w:r w:rsidRPr="008F7019">
        <w:tab/>
        <w:t xml:space="preserve">като има предвид, че политическият дебат все повече се характеризира с реч на омразата; като има предвид, че предизборните кампании осигуряват особено благоприятна почва за реч на омразата и подбуждане към омраза, което засяга не само политическата сфера, но и функционирането на обществото като цяло и задълбочава политическата поляризация; като има предвид, че речта на омразата към жените с обществени роли достигна тревожно равнище; като има предвид, че политическите лидери имат значителна роля и отговорност в борбата срещу речта на омразата и нетолерантността; като има предвид, че те следва да дават пример и </w:t>
      </w:r>
      <w:r w:rsidRPr="008F7019">
        <w:lastRenderedPageBreak/>
        <w:t>публично да изобличават случаите на омраза;</w:t>
      </w:r>
    </w:p>
    <w:p w:rsidR="006D2E15" w:rsidRPr="008F7019" w:rsidRDefault="006D2E15" w:rsidP="006D2E15">
      <w:pPr>
        <w:pStyle w:val="NormalHanging12a"/>
        <w:rPr>
          <w:szCs w:val="24"/>
        </w:rPr>
      </w:pPr>
      <w:r w:rsidRPr="008F7019">
        <w:t>Л.</w:t>
      </w:r>
      <w:r w:rsidRPr="008F7019">
        <w:tab/>
        <w:t>като има предвид, че малолетните и непълнолетните лица са особено уязвими жертви на речта на омразата и на престъпленията от омраза, включително в училищата или онлайн, чрез кибертормоз; като има предвид, че подобни посегателства застрашават тяхната физическа и психическа неприкосновеност и засягат тяхното развитие и психично здраве; като има предвид, че поради това на тях трябва да се обърне специално внимание;</w:t>
      </w:r>
    </w:p>
    <w:p w:rsidR="006D2E15" w:rsidRPr="008F7019" w:rsidRDefault="006D2E15" w:rsidP="006D2E15">
      <w:pPr>
        <w:pStyle w:val="NormalHanging12a"/>
        <w:rPr>
          <w:szCs w:val="24"/>
        </w:rPr>
      </w:pPr>
      <w:r w:rsidRPr="008F7019">
        <w:t>М.</w:t>
      </w:r>
      <w:r w:rsidRPr="008F7019">
        <w:tab/>
        <w:t>като има предвид, че държавите членки не противодействат на речта на омразата и на престъпленията от омраза по един и същ начин в съответните им наказателни закони, което оставя определени групи без достатъчна защита в някои части на Съюза; като има предвид, че това затруднява определянето на общ европейски подход за борба срещу речта на омразата и престъпленията от омраза; като има предвид, че липсата на правна защита може да има опустошителни последици за жертвите;</w:t>
      </w:r>
    </w:p>
    <w:p w:rsidR="006D2E15" w:rsidRPr="008F7019" w:rsidRDefault="006D2E15" w:rsidP="006D2E15">
      <w:pPr>
        <w:pStyle w:val="NormalHanging12a"/>
        <w:rPr>
          <w:szCs w:val="24"/>
        </w:rPr>
      </w:pPr>
      <w:r w:rsidRPr="008F7019">
        <w:t>Н</w:t>
      </w:r>
      <w:r w:rsidR="00A97B1D">
        <w:t>.</w:t>
      </w:r>
      <w:bookmarkStart w:id="8" w:name="_GoBack"/>
      <w:bookmarkEnd w:id="8"/>
      <w:r w:rsidRPr="008F7019">
        <w:tab/>
        <w:t>като има предвид, че настоящата нормативна уредба на ЕС обхваща само реч на омразата и престъпленията от омраза, основани на раса, цвят, религия, родословие и национален или етнически произход; като има предвид, че понастоящем не съществува всеобхватно общо законово определение за реч на омразата и за престъпления от омраза на равнището на ЕС; като има предвид, че е налице ясна необходимост от ефективно противодействие на речта на омразата и престъпленията от омраза, основани на други признаци, като например пол, сексуална ориентация, социален пол, социално-полова идентичност, изразяване на социалния пол, полови характеристики, възраст, увреждания или каквато и да е друга основна характеристика, и по-специално характеристиките, защитени съгласно член 21 от Хартата, или комбинация от тези характеристики; като има предвид, че ЕС трябва да защитава най-уязвимите в обществото; като има предвид, че следва да се обърне специално внимание на идентифицирането на лицата, групите или общностите, които са най-уязвими на реч на омразата и на престъпления от омраза, за да се избегне отрицателно въздействие върху защитата на жертвите;</w:t>
      </w:r>
    </w:p>
    <w:p w:rsidR="006D2E15" w:rsidRPr="008F7019" w:rsidRDefault="006D2E15" w:rsidP="006D2E15">
      <w:pPr>
        <w:pStyle w:val="NormalHanging12a"/>
        <w:rPr>
          <w:szCs w:val="24"/>
        </w:rPr>
      </w:pPr>
      <w:r w:rsidRPr="008F7019">
        <w:t>О.</w:t>
      </w:r>
      <w:r w:rsidRPr="008F7019">
        <w:tab/>
        <w:t>като има предвид, че член 83, параграф 1 от ДФЕС установява ясни изисквания за включването на нови области на престъпност в списъка на трансграничните престъпления, установени на равнището на ЕС; като има предвид, че речта на омразата онлайн има ясно трансгранично измерение; като има предвид, че цифровата трансформация подчертава необходимостта от справяне с това явление на европейско равнище; като има предвид, че е необходимо да се води борба срещу речта на омразата и престъпленията от омраза на обща основа и на равнището на ЕС; като има предвид, че ЕС носи отговорност за предприемането на действия;</w:t>
      </w:r>
    </w:p>
    <w:p w:rsidR="006D2E15" w:rsidRPr="008F7019" w:rsidRDefault="006D2E15" w:rsidP="006D2E15">
      <w:pPr>
        <w:pStyle w:val="NormalHanging12a"/>
        <w:rPr>
          <w:szCs w:val="24"/>
        </w:rPr>
      </w:pPr>
      <w:r w:rsidRPr="008F7019">
        <w:t>П.</w:t>
      </w:r>
      <w:r w:rsidRPr="008F7019">
        <w:tab/>
        <w:t xml:space="preserve">като има предвид, че реакцията на наказателното право на ЕС по отношение на речта на омразата и престъпленията от омраза следва да бъде силна, пропорционална и съобразена с целта му, за да се защити надлежно жертвата и да се отдаде дължимото значение на свободата на изразяване на мнение и свободата на информация, които са крайъгълни камъни на демокрацията; като има предвид, че ЕС следва да се гарантира, че с ограниченията на свободата на изразяване на мнение с цел предотвратяване и противодействие на речта на омразата не следва да се злоупотребява от компетентните органи в държавите членки с цел </w:t>
      </w:r>
      <w:r w:rsidRPr="008F7019">
        <w:lastRenderedPageBreak/>
        <w:t>заглушаване на малцинствата и потискане на критики; като има предвид, че решенията на Европейския съд по правата на човека относно свободата на изразяване на мнение трябва да бъдат зачитани при установяването на механизми за защита срещу речта на омразата;</w:t>
      </w:r>
    </w:p>
    <w:p w:rsidR="006D2E15" w:rsidRPr="008F7019" w:rsidRDefault="006D2E15" w:rsidP="006D2E15">
      <w:pPr>
        <w:pStyle w:val="NormalHanging12a"/>
        <w:rPr>
          <w:szCs w:val="24"/>
        </w:rPr>
      </w:pPr>
      <w:r w:rsidRPr="008F7019">
        <w:t>Р.</w:t>
      </w:r>
      <w:r w:rsidRPr="008F7019">
        <w:tab/>
        <w:t>като има предвид, че основните права, които са защитени в борбата срещу речта на омразата и престъпленията от омраза, са на първо място човешкото достойнство и принципа на недискриминация; като има предвид, че тази защита следва да бъде универсална; като има предвид, че защитата от нетърпимост, била тя поради раса, национален произход, сексуална ориентация, религия, идеология, възраст, мнение или всякакви други лични, физически или социални условия или обстоятелства, независимо от нейната форма на изразяване, не трябва да се ограничава само до определени основания или мотиви;</w:t>
      </w:r>
    </w:p>
    <w:p w:rsidR="006D2E15" w:rsidRPr="008F7019" w:rsidRDefault="006D2E15" w:rsidP="006D2E15">
      <w:pPr>
        <w:pStyle w:val="NormalHanging12a"/>
        <w:rPr>
          <w:szCs w:val="24"/>
        </w:rPr>
      </w:pPr>
      <w:r w:rsidRPr="008F7019">
        <w:t>С.</w:t>
      </w:r>
      <w:r w:rsidRPr="008F7019">
        <w:tab/>
        <w:t>като има предвид, че социалната динамика може да създаде нови мотиви за реч на омразата и за престъпления от омраза, на които трябва да се противодейства в рамките на обща нормативна уредба на ЕС, което изисква разширяване на обхвата на член 83, параграф 1 от ДФЕС, който установява списък на престъпленията, установени на равнището на ЕС;</w:t>
      </w:r>
    </w:p>
    <w:p w:rsidR="006D2E15" w:rsidRPr="008F7019" w:rsidRDefault="006D2E15" w:rsidP="006D2E15">
      <w:pPr>
        <w:pStyle w:val="NormalHanging12a"/>
      </w:pPr>
      <w:r w:rsidRPr="008F7019">
        <w:t>Т.</w:t>
      </w:r>
      <w:r w:rsidRPr="008F7019">
        <w:tab/>
        <w:t>като има предвид, че през 2021 г. Комисията представи съобщение, озаглавено „По-приобщаваща и защитена Европа: разширяване на списъка на престъпленията в Европа, за да обхване речта на омразата и престъпленията от омраза“, с оглед на добавянето на престъпленията от омраза и речта на омразата към списъка на областите на престъпност, в които Парламентът и Съветът могат да установят минимални правила относно определянето на престъпленията и санкциите, приложими във всички държави — членки на ЕС, както е предвидено в член 83, параграф 1 от ДФЕС; като има предвид, че Съветът трябва да приеме решение в това отношение;</w:t>
      </w:r>
    </w:p>
    <w:p w:rsidR="006D2E15" w:rsidRPr="008F7019" w:rsidRDefault="006D2E15" w:rsidP="006D2E15">
      <w:pPr>
        <w:pStyle w:val="NormalHanging12a"/>
        <w:rPr>
          <w:szCs w:val="24"/>
        </w:rPr>
      </w:pPr>
      <w:r w:rsidRPr="008F7019">
        <w:t>У.</w:t>
      </w:r>
      <w:r w:rsidRPr="008F7019">
        <w:tab/>
        <w:t>като има предвид, че това решение на Съвета би било първа стъпка към създаването на необходимото правно основание за приемане, като втора стъпка, на обща правна рамка за борба срещу речта на омразата и престъпленията от омраза в целия ЕС; като има предвид, че такава обща правна рамка е спешно необходима, за да се установят минимални стандарти относно определянето на престъпленията и санкциите, и по този начин да се води борба срещу речта на омразата и престъпленията от омраза на обща европейска основа, за да се гарантира последователна защита на потенциалните жертви на такива деяния в целия Съюз;</w:t>
      </w:r>
    </w:p>
    <w:p w:rsidR="006D2E15" w:rsidRPr="008F7019" w:rsidRDefault="006D2E15" w:rsidP="006D2E15">
      <w:pPr>
        <w:pStyle w:val="NormalHanging12a"/>
      </w:pPr>
      <w:r w:rsidRPr="008F7019">
        <w:t>Ф.</w:t>
      </w:r>
      <w:r w:rsidRPr="008F7019">
        <w:tab/>
        <w:t>като има предвид, че Съветът все още не е приел решение; като има предвид, че някои държави членки блокират постигането на конкретен напредък в Съвета по това специално досие;</w:t>
      </w:r>
    </w:p>
    <w:p w:rsidR="006D2E15" w:rsidRPr="008F7019" w:rsidRDefault="006D2E15" w:rsidP="006D2E15">
      <w:pPr>
        <w:pStyle w:val="NormalHanging12a"/>
        <w:rPr>
          <w:szCs w:val="24"/>
        </w:rPr>
      </w:pPr>
      <w:r w:rsidRPr="008F7019">
        <w:t>Х.</w:t>
      </w:r>
      <w:r w:rsidRPr="008F7019">
        <w:tab/>
        <w:t>като има предвид, че член 83, параграф 1 от ДФЕС изисква единодушие в Съвета за определянето на „други области на престъпност“; като има предвид, че това изискване се оказа в ущърб на постигането на необходимия общ напредък в борбата срещу речта на омразата и престъпленията от омраза в целия Съюз;</w:t>
      </w:r>
    </w:p>
    <w:p w:rsidR="006D2E15" w:rsidRPr="008F7019" w:rsidRDefault="006D2E15" w:rsidP="006D2E15">
      <w:pPr>
        <w:pStyle w:val="NormalHanging12a"/>
        <w:rPr>
          <w:szCs w:val="24"/>
        </w:rPr>
      </w:pPr>
      <w:r w:rsidRPr="008F7019">
        <w:t>1.</w:t>
      </w:r>
      <w:r w:rsidRPr="008F7019">
        <w:tab/>
        <w:t xml:space="preserve">настоятелно призовава Съвета да приеме решение за включване на речта на омразата и престъпленията от омраза сред престъпленията в списъка по член 83, параграф 1 от ДФЕС, така че Комисията да може да започне втория етап от </w:t>
      </w:r>
      <w:r w:rsidRPr="008F7019">
        <w:lastRenderedPageBreak/>
        <w:t>процедурата;</w:t>
      </w:r>
    </w:p>
    <w:p w:rsidR="006D2E15" w:rsidRPr="008F7019" w:rsidRDefault="006D2E15" w:rsidP="006D2E15">
      <w:pPr>
        <w:pStyle w:val="NormalHanging12a"/>
        <w:rPr>
          <w:szCs w:val="24"/>
        </w:rPr>
      </w:pPr>
      <w:r w:rsidRPr="008F7019">
        <w:t>2.</w:t>
      </w:r>
      <w:r w:rsidRPr="008F7019">
        <w:tab/>
        <w:t>припомня, че наказателното право на държавите членки разглежда речта на омразата и престъпленията от омраза по различни начини и че на равнището на ЕС съществуват минимално хармонизирани норми само когато тези престъпления се извършват срещу група лица или отделно лице въз основа на раса, цвят на кожата, религия, родословие или национален или етнически произход, което затруднява прилагането на успешна обща стратегия за ефективна борба срещу омразата;</w:t>
      </w:r>
    </w:p>
    <w:p w:rsidR="006D2E15" w:rsidRPr="008F7019" w:rsidRDefault="006D2E15" w:rsidP="006D2E15">
      <w:pPr>
        <w:pStyle w:val="NormalHanging12a"/>
        <w:rPr>
          <w:szCs w:val="24"/>
        </w:rPr>
      </w:pPr>
      <w:r w:rsidRPr="008F7019">
        <w:t>3.</w:t>
      </w:r>
      <w:r w:rsidRPr="008F7019">
        <w:tab/>
        <w:t>изразява дълбоко съжаление, че са изминали почти две години от публикуването на съобщението на Комисията и че Съветът не постигна напредък по него, макар да успя бързо да разшири списъка на престъпленията, установени на равнището на ЕС, за други цели; изразява съжаление относно това бездействие предвид на увеличаването на случаите на реч на омразата и на престъпления от омраза;</w:t>
      </w:r>
    </w:p>
    <w:p w:rsidR="006D2E15" w:rsidRPr="008F7019" w:rsidRDefault="006D2E15" w:rsidP="006D2E15">
      <w:pPr>
        <w:pStyle w:val="NormalHanging12a"/>
      </w:pPr>
      <w:r w:rsidRPr="008F7019">
        <w:t>4.</w:t>
      </w:r>
      <w:r w:rsidRPr="008F7019">
        <w:tab/>
        <w:t>призовава държавите членки да работят заедно отговорно и конструктивно за възобновяване на преговорите в рамките на Съвета с цел приемане на решение на Съвета преди края на настоящия парламентарен мандат;</w:t>
      </w:r>
    </w:p>
    <w:p w:rsidR="006D2E15" w:rsidRPr="008F7019" w:rsidRDefault="006D2E15" w:rsidP="006D2E15">
      <w:pPr>
        <w:pStyle w:val="NormalHanging12a"/>
        <w:rPr>
          <w:szCs w:val="24"/>
        </w:rPr>
      </w:pPr>
      <w:r w:rsidRPr="008F7019">
        <w:t>5.</w:t>
      </w:r>
      <w:r w:rsidRPr="008F7019">
        <w:tab/>
        <w:t>настоятелно призовава държавите членки да подкрепят или най-малкото да се въздържат от противопоставяне на приемането на проекта на решение;</w:t>
      </w:r>
    </w:p>
    <w:p w:rsidR="006D2E15" w:rsidRPr="008F7019" w:rsidRDefault="006D2E15" w:rsidP="006D2E15">
      <w:pPr>
        <w:pStyle w:val="NormalHanging12a"/>
      </w:pPr>
      <w:r w:rsidRPr="008F7019">
        <w:t>6.</w:t>
      </w:r>
      <w:r w:rsidRPr="008F7019">
        <w:tab/>
        <w:t>призовава настоящото и бъдещото председателство на Съвета на Съюза да разгледат предложението на Комисията като приоритет при изготвянето на своя дневен ред и определянето на целите;</w:t>
      </w:r>
    </w:p>
    <w:p w:rsidR="006D2E15" w:rsidRPr="008F7019" w:rsidRDefault="006D2E15" w:rsidP="006D2E15">
      <w:pPr>
        <w:pStyle w:val="NormalHanging12a"/>
        <w:rPr>
          <w:szCs w:val="24"/>
        </w:rPr>
      </w:pPr>
      <w:r w:rsidRPr="008F7019">
        <w:t>7.</w:t>
      </w:r>
      <w:r w:rsidRPr="008F7019">
        <w:tab/>
        <w:t>препоръчва член 83 от ДФЕС да бъде изменен, така че да бъде приложимо засилено квалифицирано мнозинство, а не единодушие, каквото се изисква понастоящем; призовава в това отношение за задействане на клаузата за преход;</w:t>
      </w:r>
    </w:p>
    <w:p w:rsidR="006D2E15" w:rsidRPr="008F7019" w:rsidRDefault="006D2E15" w:rsidP="006D2E15">
      <w:pPr>
        <w:pStyle w:val="NormalHanging12a"/>
      </w:pPr>
      <w:r w:rsidRPr="008F7019">
        <w:t>8.</w:t>
      </w:r>
      <w:r w:rsidRPr="008F7019">
        <w:tab/>
        <w:t>подчертава, че бъдещото законодателство на ЕС за установяване на минимални стандарти относно определянето на престъпленията и санкциите за реч на омразата и за престъпленията от омраза трябва да защитава човешкото достойнство, да се стреми да предотвратява вреди, да гарантира равенство и да се бори срещу омразата и нетърпимостта независимо от мотивите за тях;</w:t>
      </w:r>
    </w:p>
    <w:p w:rsidR="006D2E15" w:rsidRPr="008F7019" w:rsidRDefault="006D2E15" w:rsidP="006D2E15">
      <w:pPr>
        <w:pStyle w:val="NormalHanging12a"/>
        <w:rPr>
          <w:szCs w:val="24"/>
        </w:rPr>
      </w:pPr>
      <w:r w:rsidRPr="008F7019">
        <w:t>9.</w:t>
      </w:r>
      <w:r w:rsidRPr="008F7019">
        <w:tab/>
        <w:t>припомня, че защитата трябва да бъде универсална, със специален акцент върху целевите лица и уязвимите групи и общности;</w:t>
      </w:r>
    </w:p>
    <w:p w:rsidR="006D2E15" w:rsidRPr="008F7019" w:rsidRDefault="006D2E15" w:rsidP="006D2E15">
      <w:pPr>
        <w:pStyle w:val="NormalHanging12a"/>
        <w:rPr>
          <w:szCs w:val="24"/>
        </w:rPr>
      </w:pPr>
      <w:r w:rsidRPr="008F7019">
        <w:t>10.</w:t>
      </w:r>
      <w:r w:rsidRPr="008F7019">
        <w:tab/>
        <w:t>припомня, че свободата на изразяване на мнение е основополагаща ценност на демократичните общества и не следва да бъде неоправдано ограничавана; освен това припомня, че всяко законодателство относно речта на омразата и престъпленията от омраза следва да се основава на принципите на необходимост и на пропорционалност; подчертава, че свободата на изразяване на мнение трябва да се упражнява в рамките на закона и в съответствие с член 11 от Хартата и не следва да се използва като щит за реч на омразата и за престъпления от омраза;</w:t>
      </w:r>
    </w:p>
    <w:p w:rsidR="006D2E15" w:rsidRPr="008F7019" w:rsidRDefault="006D2E15" w:rsidP="006D2E15">
      <w:pPr>
        <w:pStyle w:val="NormalHanging12a"/>
        <w:rPr>
          <w:szCs w:val="24"/>
        </w:rPr>
      </w:pPr>
      <w:r w:rsidRPr="008F7019">
        <w:t>11.</w:t>
      </w:r>
      <w:r w:rsidRPr="008F7019">
        <w:tab/>
        <w:t>изисква от Комисията да обмисли отворен подход, при който списъкът на причините за дискриминация няма да бъде ограничен до затворен списък, с цел ефективна борба срещу речта на омразата и престъпленията от омраза, мотивирани от нова и променяща се социална динамика;</w:t>
      </w:r>
    </w:p>
    <w:p w:rsidR="006D2E15" w:rsidRPr="008F7019" w:rsidRDefault="006D2E15" w:rsidP="006D2E15">
      <w:pPr>
        <w:pStyle w:val="NormalHanging12a"/>
      </w:pPr>
      <w:r w:rsidRPr="008F7019">
        <w:lastRenderedPageBreak/>
        <w:t>12.</w:t>
      </w:r>
      <w:r w:rsidRPr="008F7019">
        <w:tab/>
        <w:t>подчертава, че злоупотребите с интернет и с бизнес модела на платформите на социалните медии, основан на микроцелева реклама, допринасят за разпространението и засилването на речта на омразата, подбуждаща към дискриминация и насилие, и за увеличаването на риска от повторно превръщане в жертва; призовава Комисията и държавите членки да осигурят правилното прилагане на действащото законодателство, като например Регламент (ЕС) 2022/2065</w:t>
      </w:r>
      <w:r w:rsidRPr="008F7019">
        <w:rPr>
          <w:rStyle w:val="FootnoteReference"/>
        </w:rPr>
        <w:footnoteReference w:id="12"/>
      </w:r>
      <w:r w:rsidRPr="008F7019">
        <w:t>, и да използват всички средства и инструменти, с които разполагат, за да противодействат на разпространението на речта на омразата онлайн;</w:t>
      </w:r>
    </w:p>
    <w:p w:rsidR="006D2E15" w:rsidRPr="008F7019" w:rsidRDefault="006D2E15" w:rsidP="006D2E15">
      <w:pPr>
        <w:pStyle w:val="NormalHanging12a"/>
        <w:rPr>
          <w:szCs w:val="24"/>
        </w:rPr>
      </w:pPr>
      <w:r w:rsidRPr="008F7019">
        <w:t>13.</w:t>
      </w:r>
      <w:r w:rsidRPr="008F7019">
        <w:tab/>
        <w:t>припомня отговорността на публичните органи за предотвратяване, разследване, наказателно преследване и докладване на реч на омразата и на престъпленията от омраза, както и че те трябва да вземат предвид фактите, които показват омраза, когато предприемат тези действия; подчертава, че бъдещото законодателство на ЕС следва да подкрепя и насърчава тясното сътрудничество с гражданското общество, органите по въпросите на равенството и националните институции в областта на правата на човека;</w:t>
      </w:r>
    </w:p>
    <w:p w:rsidR="006D2E15" w:rsidRPr="008F7019" w:rsidRDefault="006D2E15" w:rsidP="006D2E15">
      <w:pPr>
        <w:pStyle w:val="NormalHanging12a"/>
      </w:pPr>
      <w:r w:rsidRPr="008F7019">
        <w:t>14.</w:t>
      </w:r>
      <w:r w:rsidRPr="008F7019">
        <w:tab/>
        <w:t>призовава Комисията и държавите членки да обърнат специално внимание на малолетните и непълнолетните лица, включително принадлежащите към уязвими групи, за да им се предостави специална защита от реч на омразата и от престъпления от омраза, да се предотврати възникването на тези инциденти, включително малтретиране в училище и кибертормоз, и да се сведе до минимум тяхното въздействие върху развитието и психичното здраве на малолетните и непълнолетните лица;</w:t>
      </w:r>
    </w:p>
    <w:p w:rsidR="006D2E15" w:rsidRPr="008F7019" w:rsidRDefault="006D2E15" w:rsidP="006D2E15">
      <w:pPr>
        <w:pStyle w:val="NormalHanging12a"/>
        <w:rPr>
          <w:szCs w:val="24"/>
        </w:rPr>
      </w:pPr>
      <w:r w:rsidRPr="008F7019">
        <w:t>15.</w:t>
      </w:r>
      <w:r w:rsidRPr="008F7019">
        <w:tab/>
        <w:t>призовава Комисията да гарантира, че е въведена стабилна нормативна рамка на ЕС за правна защита, така че жертвите да бъдат ефективно защитени, и особено тези от всички уязвими групи в целия ЕС; подчертава необходимостта от прилагане на междусекторен подход и значението на приемането на всеобхватни мерки, включително предоставяне на обучение на специалисти, за които има вероятност да влязат в контакт с жертвите, както и мерки за осигуряване на защита, безопасен достъп до независимо правосъдие, специализирани услуги за подкрепа и обезщетения за жертвите; подчертава, че жертвите следва да могат да съобщават своя опит на компетентните органи и да бъдат защитени; припомня, че гарантирането на правна защита на жертвите би създало безопасна среда, която би допринесла за подобряване на докладването, което е необходимо за документирането на речта на омразата и на престъпленията от омраза;</w:t>
      </w:r>
    </w:p>
    <w:p w:rsidR="006D2E15" w:rsidRPr="008F7019" w:rsidRDefault="006D2E15" w:rsidP="006D2E15">
      <w:pPr>
        <w:pStyle w:val="NormalHanging12a"/>
        <w:rPr>
          <w:szCs w:val="24"/>
        </w:rPr>
      </w:pPr>
      <w:r w:rsidRPr="008F7019">
        <w:t>16.</w:t>
      </w:r>
      <w:r w:rsidRPr="008F7019">
        <w:tab/>
        <w:t xml:space="preserve">призовава Комисията и държавите членки, в сътрудничество със съответните органи и агенции на Съюза, да създадат подходящи системи за събиране на данни с цел получаване на солидни, сравними, групирани и анонимни данни относно инциденти, свързани с омраза, включително престъпления от омраза, в съответствие със съответните национални правни рамки и законодателството на ЕС за защита на данните, както и подходящи механизми за мониторинг с цел подобряване на редовната наличност, съпоставимостта и качеството на събраните данни и оценка на въздействието на това законодателство и тези политики върху </w:t>
      </w:r>
      <w:r w:rsidRPr="008F7019">
        <w:lastRenderedPageBreak/>
        <w:t>борбата срещу речта на омразата и престъпленията от омраза;</w:t>
      </w:r>
    </w:p>
    <w:p w:rsidR="006D2E15" w:rsidRPr="008F7019" w:rsidRDefault="006D2E15" w:rsidP="006D2E15">
      <w:pPr>
        <w:pStyle w:val="NormalHanging12a"/>
      </w:pPr>
      <w:r w:rsidRPr="008F7019">
        <w:t>17.</w:t>
      </w:r>
      <w:r w:rsidRPr="008F7019">
        <w:tab/>
        <w:t>възлага на своя председател да предаде настоящата резолюция съответно на Съвета и на Комисията.</w:t>
      </w:r>
    </w:p>
    <w:p w:rsidR="00E365E1" w:rsidRPr="008F7019" w:rsidRDefault="00E365E1" w:rsidP="009E0483">
      <w:bookmarkStart w:id="9" w:name="TextBodyEnd"/>
      <w:bookmarkEnd w:id="9"/>
    </w:p>
    <w:sectPr w:rsidR="00E365E1" w:rsidRPr="008F7019" w:rsidSect="008F701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483" w:rsidRPr="008F7019" w:rsidRDefault="009E0483">
      <w:r w:rsidRPr="008F7019">
        <w:separator/>
      </w:r>
    </w:p>
  </w:endnote>
  <w:endnote w:type="continuationSeparator" w:id="0">
    <w:p w:rsidR="009E0483" w:rsidRPr="008F7019" w:rsidRDefault="009E0483">
      <w:r w:rsidRPr="008F70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483" w:rsidRPr="008F7019" w:rsidRDefault="009E0483">
      <w:r w:rsidRPr="008F7019">
        <w:separator/>
      </w:r>
    </w:p>
  </w:footnote>
  <w:footnote w:type="continuationSeparator" w:id="0">
    <w:p w:rsidR="009E0483" w:rsidRPr="008F7019" w:rsidRDefault="009E0483">
      <w:r w:rsidRPr="008F7019">
        <w:continuationSeparator/>
      </w:r>
    </w:p>
  </w:footnote>
  <w:footnote w:id="1">
    <w:p w:rsidR="006D2E15" w:rsidRPr="008F7019" w:rsidRDefault="006D2E15" w:rsidP="008F7019">
      <w:pPr>
        <w:pStyle w:val="FootnoteText"/>
        <w:ind w:left="567" w:hanging="567"/>
        <w:rPr>
          <w:sz w:val="24"/>
          <w:lang w:val="bg-BG"/>
        </w:rPr>
      </w:pPr>
      <w:r w:rsidRPr="008F7019">
        <w:rPr>
          <w:rStyle w:val="FootnoteReference"/>
          <w:sz w:val="24"/>
          <w:lang w:val="bg-BG"/>
        </w:rPr>
        <w:footnoteRef/>
      </w:r>
      <w:r w:rsidR="008F7019" w:rsidRPr="008F7019">
        <w:rPr>
          <w:sz w:val="24"/>
          <w:lang w:val="bg-BG"/>
        </w:rPr>
        <w:t xml:space="preserve"> </w:t>
      </w:r>
      <w:r w:rsidR="008F7019" w:rsidRPr="008F7019">
        <w:rPr>
          <w:sz w:val="24"/>
          <w:lang w:val="bg-BG"/>
        </w:rPr>
        <w:tab/>
      </w:r>
      <w:r w:rsidRPr="008F7019">
        <w:rPr>
          <w:sz w:val="24"/>
          <w:lang w:val="bg-BG"/>
        </w:rPr>
        <w:t>ОВ L 328, 6.12.2008 г., стр. 55.</w:t>
      </w:r>
    </w:p>
  </w:footnote>
  <w:footnote w:id="2">
    <w:p w:rsidR="006D2E15" w:rsidRPr="008F7019" w:rsidRDefault="006D2E15" w:rsidP="008F7019">
      <w:pPr>
        <w:pStyle w:val="FootnoteText"/>
        <w:ind w:left="567" w:hanging="567"/>
        <w:rPr>
          <w:sz w:val="24"/>
          <w:lang w:val="bg-BG"/>
        </w:rPr>
      </w:pPr>
      <w:r w:rsidRPr="008F7019">
        <w:rPr>
          <w:rStyle w:val="FootnoteReference"/>
          <w:sz w:val="24"/>
          <w:lang w:val="bg-BG"/>
        </w:rPr>
        <w:footnoteRef/>
      </w:r>
      <w:r w:rsidR="008F7019" w:rsidRPr="008F7019">
        <w:rPr>
          <w:sz w:val="24"/>
          <w:lang w:val="bg-BG"/>
        </w:rPr>
        <w:t xml:space="preserve"> </w:t>
      </w:r>
      <w:r w:rsidR="008F7019" w:rsidRPr="008F7019">
        <w:rPr>
          <w:sz w:val="24"/>
          <w:lang w:val="bg-BG"/>
        </w:rPr>
        <w:tab/>
      </w:r>
      <w:r w:rsidRPr="008F7019">
        <w:rPr>
          <w:sz w:val="24"/>
          <w:lang w:val="bg-BG"/>
        </w:rPr>
        <w:t>OВ C 425, 20.10.2021 г., стp. 28.</w:t>
      </w:r>
    </w:p>
  </w:footnote>
  <w:footnote w:id="3">
    <w:p w:rsidR="006D2E15" w:rsidRPr="008F7019" w:rsidRDefault="006D2E15" w:rsidP="008F7019">
      <w:pPr>
        <w:pStyle w:val="FootnoteText"/>
        <w:ind w:left="567" w:hanging="567"/>
        <w:rPr>
          <w:sz w:val="24"/>
          <w:lang w:val="bg-BG"/>
        </w:rPr>
      </w:pPr>
      <w:r w:rsidRPr="008F7019">
        <w:rPr>
          <w:rStyle w:val="FootnoteReference"/>
          <w:sz w:val="24"/>
          <w:lang w:val="bg-BG"/>
        </w:rPr>
        <w:footnoteRef/>
      </w:r>
      <w:r w:rsidR="008F7019" w:rsidRPr="008F7019">
        <w:rPr>
          <w:sz w:val="24"/>
          <w:lang w:val="bg-BG"/>
        </w:rPr>
        <w:t xml:space="preserve"> </w:t>
      </w:r>
      <w:r w:rsidR="008F7019" w:rsidRPr="008F7019">
        <w:rPr>
          <w:sz w:val="24"/>
          <w:lang w:val="bg-BG"/>
        </w:rPr>
        <w:tab/>
      </w:r>
      <w:r w:rsidRPr="008F7019">
        <w:rPr>
          <w:sz w:val="24"/>
          <w:lang w:val="bg-BG"/>
        </w:rPr>
        <w:t>ОВ C 117, 11.3.2022 г., стр. 88.</w:t>
      </w:r>
    </w:p>
  </w:footnote>
  <w:footnote w:id="4">
    <w:p w:rsidR="006D2E15" w:rsidRPr="008F7019" w:rsidRDefault="006D2E15" w:rsidP="008F7019">
      <w:pPr>
        <w:pStyle w:val="FootnoteText"/>
        <w:ind w:left="567" w:hanging="567"/>
        <w:rPr>
          <w:sz w:val="24"/>
          <w:lang w:val="bg-BG"/>
        </w:rPr>
      </w:pPr>
      <w:r w:rsidRPr="008F7019">
        <w:rPr>
          <w:rStyle w:val="FootnoteReference"/>
          <w:sz w:val="24"/>
          <w:lang w:val="bg-BG"/>
        </w:rPr>
        <w:footnoteRef/>
      </w:r>
      <w:r w:rsidR="008F7019" w:rsidRPr="008F7019">
        <w:rPr>
          <w:sz w:val="24"/>
          <w:lang w:val="bg-BG"/>
        </w:rPr>
        <w:t xml:space="preserve"> </w:t>
      </w:r>
      <w:r w:rsidR="008F7019" w:rsidRPr="008F7019">
        <w:rPr>
          <w:sz w:val="24"/>
          <w:lang w:val="bg-BG"/>
        </w:rPr>
        <w:tab/>
      </w:r>
      <w:r w:rsidRPr="008F7019">
        <w:rPr>
          <w:sz w:val="24"/>
          <w:lang w:val="bg-BG"/>
        </w:rPr>
        <w:t>ОВ C 363, 28.10.2020 г., стр. 13.</w:t>
      </w:r>
    </w:p>
  </w:footnote>
  <w:footnote w:id="5">
    <w:p w:rsidR="006D2E15" w:rsidRPr="008F7019" w:rsidRDefault="006D2E15" w:rsidP="008F7019">
      <w:pPr>
        <w:pStyle w:val="FootnoteText"/>
        <w:ind w:left="567" w:hanging="567"/>
        <w:rPr>
          <w:sz w:val="24"/>
          <w:lang w:val="bg-BG"/>
        </w:rPr>
      </w:pPr>
      <w:r w:rsidRPr="008F7019">
        <w:rPr>
          <w:rStyle w:val="FootnoteReference"/>
          <w:sz w:val="24"/>
          <w:lang w:val="bg-BG"/>
        </w:rPr>
        <w:footnoteRef/>
      </w:r>
      <w:r w:rsidR="008F7019" w:rsidRPr="008F7019">
        <w:rPr>
          <w:sz w:val="24"/>
          <w:lang w:val="bg-BG"/>
        </w:rPr>
        <w:t xml:space="preserve"> </w:t>
      </w:r>
      <w:r w:rsidR="008F7019" w:rsidRPr="008F7019">
        <w:rPr>
          <w:sz w:val="24"/>
          <w:lang w:val="bg-BG"/>
        </w:rPr>
        <w:tab/>
      </w:r>
      <w:r w:rsidRPr="008F7019">
        <w:rPr>
          <w:sz w:val="24"/>
          <w:lang w:val="bg-BG"/>
        </w:rPr>
        <w:t xml:space="preserve">Решение на Съда от 30 април 1996 г., </w:t>
      </w:r>
      <w:r w:rsidRPr="008F7019">
        <w:rPr>
          <w:i/>
          <w:iCs/>
          <w:sz w:val="24"/>
          <w:lang w:val="bg-BG"/>
        </w:rPr>
        <w:t>P / S и Cornwall County Council</w:t>
      </w:r>
      <w:r w:rsidRPr="008F7019">
        <w:rPr>
          <w:sz w:val="24"/>
          <w:lang w:val="bg-BG"/>
        </w:rPr>
        <w:t xml:space="preserve">, C-13/94, ECLI:EU:C:1996:170; решение на Съда от 7 януари 2004 г., </w:t>
      </w:r>
      <w:r w:rsidRPr="008F7019">
        <w:rPr>
          <w:i/>
          <w:iCs/>
          <w:sz w:val="24"/>
          <w:lang w:val="bg-BG"/>
        </w:rPr>
        <w:t>К.В.</w:t>
      </w:r>
      <w:r w:rsidRPr="008F7019">
        <w:rPr>
          <w:sz w:val="24"/>
          <w:lang w:val="bg-BG"/>
        </w:rPr>
        <w:t xml:space="preserve"> / </w:t>
      </w:r>
      <w:r w:rsidRPr="008F7019">
        <w:rPr>
          <w:i/>
          <w:sz w:val="24"/>
          <w:lang w:val="bg-BG"/>
        </w:rPr>
        <w:t>National Health Service Pensions Agency и Secretary of State for Health</w:t>
      </w:r>
      <w:r w:rsidRPr="008F7019">
        <w:rPr>
          <w:sz w:val="24"/>
          <w:lang w:val="bg-BG"/>
        </w:rPr>
        <w:t xml:space="preserve">, C-117/01, ECLI:EU:C:2004:7; решение на Съда от 27 април 2006 г., </w:t>
      </w:r>
      <w:r w:rsidRPr="008F7019">
        <w:rPr>
          <w:i/>
          <w:sz w:val="24"/>
          <w:lang w:val="bg-BG"/>
        </w:rPr>
        <w:t>Sarah Margaret Richards</w:t>
      </w:r>
      <w:r w:rsidRPr="008F7019">
        <w:rPr>
          <w:sz w:val="24"/>
          <w:lang w:val="bg-BG"/>
        </w:rPr>
        <w:t xml:space="preserve"> / </w:t>
      </w:r>
      <w:r w:rsidRPr="008F7019">
        <w:rPr>
          <w:i/>
          <w:sz w:val="24"/>
          <w:lang w:val="bg-BG"/>
        </w:rPr>
        <w:t>Secretary of State for Work and Pensions</w:t>
      </w:r>
      <w:r w:rsidRPr="008F7019">
        <w:rPr>
          <w:sz w:val="24"/>
          <w:lang w:val="bg-BG"/>
        </w:rPr>
        <w:t xml:space="preserve">, C-423/04, ECLI:EU:C:2006:256; и решение на Съда от 26 юни 2018 г., </w:t>
      </w:r>
      <w:r w:rsidRPr="008F7019">
        <w:rPr>
          <w:i/>
          <w:sz w:val="24"/>
          <w:lang w:val="bg-BG"/>
        </w:rPr>
        <w:t>M.B</w:t>
      </w:r>
      <w:r w:rsidRPr="008F7019">
        <w:rPr>
          <w:sz w:val="24"/>
          <w:lang w:val="bg-BG"/>
        </w:rPr>
        <w:t xml:space="preserve">. / </w:t>
      </w:r>
      <w:r w:rsidRPr="008F7019">
        <w:rPr>
          <w:i/>
          <w:sz w:val="24"/>
          <w:lang w:val="bg-BG"/>
        </w:rPr>
        <w:t>Secretary of State for Work and Pensions</w:t>
      </w:r>
      <w:r w:rsidRPr="008F7019">
        <w:rPr>
          <w:sz w:val="24"/>
          <w:lang w:val="bg-BG"/>
        </w:rPr>
        <w:t>, C-451/16, ECLI:EU:C:2018:492.</w:t>
      </w:r>
    </w:p>
  </w:footnote>
  <w:footnote w:id="6">
    <w:p w:rsidR="006D2E15" w:rsidRPr="008F7019" w:rsidRDefault="006D2E15" w:rsidP="008F7019">
      <w:pPr>
        <w:pStyle w:val="FootnoteText"/>
        <w:ind w:left="567" w:hanging="567"/>
        <w:rPr>
          <w:sz w:val="24"/>
          <w:lang w:val="bg-BG"/>
        </w:rPr>
      </w:pPr>
      <w:r w:rsidRPr="008F7019">
        <w:rPr>
          <w:rStyle w:val="FootnoteReference"/>
          <w:sz w:val="24"/>
          <w:lang w:val="bg-BG"/>
        </w:rPr>
        <w:footnoteRef/>
      </w:r>
      <w:r w:rsidR="008F7019" w:rsidRPr="008F7019">
        <w:rPr>
          <w:sz w:val="24"/>
          <w:lang w:val="bg-BG"/>
        </w:rPr>
        <w:t xml:space="preserve"> </w:t>
      </w:r>
      <w:r w:rsidR="008F7019" w:rsidRPr="008F7019">
        <w:rPr>
          <w:sz w:val="24"/>
          <w:lang w:val="bg-BG"/>
        </w:rPr>
        <w:tab/>
      </w:r>
      <w:r w:rsidRPr="008F7019">
        <w:rPr>
          <w:sz w:val="24"/>
          <w:lang w:val="bg-BG"/>
        </w:rPr>
        <w:t>Годишни данни на Бюрото на ОССЕ за демократични институции и права на човека относно престъпленията от омраза.</w:t>
      </w:r>
    </w:p>
  </w:footnote>
  <w:footnote w:id="7">
    <w:p w:rsidR="006D2E15" w:rsidRPr="008F7019" w:rsidRDefault="006D2E15" w:rsidP="008F7019">
      <w:pPr>
        <w:pStyle w:val="FootnoteText"/>
        <w:ind w:left="567" w:hanging="567"/>
        <w:rPr>
          <w:sz w:val="24"/>
          <w:lang w:val="bg-BG"/>
        </w:rPr>
      </w:pPr>
      <w:r w:rsidRPr="008F7019">
        <w:rPr>
          <w:rStyle w:val="FootnoteReference"/>
          <w:sz w:val="24"/>
          <w:lang w:val="bg-BG"/>
        </w:rPr>
        <w:footnoteRef/>
      </w:r>
      <w:r w:rsidR="008F7019" w:rsidRPr="008F7019">
        <w:rPr>
          <w:sz w:val="24"/>
          <w:lang w:val="bg-BG"/>
        </w:rPr>
        <w:t xml:space="preserve"> </w:t>
      </w:r>
      <w:r w:rsidR="008F7019" w:rsidRPr="008F7019">
        <w:rPr>
          <w:sz w:val="24"/>
          <w:lang w:val="bg-BG"/>
        </w:rPr>
        <w:tab/>
      </w:r>
      <w:r w:rsidRPr="008F7019">
        <w:rPr>
          <w:sz w:val="24"/>
          <w:lang w:val="bg-BG"/>
        </w:rPr>
        <w:t>Вж. например годишния доклад за дейностите на ЕКРН за периода от 1 януари до 31 декември 2019 г. и годишния доклад за дейностите на ЕКРН за периода от 1 януари до 31 декември 2020 г., както и проучването, възложено от Тематичния отдел по граждански права и конституционни въпроси на Европейския парламент, озаглавено „Реч на омразата и престъпления от омраза в ЕС и оценка на подходите за регулиране на онлайн съдържание“, публикувани през юли 2020 г.</w:t>
      </w:r>
    </w:p>
  </w:footnote>
  <w:footnote w:id="8">
    <w:p w:rsidR="006D2E15" w:rsidRPr="008F7019" w:rsidRDefault="006D2E15" w:rsidP="008F7019">
      <w:pPr>
        <w:pStyle w:val="FootnoteText"/>
        <w:ind w:left="567" w:hanging="567"/>
        <w:rPr>
          <w:sz w:val="24"/>
          <w:lang w:val="bg-BG"/>
        </w:rPr>
      </w:pPr>
      <w:r w:rsidRPr="008F7019">
        <w:rPr>
          <w:rStyle w:val="FootnoteReference"/>
          <w:sz w:val="24"/>
          <w:lang w:val="bg-BG"/>
        </w:rPr>
        <w:footnoteRef/>
      </w:r>
      <w:r w:rsidR="008F7019" w:rsidRPr="008F7019">
        <w:rPr>
          <w:sz w:val="24"/>
          <w:lang w:val="bg-BG"/>
        </w:rPr>
        <w:t xml:space="preserve"> </w:t>
      </w:r>
      <w:r w:rsidR="008F7019" w:rsidRPr="008F7019">
        <w:rPr>
          <w:sz w:val="24"/>
          <w:lang w:val="bg-BG"/>
        </w:rPr>
        <w:tab/>
      </w:r>
      <w:r w:rsidRPr="008F7019">
        <w:rPr>
          <w:sz w:val="24"/>
          <w:lang w:val="bg-BG"/>
        </w:rPr>
        <w:t>Lingaas, C., „</w:t>
      </w:r>
      <w:hyperlink r:id="rId1" w:history="1">
        <w:r w:rsidRPr="008F7019">
          <w:rPr>
            <w:rStyle w:val="Hyperlink"/>
            <w:sz w:val="24"/>
            <w:lang w:val="bg-BG"/>
          </w:rPr>
          <w:t>Hate Speech and Racialised Discrimination of the Norwegian Sámi:</w:t>
        </w:r>
      </w:hyperlink>
      <w:r w:rsidRPr="008F7019">
        <w:rPr>
          <w:sz w:val="24"/>
          <w:lang w:val="bg-BG"/>
        </w:rPr>
        <w:t xml:space="preserve"> (Реч на омразата и основана на расата дискриминация на норвежката народност сáми:)</w:t>
      </w:r>
      <w:hyperlink r:id="rId2" w:history="1">
        <w:r w:rsidRPr="008F7019">
          <w:rPr>
            <w:rStyle w:val="Hyperlink"/>
            <w:sz w:val="24"/>
            <w:lang w:val="bg-BG"/>
          </w:rPr>
          <w:t xml:space="preserve"> Legal Responses and Responsibility</w:t>
        </w:r>
      </w:hyperlink>
      <w:r w:rsidRPr="008F7019">
        <w:rPr>
          <w:sz w:val="24"/>
          <w:lang w:val="bg-BG"/>
        </w:rPr>
        <w:t xml:space="preserve">“ (Правни отговори и отговорност), </w:t>
      </w:r>
      <w:r w:rsidRPr="008F7019">
        <w:rPr>
          <w:i/>
          <w:sz w:val="24"/>
          <w:lang w:val="bg-BG"/>
        </w:rPr>
        <w:t>Oslo Law Review</w:t>
      </w:r>
      <w:r w:rsidRPr="008F7019">
        <w:rPr>
          <w:sz w:val="24"/>
          <w:lang w:val="bg-BG"/>
        </w:rPr>
        <w:t xml:space="preserve">, Vol. 8, No 2, 2021 г., стр. 88-107. </w:t>
      </w:r>
    </w:p>
  </w:footnote>
  <w:footnote w:id="9">
    <w:p w:rsidR="006D2E15" w:rsidRPr="008F7019" w:rsidRDefault="006D2E15" w:rsidP="008F7019">
      <w:pPr>
        <w:pStyle w:val="FootnoteText"/>
        <w:ind w:left="567" w:hanging="567"/>
        <w:rPr>
          <w:sz w:val="24"/>
          <w:lang w:val="bg-BG"/>
        </w:rPr>
      </w:pPr>
      <w:r w:rsidRPr="008F7019">
        <w:rPr>
          <w:rStyle w:val="FootnoteReference"/>
          <w:sz w:val="24"/>
          <w:lang w:val="bg-BG"/>
        </w:rPr>
        <w:footnoteRef/>
      </w:r>
      <w:r w:rsidR="008F7019" w:rsidRPr="008F7019">
        <w:rPr>
          <w:sz w:val="24"/>
          <w:lang w:val="bg-BG"/>
        </w:rPr>
        <w:t xml:space="preserve"> </w:t>
      </w:r>
      <w:r w:rsidR="008F7019" w:rsidRPr="008F7019">
        <w:rPr>
          <w:sz w:val="24"/>
          <w:lang w:val="bg-BG"/>
        </w:rPr>
        <w:tab/>
      </w:r>
      <w:r w:rsidRPr="008F7019">
        <w:rPr>
          <w:sz w:val="24"/>
          <w:lang w:val="bg-BG"/>
        </w:rPr>
        <w:t>Civil Rights Defenders, „</w:t>
      </w:r>
      <w:hyperlink r:id="rId3" w:history="1">
        <w:r w:rsidRPr="008F7019">
          <w:rPr>
            <w:rStyle w:val="Hyperlink"/>
            <w:sz w:val="24"/>
            <w:lang w:val="bg-BG"/>
          </w:rPr>
          <w:t>Joint submission to the UN Universal Periodic Review of Sweden –35th Session of the UPR Working Group of the Human Rights Council – January 2020</w:t>
        </w:r>
      </w:hyperlink>
      <w:r w:rsidRPr="008F7019">
        <w:rPr>
          <w:sz w:val="24"/>
          <w:lang w:val="bg-BG"/>
        </w:rPr>
        <w:t>“ (Съвместен принос към Универсалния периодичен преглед (УПП) на ООН относно Швеция – 35-а сесия на Работната група за УПП към Съвета по правата на човека - януари 2020 г. ), 2019 г.</w:t>
      </w:r>
    </w:p>
  </w:footnote>
  <w:footnote w:id="10">
    <w:p w:rsidR="006D2E15" w:rsidRPr="008F7019" w:rsidRDefault="006D2E15" w:rsidP="008F7019">
      <w:pPr>
        <w:pStyle w:val="FootnoteText"/>
        <w:ind w:left="567" w:hanging="567"/>
        <w:rPr>
          <w:sz w:val="24"/>
          <w:lang w:val="bg-BG"/>
        </w:rPr>
      </w:pPr>
      <w:r w:rsidRPr="008F7019">
        <w:rPr>
          <w:rStyle w:val="FootnoteReference"/>
          <w:sz w:val="24"/>
          <w:lang w:val="bg-BG"/>
        </w:rPr>
        <w:footnoteRef/>
      </w:r>
      <w:r w:rsidR="008F7019" w:rsidRPr="008F7019">
        <w:rPr>
          <w:sz w:val="24"/>
          <w:lang w:val="bg-BG"/>
        </w:rPr>
        <w:t xml:space="preserve"> </w:t>
      </w:r>
      <w:r w:rsidR="008F7019" w:rsidRPr="008F7019">
        <w:rPr>
          <w:sz w:val="24"/>
          <w:lang w:val="bg-BG"/>
        </w:rPr>
        <w:tab/>
      </w:r>
      <w:r w:rsidRPr="008F7019">
        <w:rPr>
          <w:sz w:val="24"/>
          <w:lang w:val="bg-BG"/>
        </w:rPr>
        <w:t>ILGA Europe, „Годишен преглед за 2023 г. на положението с правата на човека на лесбийките, гейовете, бисексуалните, транссексуалните и интерсексуалните лица в Европа и Централна Азия“, февруари 2023 г.</w:t>
      </w:r>
    </w:p>
  </w:footnote>
  <w:footnote w:id="11">
    <w:p w:rsidR="006D2E15" w:rsidRPr="008F7019" w:rsidRDefault="006D2E15" w:rsidP="008F7019">
      <w:pPr>
        <w:pStyle w:val="FootnoteText"/>
        <w:ind w:left="567" w:hanging="567"/>
        <w:rPr>
          <w:sz w:val="24"/>
          <w:lang w:val="bg-BG"/>
        </w:rPr>
      </w:pPr>
      <w:r w:rsidRPr="008F7019">
        <w:rPr>
          <w:rStyle w:val="FootnoteReference"/>
          <w:sz w:val="24"/>
          <w:lang w:val="bg-BG"/>
        </w:rPr>
        <w:footnoteRef/>
      </w:r>
      <w:r w:rsidR="008F7019" w:rsidRPr="008F7019">
        <w:rPr>
          <w:sz w:val="24"/>
          <w:lang w:val="bg-BG"/>
        </w:rPr>
        <w:t xml:space="preserve"> </w:t>
      </w:r>
      <w:r w:rsidR="008F7019" w:rsidRPr="008F7019">
        <w:rPr>
          <w:sz w:val="24"/>
          <w:lang w:val="bg-BG"/>
        </w:rPr>
        <w:tab/>
      </w:r>
      <w:r w:rsidRPr="008F7019">
        <w:rPr>
          <w:sz w:val="24"/>
          <w:lang w:val="bg-BG"/>
        </w:rPr>
        <w:t>Агенция на Европейския съюз за основните права, „</w:t>
      </w:r>
      <w:hyperlink r:id="rId4" w:history="1">
        <w:r w:rsidRPr="008F7019">
          <w:rPr>
            <w:rStyle w:val="Hyperlink"/>
            <w:sz w:val="24"/>
            <w:lang w:val="bg-BG"/>
          </w:rPr>
          <w:t>Насърчаване на докладването на престъпления от омраза — ролята на правоприлагащите и други органи</w:t>
        </w:r>
      </w:hyperlink>
      <w:r w:rsidR="00B157F3">
        <w:rPr>
          <w:sz w:val="24"/>
          <w:lang w:val="bg-BG"/>
        </w:rPr>
        <w:t>“, 2021 </w:t>
      </w:r>
      <w:r w:rsidRPr="008F7019">
        <w:rPr>
          <w:sz w:val="24"/>
          <w:lang w:val="bg-BG"/>
        </w:rPr>
        <w:t>г.</w:t>
      </w:r>
    </w:p>
  </w:footnote>
  <w:footnote w:id="12">
    <w:p w:rsidR="006D2E15" w:rsidRPr="008F7019" w:rsidRDefault="006D2E15" w:rsidP="008F7019">
      <w:pPr>
        <w:pStyle w:val="FootnoteText"/>
        <w:ind w:left="567" w:hanging="567"/>
        <w:rPr>
          <w:sz w:val="24"/>
          <w:lang w:val="bg-BG"/>
        </w:rPr>
      </w:pPr>
      <w:r w:rsidRPr="008F7019">
        <w:rPr>
          <w:rStyle w:val="FootnoteReference"/>
          <w:sz w:val="24"/>
          <w:lang w:val="bg-BG"/>
        </w:rPr>
        <w:footnoteRef/>
      </w:r>
      <w:r w:rsidR="008F7019" w:rsidRPr="008F7019">
        <w:rPr>
          <w:sz w:val="24"/>
          <w:lang w:val="bg-BG"/>
        </w:rPr>
        <w:t xml:space="preserve"> </w:t>
      </w:r>
      <w:r w:rsidR="008F7019" w:rsidRPr="008F7019">
        <w:rPr>
          <w:sz w:val="24"/>
          <w:lang w:val="bg-BG"/>
        </w:rPr>
        <w:tab/>
      </w:r>
      <w:r w:rsidRPr="008F7019">
        <w:rPr>
          <w:sz w:val="24"/>
          <w:lang w:val="bg-BG"/>
        </w:rPr>
        <w:t>Регламент (ЕС) 2022/2065 на Европейския парламент и на Съвета от 19 октомври 2022 г. относно единния пазар на цифрови услуги и за изменение на Директива 2000/31/ЕО (Законодателен акт за цифровите услуги) (ОВ L 277, 27.10.2022 г., стр.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7/2023"/>
    <w:docVar w:name="dvlangue" w:val="BG"/>
    <w:docVar w:name="dvnumam" w:val="0"/>
    <w:docVar w:name="dvpe" w:val="750.074"/>
    <w:docVar w:name="dvrapporteur" w:val="Докладчик: "/>
    <w:docVar w:name="dvtitre" w:val="Резолюция на Европейския парламент от ... 2024 г. относно разширяването на списъка на престъпленията, установени на равнището на ЕС, за да обхване речта на омразата и престъпленията от омраза(2023/2068(INI))"/>
  </w:docVars>
  <w:rsids>
    <w:rsidRoot w:val="009E048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2E1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7019"/>
    <w:rsid w:val="00930C23"/>
    <w:rsid w:val="0093193B"/>
    <w:rsid w:val="009509D8"/>
    <w:rsid w:val="00950B64"/>
    <w:rsid w:val="00981893"/>
    <w:rsid w:val="009E0483"/>
    <w:rsid w:val="00A1687D"/>
    <w:rsid w:val="00A43E52"/>
    <w:rsid w:val="00A4678D"/>
    <w:rsid w:val="00A778C7"/>
    <w:rsid w:val="00A97B1D"/>
    <w:rsid w:val="00AB441E"/>
    <w:rsid w:val="00AB6293"/>
    <w:rsid w:val="00AE0928"/>
    <w:rsid w:val="00AF3B82"/>
    <w:rsid w:val="00B12E95"/>
    <w:rsid w:val="00B157F3"/>
    <w:rsid w:val="00B22876"/>
    <w:rsid w:val="00B558F0"/>
    <w:rsid w:val="00BD48FE"/>
    <w:rsid w:val="00BD7BD8"/>
    <w:rsid w:val="00BE6ADC"/>
    <w:rsid w:val="00C05BFE"/>
    <w:rsid w:val="00C15CAF"/>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BC608"/>
  <w15:chartTrackingRefBased/>
  <w15:docId w15:val="{1F440FAF-2119-4095-B92D-272CD9029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D2E15"/>
    <w:pPr>
      <w:spacing w:after="240"/>
      <w:ind w:left="567" w:hanging="567"/>
    </w:pPr>
  </w:style>
  <w:style w:type="paragraph" w:customStyle="1" w:styleId="EPComma">
    <w:name w:val="EPComma"/>
    <w:basedOn w:val="Normal"/>
    <w:rsid w:val="006D2E15"/>
    <w:pPr>
      <w:spacing w:before="480" w:after="240"/>
    </w:pPr>
  </w:style>
  <w:style w:type="character" w:customStyle="1" w:styleId="Italic">
    <w:name w:val="Italic"/>
    <w:uiPriority w:val="1"/>
    <w:rsid w:val="006D2E15"/>
    <w:rPr>
      <w:i/>
      <w:iCs w:val="0"/>
    </w:rPr>
  </w:style>
  <w:style w:type="character" w:customStyle="1" w:styleId="NormalHanging12aChar">
    <w:name w:val="NormalHanging12a Char"/>
    <w:basedOn w:val="DefaultParagraphFont"/>
    <w:link w:val="NormalHanging12a"/>
    <w:rsid w:val="006D2E15"/>
    <w:rPr>
      <w:sz w:val="24"/>
      <w:lang w:val="bg-BG"/>
    </w:rPr>
  </w:style>
  <w:style w:type="paragraph" w:customStyle="1" w:styleId="Normal12Hanging">
    <w:name w:val="Normal12Hanging"/>
    <w:basedOn w:val="Normal"/>
    <w:rsid w:val="006D2E15"/>
    <w:pPr>
      <w:spacing w:after="240"/>
      <w:ind w:left="567" w:hanging="567"/>
    </w:pPr>
  </w:style>
  <w:style w:type="character" w:styleId="Hyperlink">
    <w:name w:val="Hyperlink"/>
    <w:basedOn w:val="DefaultParagraphFont"/>
    <w:rsid w:val="006D2E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crd.org/wp-content/uploads/2019/08/Civil-Rights-Defenders-Joint-UPR-Submission-Sweden-2020.pdf" TargetMode="External"/><Relationship Id="rId2" Type="http://schemas.openxmlformats.org/officeDocument/2006/relationships/hyperlink" Target="https://www.idunn.no/doi/10.18261/issn.2387-3299-2021-02-02" TargetMode="External"/><Relationship Id="rId1" Type="http://schemas.openxmlformats.org/officeDocument/2006/relationships/hyperlink" Target="https://www.idunn.no/doi/10.18261/issn.2387-3299-2021-02-02" TargetMode="External"/><Relationship Id="rId4" Type="http://schemas.openxmlformats.org/officeDocument/2006/relationships/hyperlink" Target="https://fra.europa.eu/sites/default/files/fra_uploads/fra-2021-hate-crime-reporting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E4B58-4AD9-4FA7-9DB7-38F1F8888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3484</Words>
  <Characters>21047</Characters>
  <Application>Microsoft Office Word</Application>
  <DocSecurity>0</DocSecurity>
  <Lines>478</Lines>
  <Paragraphs>194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2024-02-15T13:43:00Z</dcterms:created>
  <dcterms:modified xsi:type="dcterms:W3CDTF">2024-02-15T13:43:00Z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A9-0377/2023</vt:lpwstr>
  </property>
  <property fmtid="{D5CDD505-2E9C-101B-9397-08002B2CF9AE}" pid="4" name="&lt;Type&gt;">
    <vt:lpwstr>RR</vt:lpwstr>
  </property>
</Properties>
</file>