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7357" w:rsidTr="0010095E">
        <w:trPr>
          <w:trHeight w:hRule="exact" w:val="1418"/>
        </w:trPr>
        <w:tc>
          <w:tcPr>
            <w:tcW w:w="6804" w:type="dxa"/>
            <w:shd w:val="clear" w:color="auto" w:fill="auto"/>
            <w:vAlign w:val="center"/>
          </w:tcPr>
          <w:p w:rsidR="00751A4A" w:rsidRPr="00207357" w:rsidRDefault="00D2063F" w:rsidP="0010095E">
            <w:pPr>
              <w:pStyle w:val="EPName"/>
            </w:pPr>
            <w:r w:rsidRPr="00207357">
              <w:t>Euroopan parlamentti</w:t>
            </w:r>
          </w:p>
          <w:p w:rsidR="00751A4A" w:rsidRPr="00207357" w:rsidRDefault="00817416" w:rsidP="00756632">
            <w:pPr>
              <w:pStyle w:val="EPTerm"/>
              <w:rPr>
                <w:rStyle w:val="HideTWBExt"/>
                <w:noProof w:val="0"/>
                <w:vanish w:val="0"/>
                <w:color w:val="auto"/>
              </w:rPr>
            </w:pPr>
            <w:r w:rsidRPr="00207357">
              <w:t>2019-2024</w:t>
            </w:r>
          </w:p>
        </w:tc>
        <w:tc>
          <w:tcPr>
            <w:tcW w:w="2268" w:type="dxa"/>
            <w:shd w:val="clear" w:color="auto" w:fill="auto"/>
          </w:tcPr>
          <w:p w:rsidR="00751A4A" w:rsidRPr="00207357" w:rsidRDefault="00187494" w:rsidP="0010095E">
            <w:pPr>
              <w:pStyle w:val="EPLogo"/>
            </w:pPr>
            <w:r w:rsidRPr="0020735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7357" w:rsidRDefault="00D058B8" w:rsidP="004C5D52">
      <w:pPr>
        <w:pStyle w:val="LineTop"/>
      </w:pPr>
    </w:p>
    <w:p w:rsidR="00680577" w:rsidRPr="00207357" w:rsidRDefault="00D2063F" w:rsidP="00680577">
      <w:pPr>
        <w:pStyle w:val="EPBodyTA1"/>
      </w:pPr>
      <w:r w:rsidRPr="00207357">
        <w:t>HYVÄKSYTYT TEKSTIT</w:t>
      </w:r>
    </w:p>
    <w:p w:rsidR="00D058B8" w:rsidRPr="00207357" w:rsidRDefault="00D058B8" w:rsidP="00D058B8">
      <w:pPr>
        <w:pStyle w:val="LineBottom"/>
      </w:pPr>
    </w:p>
    <w:p w:rsidR="00D2063F" w:rsidRPr="00207357" w:rsidRDefault="00D2063F" w:rsidP="00D2063F">
      <w:pPr>
        <w:pStyle w:val="ATHeading1"/>
      </w:pPr>
      <w:bookmarkStart w:id="0" w:name="TANumber"/>
      <w:r w:rsidRPr="00207357">
        <w:t>P9_</w:t>
      </w:r>
      <w:proofErr w:type="gramStart"/>
      <w:r w:rsidRPr="00207357">
        <w:t>TA(</w:t>
      </w:r>
      <w:proofErr w:type="gramEnd"/>
      <w:r w:rsidRPr="00207357">
        <w:t>202</w:t>
      </w:r>
      <w:r w:rsidR="00433E82">
        <w:t>4</w:t>
      </w:r>
      <w:r w:rsidRPr="00207357">
        <w:t>)00</w:t>
      </w:r>
      <w:r w:rsidR="00402D52">
        <w:t>44</w:t>
      </w:r>
      <w:bookmarkEnd w:id="0"/>
    </w:p>
    <w:p w:rsidR="00D2063F" w:rsidRPr="00207357" w:rsidRDefault="00D2063F" w:rsidP="00D2063F">
      <w:pPr>
        <w:pStyle w:val="ATHeading2"/>
      </w:pPr>
      <w:bookmarkStart w:id="1" w:name="title"/>
      <w:r w:rsidRPr="00207357">
        <w:t>EU-rikosten luettelon laajentaminen kattamaan vihapuhe ja viharikokset</w:t>
      </w:r>
      <w:bookmarkEnd w:id="1"/>
    </w:p>
    <w:p w:rsidR="00D2063F" w:rsidRPr="00207357" w:rsidRDefault="00D2063F" w:rsidP="00D2063F">
      <w:pPr>
        <w:rPr>
          <w:i/>
          <w:vanish/>
        </w:rPr>
      </w:pPr>
      <w:r w:rsidRPr="00207357">
        <w:rPr>
          <w:i/>
        </w:rPr>
        <w:fldChar w:fldCharType="begin"/>
      </w:r>
      <w:r w:rsidRPr="00207357">
        <w:rPr>
          <w:i/>
        </w:rPr>
        <w:instrText xml:space="preserve"> TC"(</w:instrText>
      </w:r>
      <w:bookmarkStart w:id="2" w:name="DocNumber"/>
      <w:r w:rsidRPr="00207357">
        <w:rPr>
          <w:i/>
        </w:rPr>
        <w:instrText>A9-0377/2023</w:instrText>
      </w:r>
      <w:bookmarkEnd w:id="2"/>
      <w:r w:rsidRPr="00207357">
        <w:rPr>
          <w:i/>
        </w:rPr>
        <w:instrText xml:space="preserve"> - Esittelijä: </w:instrText>
      </w:r>
      <w:proofErr w:type="spellStart"/>
      <w:r w:rsidRPr="00207357">
        <w:rPr>
          <w:i/>
        </w:rPr>
        <w:instrText>Maite</w:instrText>
      </w:r>
      <w:proofErr w:type="spellEnd"/>
      <w:r w:rsidRPr="00207357">
        <w:rPr>
          <w:i/>
        </w:rPr>
        <w:instrText xml:space="preserve"> </w:instrText>
      </w:r>
      <w:proofErr w:type="spellStart"/>
      <w:r w:rsidRPr="00207357">
        <w:rPr>
          <w:i/>
        </w:rPr>
        <w:instrText>Pagazaurtundúa</w:instrText>
      </w:r>
      <w:proofErr w:type="spellEnd"/>
      <w:r w:rsidRPr="00207357">
        <w:rPr>
          <w:i/>
        </w:rPr>
        <w:instrText xml:space="preserve">)"\l3 \n&gt; \* MERGEFORMAT </w:instrText>
      </w:r>
      <w:r w:rsidRPr="00207357">
        <w:rPr>
          <w:i/>
        </w:rPr>
        <w:fldChar w:fldCharType="end"/>
      </w:r>
    </w:p>
    <w:p w:rsidR="00D2063F" w:rsidRPr="00207357" w:rsidRDefault="00D2063F" w:rsidP="00D2063F">
      <w:pPr>
        <w:rPr>
          <w:vanish/>
        </w:rPr>
      </w:pPr>
      <w:bookmarkStart w:id="3" w:name="Commission"/>
      <w:r w:rsidRPr="00207357">
        <w:rPr>
          <w:vanish/>
        </w:rPr>
        <w:t>Kansalaisvapauksien sekä oikeus- ja sisäasioiden valiokunta</w:t>
      </w:r>
      <w:bookmarkEnd w:id="3"/>
    </w:p>
    <w:p w:rsidR="00D2063F" w:rsidRPr="00207357" w:rsidRDefault="00D2063F" w:rsidP="00D2063F">
      <w:pPr>
        <w:rPr>
          <w:vanish/>
        </w:rPr>
      </w:pPr>
      <w:bookmarkStart w:id="4" w:name="PE"/>
      <w:r w:rsidRPr="00207357">
        <w:rPr>
          <w:vanish/>
        </w:rPr>
        <w:t>PE750.074</w:t>
      </w:r>
      <w:bookmarkEnd w:id="4"/>
    </w:p>
    <w:p w:rsidR="00D2063F" w:rsidRPr="00207357" w:rsidRDefault="00D2063F" w:rsidP="00D2063F">
      <w:pPr>
        <w:pStyle w:val="ATHeading3"/>
      </w:pPr>
      <w:bookmarkStart w:id="5" w:name="Sujet"/>
      <w:r w:rsidRPr="00207357">
        <w:t xml:space="preserve">Euroopan parlamentin päätöslauselma </w:t>
      </w:r>
      <w:r w:rsidR="00165181">
        <w:t>1</w:t>
      </w:r>
      <w:r w:rsidR="00433E82">
        <w:t>8</w:t>
      </w:r>
      <w:r w:rsidRPr="00207357">
        <w:t xml:space="preserve">. </w:t>
      </w:r>
      <w:r w:rsidR="00433E82">
        <w:t>tammi</w:t>
      </w:r>
      <w:r w:rsidRPr="00207357">
        <w:t>kuuta 202</w:t>
      </w:r>
      <w:r w:rsidR="00F8169C">
        <w:t>4</w:t>
      </w:r>
      <w:r w:rsidRPr="00207357">
        <w:t xml:space="preserve"> EU-rikosten luettelon laajentamisesta kattamaan vihapuheen ja viharikokset</w:t>
      </w:r>
      <w:bookmarkEnd w:id="5"/>
      <w:r w:rsidRPr="00207357">
        <w:t xml:space="preserve"> </w:t>
      </w:r>
      <w:bookmarkStart w:id="6" w:name="References"/>
      <w:r w:rsidRPr="00207357">
        <w:t>(2023/2068(INI))</w:t>
      </w:r>
      <w:bookmarkEnd w:id="6"/>
    </w:p>
    <w:p w:rsidR="00964251" w:rsidRPr="00207357" w:rsidRDefault="00964251" w:rsidP="00964251">
      <w:pPr>
        <w:pStyle w:val="EPComma"/>
        <w:widowControl/>
      </w:pPr>
      <w:bookmarkStart w:id="7" w:name="TextBodyBegin"/>
      <w:bookmarkEnd w:id="7"/>
      <w:r w:rsidRPr="00207357">
        <w:rPr>
          <w:i/>
        </w:rPr>
        <w:t>Euroopan parlamentti</w:t>
      </w:r>
      <w:r w:rsidRPr="00207357">
        <w:t>, joka</w:t>
      </w:r>
      <w:bookmarkStart w:id="8" w:name="_GoBack"/>
      <w:bookmarkEnd w:id="8"/>
    </w:p>
    <w:p w:rsidR="00964251" w:rsidRPr="00207357" w:rsidRDefault="00964251" w:rsidP="00165181">
      <w:pPr>
        <w:pStyle w:val="NormalHanging12a"/>
        <w:widowControl/>
        <w:rPr>
          <w:szCs w:val="24"/>
        </w:rPr>
      </w:pPr>
      <w:r w:rsidRPr="00207357">
        <w:t>–</w:t>
      </w:r>
      <w:r w:rsidRPr="00207357">
        <w:tab/>
        <w:t>ottaa huomioon Euroopan unionin perusoikeuskirjan</w:t>
      </w:r>
      <w:r w:rsidR="00165181">
        <w:t>, jäljempänä ’</w:t>
      </w:r>
      <w:r w:rsidR="00165181" w:rsidRPr="00207357">
        <w:t>perusoikeuskirja</w:t>
      </w:r>
      <w:r w:rsidR="00165181">
        <w:t>’,</w:t>
      </w:r>
      <w:r w:rsidRPr="00207357">
        <w:t xml:space="preserve"> ja erityisesti sen 1, 7, 20, 21, 22, 23, 25 ja 26 artiklan,</w:t>
      </w:r>
    </w:p>
    <w:p w:rsidR="00964251" w:rsidRPr="00207357" w:rsidRDefault="00964251" w:rsidP="00165181">
      <w:pPr>
        <w:pStyle w:val="NormalHanging12a"/>
        <w:widowControl/>
      </w:pPr>
      <w:r w:rsidRPr="00207357">
        <w:t>–</w:t>
      </w:r>
      <w:r w:rsidRPr="00207357">
        <w:tab/>
        <w:t>ottaa huomioon Euroopan unionista tehdyn sopimuksen (SEU) ja erityisesti sen 2, 3 ja 6 artiklan,</w:t>
      </w:r>
    </w:p>
    <w:p w:rsidR="00964251" w:rsidRPr="00207357" w:rsidRDefault="00964251" w:rsidP="00165181">
      <w:pPr>
        <w:pStyle w:val="NormalHanging12a"/>
        <w:widowControl/>
      </w:pPr>
      <w:r w:rsidRPr="00207357">
        <w:t>–</w:t>
      </w:r>
      <w:r w:rsidRPr="00207357">
        <w:tab/>
        <w:t>ottaa huomioon Euroopan unionin toiminnasta tehdyn sopimuksen (SEUT) ja erityisesti sen 19 artiklan ja 83 artiklan 1 kohdan,</w:t>
      </w:r>
    </w:p>
    <w:p w:rsidR="00964251" w:rsidRPr="00207357" w:rsidRDefault="00964251" w:rsidP="00165181">
      <w:pPr>
        <w:pStyle w:val="NormalHanging12a"/>
        <w:widowControl/>
      </w:pPr>
      <w:r w:rsidRPr="00207357">
        <w:t>–</w:t>
      </w:r>
      <w:r w:rsidRPr="00207357">
        <w:tab/>
        <w:t>ottaa huomioon Euroopan ihmisoikeussopimuksen ja siihen liittyvän Euroopan ihmisoikeustuomioistuimen oikeuskäytännön,</w:t>
      </w:r>
    </w:p>
    <w:p w:rsidR="00964251" w:rsidRPr="00207357" w:rsidRDefault="00964251" w:rsidP="00165181">
      <w:pPr>
        <w:pStyle w:val="NormalHanging12a"/>
        <w:widowControl/>
      </w:pPr>
      <w:r w:rsidRPr="00207357">
        <w:t>–</w:t>
      </w:r>
      <w:r w:rsidRPr="00207357">
        <w:tab/>
        <w:t>ottaa huomioon ihmisoikeuksien yleismaailmallisen julistuksen,</w:t>
      </w:r>
    </w:p>
    <w:p w:rsidR="00964251" w:rsidRPr="00207357" w:rsidRDefault="00964251" w:rsidP="00165181">
      <w:pPr>
        <w:pStyle w:val="NormalHanging12a"/>
        <w:widowControl/>
      </w:pPr>
      <w:r w:rsidRPr="00207357">
        <w:t>–</w:t>
      </w:r>
      <w:r w:rsidRPr="00207357">
        <w:tab/>
        <w:t>ottaa huomioon Euroopan unionin tuomioistuimen oikeuskäytännön,</w:t>
      </w:r>
    </w:p>
    <w:p w:rsidR="00964251" w:rsidRPr="00207357" w:rsidRDefault="00964251" w:rsidP="00165181">
      <w:pPr>
        <w:pStyle w:val="NormalHanging12a"/>
        <w:widowControl/>
      </w:pPr>
      <w:r w:rsidRPr="00207357">
        <w:t>–</w:t>
      </w:r>
      <w:r w:rsidRPr="00207357">
        <w:tab/>
        <w:t>ottaa huomioon 9. joulukuuta 2021 annetun komission tiedonannon ”Osallistavampi ja suojelevampi Eurooppa: EU-rikosten luettelon laajentaminen kattamaan vihapuheen ja viharikokset” (</w:t>
      </w:r>
      <w:proofErr w:type="gramStart"/>
      <w:r w:rsidRPr="00207357">
        <w:t>COM(</w:t>
      </w:r>
      <w:proofErr w:type="gramEnd"/>
      <w:r w:rsidRPr="00207357">
        <w:t>2021)0777) ja sen liitteenä olevan ehdotuksen neuvoston päätökseksi,</w:t>
      </w:r>
    </w:p>
    <w:p w:rsidR="00964251" w:rsidRPr="00207357" w:rsidRDefault="00964251" w:rsidP="00165181">
      <w:pPr>
        <w:pStyle w:val="NormalHanging12a"/>
        <w:widowControl/>
      </w:pPr>
      <w:r w:rsidRPr="00207357">
        <w:t>–</w:t>
      </w:r>
      <w:r w:rsidRPr="00207357">
        <w:tab/>
        <w:t>ottaa huomioon 28. marraskuuta 2008 tehdyn neuvoston puitepäätöksen 2008/913/YOS rasismin ja muukalaisvihan tiettyjen muotojen ja ilmaisujen torjumisesta rikosoikeudellisin keinoin</w:t>
      </w:r>
      <w:r w:rsidRPr="00207357">
        <w:rPr>
          <w:rStyle w:val="FootnoteReference"/>
        </w:rPr>
        <w:footnoteReference w:id="1"/>
      </w:r>
      <w:r w:rsidRPr="00207357">
        <w:t>,</w:t>
      </w:r>
    </w:p>
    <w:p w:rsidR="00964251" w:rsidRPr="00207357" w:rsidRDefault="00964251" w:rsidP="00165181">
      <w:pPr>
        <w:pStyle w:val="NormalHanging12a"/>
        <w:widowControl/>
      </w:pPr>
      <w:r w:rsidRPr="00207357">
        <w:t>–</w:t>
      </w:r>
      <w:r w:rsidRPr="00207357">
        <w:tab/>
        <w:t>ottaa huomioon 5. maaliskuuta 2020 annetun komission tiedonannon ”Tasa-arvon unioni: sukupuolten tasa-arvostrategia 2020–2025” (</w:t>
      </w:r>
      <w:proofErr w:type="gramStart"/>
      <w:r w:rsidRPr="00207357">
        <w:t>COM(</w:t>
      </w:r>
      <w:proofErr w:type="gramEnd"/>
      <w:r w:rsidRPr="00207357">
        <w:t>2020)0152),</w:t>
      </w:r>
    </w:p>
    <w:p w:rsidR="00964251" w:rsidRPr="00207357" w:rsidRDefault="00964251" w:rsidP="00165181">
      <w:pPr>
        <w:pStyle w:val="NormalHanging12a"/>
        <w:widowControl/>
      </w:pPr>
      <w:r w:rsidRPr="00207357">
        <w:lastRenderedPageBreak/>
        <w:t>–</w:t>
      </w:r>
      <w:r w:rsidRPr="00207357">
        <w:tab/>
        <w:t>ottaa huomioon 18. syyskuuta 2020 annetun komission tiedonannon ”Tasa-arvon unioni: EU:n rasismintorjunnan toimintasuunnitelma 2020–2025” (</w:t>
      </w:r>
      <w:proofErr w:type="gramStart"/>
      <w:r w:rsidRPr="00207357">
        <w:t>COM(</w:t>
      </w:r>
      <w:proofErr w:type="gramEnd"/>
      <w:r w:rsidRPr="00207357">
        <w:t>2020)0565),</w:t>
      </w:r>
    </w:p>
    <w:p w:rsidR="00964251" w:rsidRPr="00207357" w:rsidRDefault="00964251" w:rsidP="00165181">
      <w:pPr>
        <w:pStyle w:val="NormalHanging12a"/>
        <w:widowControl/>
      </w:pPr>
      <w:r w:rsidRPr="00207357">
        <w:t>–</w:t>
      </w:r>
      <w:r w:rsidRPr="00207357">
        <w:tab/>
        <w:t xml:space="preserve">ottaa huomioon 12. marraskuuta 2020 annetun komission tiedonannon ”Tasa-arvon unioni: </w:t>
      </w:r>
      <w:proofErr w:type="spellStart"/>
      <w:r w:rsidRPr="00207357">
        <w:t>hlbtiq</w:t>
      </w:r>
      <w:proofErr w:type="spellEnd"/>
      <w:r w:rsidRPr="00207357">
        <w:t>-henkilöiden tasa-arvoa koskeva strategia 2020–2025” (</w:t>
      </w:r>
      <w:proofErr w:type="gramStart"/>
      <w:r w:rsidRPr="00207357">
        <w:t>COM(</w:t>
      </w:r>
      <w:proofErr w:type="gramEnd"/>
      <w:r w:rsidRPr="00207357">
        <w:t>2020)0698),</w:t>
      </w:r>
    </w:p>
    <w:p w:rsidR="00964251" w:rsidRPr="00207357" w:rsidRDefault="00964251" w:rsidP="00165181">
      <w:pPr>
        <w:pStyle w:val="NormalHanging12a"/>
        <w:widowControl/>
      </w:pPr>
      <w:r w:rsidRPr="00207357">
        <w:t>–</w:t>
      </w:r>
      <w:r w:rsidRPr="00207357">
        <w:tab/>
        <w:t>ottaa huomioon 3. maaliskuuta 2021 annetun komission tiedonannon ”Tasa-arvon unioni: vammaisten henkilöiden oikeuksia koskeva strategia 2021–2030” (</w:t>
      </w:r>
      <w:proofErr w:type="gramStart"/>
      <w:r w:rsidRPr="00207357">
        <w:t>COM(</w:t>
      </w:r>
      <w:proofErr w:type="gramEnd"/>
      <w:r w:rsidRPr="00207357">
        <w:t>2021)0101) ja vammaisten henkilöiden oikeuksia koskevan Yhdistyneiden kansakuntien yleissopimuksen, jonka EU ja sen kaikki jäsenvaltiot ovat ratifioineet,</w:t>
      </w:r>
    </w:p>
    <w:p w:rsidR="00964251" w:rsidRPr="00207357" w:rsidRDefault="00964251" w:rsidP="00165181">
      <w:pPr>
        <w:pStyle w:val="NormalHanging12a"/>
        <w:widowControl/>
      </w:pPr>
      <w:r w:rsidRPr="00207357">
        <w:t>–</w:t>
      </w:r>
      <w:r w:rsidRPr="00207357">
        <w:tab/>
        <w:t>ottaa huomioon 24. kesäkuuta 2020 annetun komission tiedonannon uhrien oikeuksia koskevasta EU:n strategiasta (2020–2025) (</w:t>
      </w:r>
      <w:proofErr w:type="gramStart"/>
      <w:r w:rsidRPr="00207357">
        <w:t>COM(</w:t>
      </w:r>
      <w:proofErr w:type="gramEnd"/>
      <w:r w:rsidRPr="00207357">
        <w:t>2020)0258),</w:t>
      </w:r>
    </w:p>
    <w:p w:rsidR="00964251" w:rsidRPr="00207357" w:rsidRDefault="00964251" w:rsidP="00165181">
      <w:pPr>
        <w:pStyle w:val="NormalHanging12a"/>
        <w:widowControl/>
      </w:pPr>
      <w:r w:rsidRPr="00207357">
        <w:t>–</w:t>
      </w:r>
      <w:r w:rsidRPr="00207357">
        <w:tab/>
        <w:t>ottaa huomioon 20. toukokuuta 2022 päivätyn Euroopan neuvoston ministerikomitean suosituksen jäsenvaltioille vihapuheen torjumisesta (CM/</w:t>
      </w:r>
      <w:proofErr w:type="spellStart"/>
      <w:proofErr w:type="gramStart"/>
      <w:r w:rsidRPr="00207357">
        <w:t>Rec</w:t>
      </w:r>
      <w:proofErr w:type="spellEnd"/>
      <w:r w:rsidRPr="00207357">
        <w:t>(</w:t>
      </w:r>
      <w:proofErr w:type="gramEnd"/>
      <w:r w:rsidRPr="00207357">
        <w:t>2022)16),</w:t>
      </w:r>
    </w:p>
    <w:p w:rsidR="00964251" w:rsidRPr="00207357" w:rsidRDefault="00964251" w:rsidP="00165181">
      <w:pPr>
        <w:pStyle w:val="NormalHanging12a"/>
        <w:widowControl/>
      </w:pPr>
      <w:r w:rsidRPr="00207357">
        <w:t>–</w:t>
      </w:r>
      <w:r w:rsidRPr="00207357">
        <w:tab/>
        <w:t>ottaa huomioon 8. joulukuuta 2015 annetun rasismin ja suvaitsemattomuuden vastaisen Euroopan neuvoston komission (ECRI) yleisen poliittisen suosituksen nro 15 vihapuheen torjumisesta,</w:t>
      </w:r>
    </w:p>
    <w:p w:rsidR="00964251" w:rsidRPr="00207357" w:rsidRDefault="00964251" w:rsidP="00165181">
      <w:pPr>
        <w:pStyle w:val="NormalHanging12a"/>
        <w:widowControl/>
        <w:rPr>
          <w:szCs w:val="24"/>
        </w:rPr>
      </w:pPr>
      <w:r w:rsidRPr="00207357">
        <w:t>–</w:t>
      </w:r>
      <w:r w:rsidRPr="00207357">
        <w:tab/>
        <w:t>ottaa huomioon kansallisten vähemmistöjen suojelua koskevan Euroopan neuvoston puiteyleissopimuksen sekä alueellisia kieliä tai vähemmistökieliä koskevan eurooppalaisen peruskirjan,</w:t>
      </w:r>
    </w:p>
    <w:p w:rsidR="00964251" w:rsidRPr="00207357" w:rsidRDefault="00964251" w:rsidP="00165181">
      <w:pPr>
        <w:pStyle w:val="NormalHanging12a"/>
        <w:widowControl/>
      </w:pPr>
      <w:r w:rsidRPr="00207357">
        <w:t>–</w:t>
      </w:r>
      <w:r w:rsidRPr="00207357">
        <w:tab/>
        <w:t xml:space="preserve">ottaa huomioon </w:t>
      </w:r>
      <w:proofErr w:type="spellStart"/>
      <w:r w:rsidRPr="00207357">
        <w:t>ECRIn</w:t>
      </w:r>
      <w:proofErr w:type="spellEnd"/>
      <w:r w:rsidRPr="00207357">
        <w:t>, syrjimättömyyttä, monimuotoisuutta ja osallisuutta käsittelevän ohjauskomitean, parlamentaarisen yleiskokouksen, Venetsian komission ja muiden Euroopan neuvoston elinten suositukset, raportit ja päätöslauselmat,</w:t>
      </w:r>
    </w:p>
    <w:p w:rsidR="00964251" w:rsidRPr="00207357" w:rsidRDefault="00964251" w:rsidP="00165181">
      <w:pPr>
        <w:pStyle w:val="NormalHanging12a"/>
        <w:widowControl/>
      </w:pPr>
      <w:r w:rsidRPr="00207357">
        <w:t>–</w:t>
      </w:r>
      <w:r w:rsidRPr="00207357">
        <w:tab/>
        <w:t>ottaa huomioon syrjimättömyyttä, yhdenvertaisuutta ja moninaisuutta käsittelevän komission korkean tason ryhmän yhdenvertaisuustietoja käsittelevän alaryhmän laatimat ja vuonna 2021 julkaisemat ohjeet yhdenvertaisuustietojen keräämisen ja käytön parantamisesta,</w:t>
      </w:r>
    </w:p>
    <w:p w:rsidR="00964251" w:rsidRPr="00207357" w:rsidRDefault="00964251" w:rsidP="00165181">
      <w:pPr>
        <w:pStyle w:val="NormalHanging12a"/>
        <w:widowControl/>
      </w:pPr>
      <w:r w:rsidRPr="00207357">
        <w:t>–</w:t>
      </w:r>
      <w:r w:rsidRPr="00207357">
        <w:tab/>
        <w:t>ottaa huomioon YK:n ihmisoikeussopimukset ja ihmisoikeuksien ja perusvapauksien suojelua koskevat YK:n välineet, erityisesti ihmisoikeuksien yleismaailmallisen julistuksen, kansalaisoikeuksia ja poliittisia oikeuksia koskevan kansainvälisen yleissopimuksen, kaikkinaisen rotusyrjinnän poistamista koskevan yleissopimuksen, kaikkinaisen naisten syrjinnän poistamista koskevan yleissopimuksen ja YK:n vuotuisen vähemmistökysymyksiä käsittelevän foorumin suositukset,</w:t>
      </w:r>
    </w:p>
    <w:p w:rsidR="00964251" w:rsidRPr="00207357" w:rsidRDefault="00964251" w:rsidP="00165181">
      <w:pPr>
        <w:pStyle w:val="NormalHanging12a"/>
        <w:widowControl/>
        <w:rPr>
          <w:szCs w:val="24"/>
        </w:rPr>
      </w:pPr>
      <w:r w:rsidRPr="00207357">
        <w:t>–</w:t>
      </w:r>
      <w:r w:rsidRPr="00207357">
        <w:tab/>
        <w:t xml:space="preserve">ottaa huomioon </w:t>
      </w:r>
      <w:proofErr w:type="spellStart"/>
      <w:r w:rsidRPr="00207357">
        <w:t>ETYJin</w:t>
      </w:r>
      <w:proofErr w:type="spellEnd"/>
      <w:r w:rsidRPr="00207357">
        <w:t xml:space="preserve"> demokraattisten instituutioiden ja ihmisoikeuksien toimiston joka vuosi 16. marraskuuta julkistamat vuotuiset viharikostilastot,</w:t>
      </w:r>
    </w:p>
    <w:p w:rsidR="00964251" w:rsidRPr="00207357" w:rsidRDefault="00964251" w:rsidP="00165181">
      <w:pPr>
        <w:pStyle w:val="NormalHanging12a"/>
        <w:widowControl/>
      </w:pPr>
      <w:r w:rsidRPr="00207357">
        <w:t>–</w:t>
      </w:r>
      <w:r w:rsidRPr="00207357">
        <w:tab/>
        <w:t xml:space="preserve">ottaa huomioon 25. marraskuuta 2020 antamansa päätöslauselman tiedotusvälineiden vapauden vahvistamisesta: toimittajien suojelu Euroopassa, vihapuhe, </w:t>
      </w:r>
      <w:proofErr w:type="spellStart"/>
      <w:r w:rsidRPr="00207357">
        <w:t>disinformaatio</w:t>
      </w:r>
      <w:proofErr w:type="spellEnd"/>
      <w:r w:rsidRPr="00207357">
        <w:t xml:space="preserve"> ja alustojen rooli</w:t>
      </w:r>
      <w:r w:rsidRPr="00207357">
        <w:rPr>
          <w:rStyle w:val="FootnoteReference"/>
        </w:rPr>
        <w:footnoteReference w:id="2"/>
      </w:r>
      <w:r w:rsidRPr="00207357">
        <w:t>,</w:t>
      </w:r>
    </w:p>
    <w:p w:rsidR="00964251" w:rsidRPr="00207357" w:rsidRDefault="00964251" w:rsidP="00165181">
      <w:pPr>
        <w:pStyle w:val="NormalHanging12a"/>
        <w:widowControl/>
      </w:pPr>
      <w:r w:rsidRPr="00207357">
        <w:t>–</w:t>
      </w:r>
      <w:r w:rsidRPr="00207357">
        <w:tab/>
        <w:t xml:space="preserve">ottaa huomioon 16. syyskuuta 2021 antamansa päätöslauselman suosituksista komissiolle </w:t>
      </w:r>
      <w:proofErr w:type="spellStart"/>
      <w:r w:rsidRPr="00207357">
        <w:t>sukupuolistuneen</w:t>
      </w:r>
      <w:proofErr w:type="spellEnd"/>
      <w:r w:rsidRPr="00207357">
        <w:t xml:space="preserve"> väkivallan määrittelemisestä uudeksi rikollisuuden alaksi, </w:t>
      </w:r>
      <w:r w:rsidRPr="00207357">
        <w:lastRenderedPageBreak/>
        <w:t>joka mainitaan Euroopan unionin toiminnasta tehdyn sopimuksen 83 artiklan 1 kohdassa</w:t>
      </w:r>
      <w:r w:rsidRPr="00207357">
        <w:rPr>
          <w:rStyle w:val="FootnoteReference"/>
        </w:rPr>
        <w:footnoteReference w:id="3"/>
      </w:r>
      <w:r w:rsidRPr="00207357">
        <w:t>,</w:t>
      </w:r>
    </w:p>
    <w:p w:rsidR="00964251" w:rsidRPr="00207357" w:rsidRDefault="00964251" w:rsidP="00165181">
      <w:pPr>
        <w:pStyle w:val="NormalHanging12a"/>
        <w:widowControl/>
        <w:rPr>
          <w:szCs w:val="24"/>
        </w:rPr>
      </w:pPr>
      <w:r w:rsidRPr="00207357">
        <w:t>–</w:t>
      </w:r>
      <w:r w:rsidRPr="00207357">
        <w:tab/>
        <w:t>ottaa huomioon 13. marraskuuta 2018 antamansa päätöslauselman vähemmistöjä koskevista vähimmäisnormeista EU:ssa</w:t>
      </w:r>
      <w:r w:rsidRPr="00207357">
        <w:rPr>
          <w:rStyle w:val="FootnoteReference"/>
        </w:rPr>
        <w:footnoteReference w:id="4"/>
      </w:r>
      <w:r w:rsidRPr="00207357">
        <w:t>,</w:t>
      </w:r>
    </w:p>
    <w:p w:rsidR="00964251" w:rsidRPr="00207357" w:rsidRDefault="00964251" w:rsidP="00165181">
      <w:pPr>
        <w:pStyle w:val="NormalHanging12a"/>
        <w:widowControl/>
      </w:pPr>
      <w:r w:rsidRPr="00207357">
        <w:t>–</w:t>
      </w:r>
      <w:r w:rsidRPr="00207357">
        <w:tab/>
        <w:t>ottaa huomioon työjärjestyksen 105 artiklan 5 kohdan,</w:t>
      </w:r>
    </w:p>
    <w:p w:rsidR="00964251" w:rsidRPr="00207357" w:rsidRDefault="00964251" w:rsidP="00165181">
      <w:pPr>
        <w:pStyle w:val="Normal12Hanging"/>
        <w:widowControl/>
      </w:pPr>
      <w:r w:rsidRPr="00207357">
        <w:t>–</w:t>
      </w:r>
      <w:r w:rsidRPr="00207357">
        <w:tab/>
        <w:t>ottaa huomioon naisten oikeuksien ja sukupuolten tasa-arvon valiokunnan lausunnon,</w:t>
      </w:r>
    </w:p>
    <w:p w:rsidR="00964251" w:rsidRPr="00207357" w:rsidRDefault="00964251" w:rsidP="00165181">
      <w:pPr>
        <w:pStyle w:val="NormalHanging12a"/>
        <w:widowControl/>
      </w:pPr>
      <w:r w:rsidRPr="00207357">
        <w:t>–</w:t>
      </w:r>
      <w:r w:rsidRPr="00207357">
        <w:tab/>
        <w:t>ottaa huomioon kansalaisvapauksien sekä oikeus- ja sisäasioiden valiokunnan mietinnön (A9-0377/2023),</w:t>
      </w:r>
    </w:p>
    <w:p w:rsidR="00964251" w:rsidRPr="00207357" w:rsidRDefault="00964251" w:rsidP="00165181">
      <w:pPr>
        <w:pStyle w:val="NormalHanging12a"/>
        <w:widowControl/>
        <w:rPr>
          <w:szCs w:val="24"/>
        </w:rPr>
      </w:pPr>
      <w:r w:rsidRPr="00207357">
        <w:t>A.</w:t>
      </w:r>
      <w:r w:rsidRPr="00207357">
        <w:tab/>
        <w:t>ottaa huomioon, että perusoikeuskirjan 21 artiklassa kielletään kaikenlainen syrjintä, joka perustuu sukupuoleen, rotuun, ihonväriin, etniseen tai yhteiskunnalliseen alkuperään, geneettisiin ominaisuuksiin, kieleen, uskontoon tai vakaumukseen, poliittisiin tai muihin mielipiteisiin, kansalliseen vähemmistöön kuulumiseen, varallisuuteen, syntyperään, vammaisuuteen, ikään, seksuaaliseen suuntautumiseen tai muuhun sellaiseen seikkaan; ottaa huomioon, että perussopimusten soveltamisalan puitteissa ja rajoittamatta niiden erityismääräysten soveltamista kansalaisuuteen perustuva syrjintä on myös kiellettyä; ottaa huomioon, että Euroopan unionin tuomioistuimen laajan tulkinnan mukaan sukupuoleen perustuva syrjintä olisi ymmärrettävä niin, että se kattaa kaikki sukupuoli-identiteettiin, sukupuolen ilmaisuun ja sukupuoliominaisuuksiin liittyvät syrjinnän muodot</w:t>
      </w:r>
      <w:r w:rsidRPr="00207357">
        <w:rPr>
          <w:vertAlign w:val="superscript"/>
        </w:rPr>
        <w:footnoteReference w:id="5"/>
      </w:r>
      <w:r w:rsidRPr="00207357">
        <w:t>;</w:t>
      </w:r>
    </w:p>
    <w:p w:rsidR="00964251" w:rsidRPr="00207357" w:rsidRDefault="00964251" w:rsidP="00165181">
      <w:pPr>
        <w:pStyle w:val="NormalHanging12a"/>
        <w:widowControl/>
      </w:pPr>
      <w:r w:rsidRPr="00207357">
        <w:t>B.</w:t>
      </w:r>
      <w:r w:rsidRPr="00207357">
        <w:tab/>
        <w:t>toteaa, että kaikki vihan ja suvaitsemattomuuden muodot ja ilmentymät, myös vihapuhe ja viharikokset, ovat ristiriidassa SEU 2 artiklassa vahvistettujen ihmisarvoa, vapautta, demokratiaa, tasa-arvoa, oikeusvaltiota ja ihmisoikeuksien, myös vähemmistöihin kuuluvien henkilöiden oikeuksien, kunnioittamista koskevien unionin arvojen kanssa; toteaa, että unionin perusarvojen edistäminen ja suojelu riippuvat siitä, että EU:n toimielimet, jäsenvaltiot ja muut asianomaiset toimijat torjuvat ennakkoasenteita, ennakkoluuloja ja suvaitsemattomuutta, sekä vihan kitkemisestä;</w:t>
      </w:r>
    </w:p>
    <w:p w:rsidR="00964251" w:rsidRPr="00207357" w:rsidRDefault="00964251" w:rsidP="00165181">
      <w:pPr>
        <w:pStyle w:val="NormalHanging12a"/>
        <w:widowControl/>
        <w:rPr>
          <w:szCs w:val="24"/>
        </w:rPr>
      </w:pPr>
      <w:r w:rsidRPr="00207357">
        <w:t>C.</w:t>
      </w:r>
      <w:r w:rsidRPr="00207357">
        <w:tab/>
        <w:t xml:space="preserve">toteaa, että vihapuhe ja viharikokset ovat monimutkaisia ja moniulotteisia ilmiöitä, joilla on kauaskantoisia seurauksia ihmisoikeuksille ja oikeusvaltioperiaatteelle demokraattisissa yhteiskunnissa; toteaa, että muukalaisvihaan, rasismiin, ihmisvihaan, homofobiaan, </w:t>
      </w:r>
      <w:proofErr w:type="spellStart"/>
      <w:r w:rsidRPr="00207357">
        <w:t>transfobiaan</w:t>
      </w:r>
      <w:proofErr w:type="spellEnd"/>
      <w:r w:rsidRPr="00207357">
        <w:t xml:space="preserve"> ja muihin muun muassa poliittisiin tai muihin mielipiteisiin perustuviin ennakkoasenteisiin, suvaitsemattomuuteen ja syrjintään sekä tiettyihin yksilöihin tai yhteiskuntaryhmiin kohdistuvaan vihaan puuttuminen edellyttävät, että EU ja sen jäsenvaltiot suunnittelevat kokonaisvaltaisia toimia tiiviissä yhteistyössä asiaankuuluvien sidosryhmien ja myös kansalaisyhteiskunnan kanssa; ottaa huomioon, että kriminalisointi on yksi väline vihapuheen ja viharikosten torjunnassa;</w:t>
      </w:r>
    </w:p>
    <w:p w:rsidR="00964251" w:rsidRPr="00207357" w:rsidRDefault="00964251" w:rsidP="00165181">
      <w:pPr>
        <w:pStyle w:val="NormalHanging12a"/>
        <w:widowControl/>
        <w:rPr>
          <w:szCs w:val="24"/>
        </w:rPr>
      </w:pPr>
      <w:r w:rsidRPr="00207357">
        <w:lastRenderedPageBreak/>
        <w:t>D.</w:t>
      </w:r>
      <w:r w:rsidRPr="00207357">
        <w:tab/>
        <w:t>katsoo, että verkossa ja sen ulkopuolella tapahtuvan vihapuheen ja viharikosten torjunta vaatii moniulotteista lähestymistapaa ja tarvittaessa niihin on puututtava erilaisin keinoin, joihin kuuluvat rikos- ja siviilioikeudelliset sekä hallinnolliset menettelyt ja muut merkittävät toimintapolitiikat tai sosiaaliset toimenpiteet; toteaa, että jäsenvaltiot ovat jo sitoutuneet hyväksymään lainsäädäntöä ja toimenpiteitä, joilla viharikoksista tehdään rangaistavia, puututaan aliraportointiin ja otetaan käyttöön tai kehitetään edelleen lainvalvonta- ja oikeusviranomaisten valmiuksien kehittämistoimia</w:t>
      </w:r>
      <w:r w:rsidRPr="00207357">
        <w:rPr>
          <w:vertAlign w:val="superscript"/>
        </w:rPr>
        <w:footnoteReference w:id="6"/>
      </w:r>
      <w:r w:rsidRPr="00207357">
        <w:t>; toteaa, että vihapuheen ja viharikosten tehokas torjunta edellyttää puuttumista niiden taustalla oleviin perimmäisiin syihin ja erityisesti stereotypioihin; toteaa, että tässä ovat keskeisiä ennaltaehkäisevät toimenpiteet, koulutus, myös digitaalinen koulutus sekä digilukutaito ja -osaaminen, joilla edistetään turvallisia digitaalisia ympäristöjä, koulutusta ja tietoisuuden lisäämistä; katsoo, että EU:n ja jäsenvaltioiden olisi edistettävä ymmärrystä monimuotoisuuden ja vuoropuhelun tarpeesta demokratian, ihmisoikeuksien ja oikeusvaltioperiaatteen puitteissa, lisättävä yleistä tietoisuutta moniarvoisuuden kunnioittamisen merkityksestä sekä torjuttava kielteisiä stereotypioita ja leimautumista;</w:t>
      </w:r>
    </w:p>
    <w:p w:rsidR="00964251" w:rsidRPr="00207357" w:rsidRDefault="00964251" w:rsidP="00165181">
      <w:pPr>
        <w:pStyle w:val="NormalHanging12a"/>
        <w:widowControl/>
        <w:rPr>
          <w:szCs w:val="24"/>
        </w:rPr>
      </w:pPr>
      <w:r w:rsidRPr="00207357">
        <w:t>E.</w:t>
      </w:r>
      <w:r w:rsidRPr="00207357">
        <w:tab/>
        <w:t>ottaa huomioon, että vihapuhe ja viharikokset voivat olla erityisen vakavia rikoksia ja vaikuttavat paitsi yksittäisiin uhreihin ja heidän yhteisöihinsä aiheuttaen heille kärsimystä ja rajoittaen heidän perusoikeuksiaan ja -vapauksiaan myös koko yhteiskuntaan heikentäen EU:n perustuksia;</w:t>
      </w:r>
    </w:p>
    <w:p w:rsidR="00964251" w:rsidRPr="00207357" w:rsidRDefault="00964251" w:rsidP="00165181">
      <w:pPr>
        <w:pStyle w:val="NormalHanging12a"/>
        <w:widowControl/>
        <w:rPr>
          <w:szCs w:val="24"/>
        </w:rPr>
      </w:pPr>
      <w:r w:rsidRPr="00207357">
        <w:t>F.</w:t>
      </w:r>
      <w:r w:rsidRPr="00207357">
        <w:tab/>
        <w:t>toteaa, että kaikki vihapuhe ei täytä rikoksen tunnusmerkistöä mutta se kuitenkin edistää vihan, väkivallan ja suvaitsemattomuuden ilmentymien normalisointia yhteiskunnassa;</w:t>
      </w:r>
    </w:p>
    <w:p w:rsidR="00964251" w:rsidRPr="00207357" w:rsidRDefault="00964251" w:rsidP="00165181">
      <w:pPr>
        <w:pStyle w:val="NormalHanging12a"/>
        <w:widowControl/>
      </w:pPr>
      <w:r w:rsidRPr="00207357">
        <w:t>G.</w:t>
      </w:r>
      <w:r w:rsidRPr="00207357">
        <w:tab/>
        <w:t>ottaa huomioon, että viime vuosikymmeninä syrjintä, viharikokset ja vihapuhe ovat lisääntyneet jyrkästi kaikkialla EU:ssa</w:t>
      </w:r>
      <w:r w:rsidRPr="00207357">
        <w:rPr>
          <w:rStyle w:val="FootnoteReference"/>
        </w:rPr>
        <w:footnoteReference w:id="7"/>
      </w:r>
      <w:r w:rsidRPr="00207357">
        <w:t xml:space="preserve">, rasismin, juutalaisvastaisuuden, islaminvastaisuuden, muukalaisvihan, homofobian, </w:t>
      </w:r>
      <w:proofErr w:type="spellStart"/>
      <w:r w:rsidRPr="00207357">
        <w:t>transfobian</w:t>
      </w:r>
      <w:proofErr w:type="spellEnd"/>
      <w:r w:rsidRPr="00207357">
        <w:t xml:space="preserve"> ja muun suvaitsemattomuuden eri muodot ovat yleistyneet ja vihapuhe ja yllytys ovat lisääntyneet hälyttävästi verkossa ja sen ulkopuolella; toteaa, että haavoittuviin ryhmiin kuuluvat, kuten </w:t>
      </w:r>
      <w:proofErr w:type="spellStart"/>
      <w:r w:rsidRPr="00207357">
        <w:t>hlbtiq</w:t>
      </w:r>
      <w:proofErr w:type="spellEnd"/>
      <w:r w:rsidRPr="00207357">
        <w:t xml:space="preserve">+-henkilöt, </w:t>
      </w:r>
      <w:proofErr w:type="spellStart"/>
      <w:r w:rsidRPr="00207357">
        <w:t>rodullistetut</w:t>
      </w:r>
      <w:proofErr w:type="spellEnd"/>
      <w:r w:rsidRPr="00207357">
        <w:t xml:space="preserve"> ihmiset, etniset, uskonnolliset tai kielelliset vähemmistöt, alkuperäisyhteisöt</w:t>
      </w:r>
      <w:r w:rsidRPr="00207357">
        <w:rPr>
          <w:vertAlign w:val="superscript"/>
        </w:rPr>
        <w:footnoteReference w:id="8"/>
      </w:r>
      <w:r w:rsidRPr="00207357">
        <w:rPr>
          <w:vertAlign w:val="superscript"/>
        </w:rPr>
        <w:t>,</w:t>
      </w:r>
      <w:r w:rsidRPr="00207357">
        <w:rPr>
          <w:rStyle w:val="FootnoteReference"/>
        </w:rPr>
        <w:footnoteReference w:id="9"/>
      </w:r>
      <w:r w:rsidRPr="00207357">
        <w:t xml:space="preserve">, vammaiset henkilöt, sosioekonomisesti heikommassa asemassa olevat henkilöt, turvapaikanhakijat, pakolaiset ja siirtolaiset, ovat toistuvasti vihapuheen ja viharikosten kohteina; ottaa huomioon, että </w:t>
      </w:r>
      <w:proofErr w:type="spellStart"/>
      <w:r w:rsidRPr="00207357">
        <w:t>hlbtiq</w:t>
      </w:r>
      <w:proofErr w:type="spellEnd"/>
      <w:r w:rsidRPr="00207357">
        <w:noBreakHyphen/>
        <w:t>henkilöihin kohdistuvat viharikokset ja vihapuhe samoin kuin naisten syrjintä ja naisviha ovat lisääntyneet huomattavasti Euroopassa</w:t>
      </w:r>
      <w:r w:rsidRPr="00207357">
        <w:rPr>
          <w:vertAlign w:val="superscript"/>
        </w:rPr>
        <w:footnoteReference w:id="10"/>
      </w:r>
      <w:r w:rsidRPr="00207357">
        <w:t xml:space="preserve">; ottaa huomioon, että moniperusteinen ja </w:t>
      </w:r>
      <w:proofErr w:type="spellStart"/>
      <w:r w:rsidRPr="00207357">
        <w:t>intersektionaalinen</w:t>
      </w:r>
      <w:proofErr w:type="spellEnd"/>
      <w:r w:rsidRPr="00207357">
        <w:t xml:space="preserve"> syrjintä on hedelmällinen peruste vihapuheelle ja </w:t>
      </w:r>
      <w:r w:rsidRPr="00207357">
        <w:lastRenderedPageBreak/>
        <w:t>viharikoksille; toteaa, että vihapuheen kohteet jätetään yhä useammin yhteiskunnan ulkopuolelle;</w:t>
      </w:r>
    </w:p>
    <w:p w:rsidR="00964251" w:rsidRPr="00207357" w:rsidRDefault="00964251" w:rsidP="00165181">
      <w:pPr>
        <w:pStyle w:val="NormalHanging12a"/>
        <w:widowControl/>
        <w:rPr>
          <w:szCs w:val="24"/>
        </w:rPr>
      </w:pPr>
      <w:r w:rsidRPr="00207357">
        <w:t>H.</w:t>
      </w:r>
      <w:r w:rsidRPr="00207357">
        <w:tab/>
        <w:t>ottaa huomioon, että monissa jäsenvaltioissa syrjinnän ja vihan lisääntymistä pahentavat ääriliikkeet ja populistiset liikkeet sekä verkkoympäristön ja sosiaalisen median kerrannaisvaikutus, jotka edistävät uudelleen rikoksen uhriksi joutumista; toteaa, että tämä johtaa vaarallisiin jakolinjoihin koko yhteiskunnassa ja uhkaa demokratiaa;</w:t>
      </w:r>
    </w:p>
    <w:p w:rsidR="00964251" w:rsidRPr="00207357" w:rsidRDefault="00964251" w:rsidP="00165181">
      <w:pPr>
        <w:pStyle w:val="NormalHanging12a"/>
        <w:widowControl/>
        <w:rPr>
          <w:szCs w:val="24"/>
        </w:rPr>
      </w:pPr>
      <w:r w:rsidRPr="00207357">
        <w:t>I.</w:t>
      </w:r>
      <w:r w:rsidRPr="00207357">
        <w:tab/>
        <w:t>toteaa, että on todisteita siitä, että vihapuhe ja vihaperusteiset rikokset ovat edelleen aliraportoituja EU:ssa</w:t>
      </w:r>
      <w:r w:rsidRPr="00207357">
        <w:rPr>
          <w:vertAlign w:val="superscript"/>
        </w:rPr>
        <w:footnoteReference w:id="11"/>
      </w:r>
      <w:r w:rsidRPr="00207357">
        <w:t>, mikä tekee ongelman laajuuden määrittämisestä hankalaa;</w:t>
      </w:r>
    </w:p>
    <w:p w:rsidR="00964251" w:rsidRPr="00207357" w:rsidRDefault="00964251" w:rsidP="00165181">
      <w:pPr>
        <w:pStyle w:val="NormalHanging12a"/>
        <w:widowControl/>
        <w:rPr>
          <w:szCs w:val="24"/>
        </w:rPr>
      </w:pPr>
      <w:r w:rsidRPr="00207357">
        <w:t>J.</w:t>
      </w:r>
      <w:r w:rsidRPr="00207357">
        <w:tab/>
        <w:t>ottaa huomioon, että tiedotusvälineillä ja toimittajilla on keskeinen rooli tiedon tarjoamisessa yhteiskunnalle ja demokraattisten prosessien edistämisessä;</w:t>
      </w:r>
    </w:p>
    <w:p w:rsidR="00964251" w:rsidRPr="00207357" w:rsidRDefault="00964251" w:rsidP="00165181">
      <w:pPr>
        <w:pStyle w:val="NormalHanging12a"/>
        <w:widowControl/>
        <w:rPr>
          <w:szCs w:val="24"/>
        </w:rPr>
      </w:pPr>
      <w:r w:rsidRPr="00207357">
        <w:t>K.</w:t>
      </w:r>
      <w:r w:rsidRPr="00207357">
        <w:tab/>
        <w:t>toteaa, että poliittiselle keskustelulle on yhä enemmän ominaista vihapuhe; katsoo, että vaalikampanjat tarjoavat hedelmällisen maaperän vihapuheelle ja vihaan yllyttämiselle, mikä vaikuttaa paitsi poliittiseen toimintaan myös koko yhteiskunnan toimintaan ja syventää poliittista vastakkainasettelua; katsoo, että julkisessa asemassa oleviin naisiin kohdistuva vihapuhe on noussut hälyttävälle tasolle; katsoo, että poliittisilla johtajilla on merkittävä rooli ja vastuu vihapuheen ja suvaitsemattomuuden torjunnassa; katsoo, että heidän pitäisi johtaa näyttämällä esimerkkiä ja tuomita julkisesti vihapuhe ja viharikokset;</w:t>
      </w:r>
    </w:p>
    <w:p w:rsidR="00964251" w:rsidRPr="00207357" w:rsidRDefault="00964251" w:rsidP="00165181">
      <w:pPr>
        <w:pStyle w:val="NormalHanging12a"/>
        <w:widowControl/>
        <w:rPr>
          <w:szCs w:val="24"/>
        </w:rPr>
      </w:pPr>
      <w:r w:rsidRPr="00207357">
        <w:t>L.</w:t>
      </w:r>
      <w:r w:rsidRPr="00207357">
        <w:tab/>
        <w:t>ottaa huomioon, että alaikäiset ovat erityisen haavoittuvia vihapuheen ja viharikosten uhreja esimerkiksi koulussa tai verkossa verkkokiusaamisen kautta; katsoo, että tällaiset hyökkäykset vaarantavat alaikäisten fyysisen ja henkisen koskemattomuuden ja vaikuttavat heidän kehitykseensä sekä fyysiseen ja henkiseen terveyteensä; katsoo, että heihin on kiinnitettävä erityistä huomiota;</w:t>
      </w:r>
    </w:p>
    <w:p w:rsidR="00964251" w:rsidRPr="00207357" w:rsidRDefault="00964251" w:rsidP="00165181">
      <w:pPr>
        <w:pStyle w:val="NormalHanging12a"/>
        <w:widowControl/>
        <w:rPr>
          <w:szCs w:val="24"/>
        </w:rPr>
      </w:pPr>
      <w:r w:rsidRPr="00207357">
        <w:t>M.</w:t>
      </w:r>
      <w:r w:rsidRPr="00207357">
        <w:tab/>
        <w:t>ottaa huomioon, että jäsenvaltiot eivät puutu vihapuheeseen ja viharikoksiin samalla tavalla omissa rikoslaeissaan, mikä jättää tietyt ryhmät vaille riittävää suojelua joissain unionin osissa; katsoo, että tämä vaikeuttaa yhteisen eurooppalaisen lähestymistavan määrittämistä vihapuheen ja viharikosten torjumiseksi; toteaa, että oikeussuojan puutteella voi olla tuhoisia seurauksia uhreille;</w:t>
      </w:r>
    </w:p>
    <w:p w:rsidR="00964251" w:rsidRPr="00207357" w:rsidRDefault="00964251" w:rsidP="00165181">
      <w:pPr>
        <w:pStyle w:val="NormalHanging12a"/>
        <w:widowControl/>
        <w:rPr>
          <w:szCs w:val="24"/>
        </w:rPr>
      </w:pPr>
      <w:r w:rsidRPr="00207357">
        <w:t>N.</w:t>
      </w:r>
      <w:r w:rsidRPr="00207357">
        <w:tab/>
        <w:t>ottaa huomioon, että EU:n nykyinen kehys kattaa ainoastaan rotuun, ihonväriin, uskontoon, syntyperään ja kansalliseen tai etniseen alkuperään perustuvan vihapuheen ja viharikokset; toteaa, että EU:n tasolla ei nykyään ole olemassa kattavaa yhteistä vihapuheen ja viharikoksen oikeudellista määritelmää; katsoo, että on selvä tarve puuttua tehokkaasti vihapuheeseen ja viharikoksiin, jotka perustuvat muihin syihin, kuten sukupuoleen, seksuaaliseen suuntautumiseen, sosiaaliseen sukupuoleen, sukupuoli-identiteettiin, sukupuoli-ilmaisuun, sukupuoliominaisuuksiin, ikään, vammaisuuteen ja muihin perustavaa laatua oleviin, erityisesti perusoikeuskirjan 21 artiklassa suojeltuihin ominaisuuksiin tai tällaisten ominaisuuksien yhdistelmään; toteaa, että EU:n on suojeltava yhteiskunnassa kaikkein haavoittuvimmassa asemassa olevia; katsoo, että erityistä huomiota olisi kiinnitettävä vihapuheelle ja viharikoksille kaikkein altteimpien henkilöiden, ryhmien tai yhteisöjen tunnistamiseen, jotta voidaan välttää kielteisiä vaikutuksia uhrien suojeluun;</w:t>
      </w:r>
    </w:p>
    <w:p w:rsidR="00964251" w:rsidRPr="00207357" w:rsidRDefault="00964251" w:rsidP="00165181">
      <w:pPr>
        <w:pStyle w:val="NormalHanging12a"/>
        <w:widowControl/>
        <w:rPr>
          <w:szCs w:val="24"/>
        </w:rPr>
      </w:pPr>
      <w:r w:rsidRPr="00207357">
        <w:lastRenderedPageBreak/>
        <w:t>O.</w:t>
      </w:r>
      <w:r w:rsidRPr="00207357">
        <w:tab/>
        <w:t xml:space="preserve">toteaa, että SEUT 83 artiklan 1 kohdassa asetetaan selkeät vaatimukset uusien rikollisuuden alojen sisällyttämiseksi </w:t>
      </w:r>
      <w:proofErr w:type="spellStart"/>
      <w:r w:rsidRPr="00207357">
        <w:t>rajatylittävien</w:t>
      </w:r>
      <w:proofErr w:type="spellEnd"/>
      <w:r w:rsidRPr="00207357">
        <w:t xml:space="preserve"> EU-rikosten luetteloon; ottaa huomioon, että verkossa esiintyvällä vihapuheella on selkeästi erityinen </w:t>
      </w:r>
      <w:proofErr w:type="spellStart"/>
      <w:r w:rsidRPr="00207357">
        <w:t>rajatylittävä</w:t>
      </w:r>
      <w:proofErr w:type="spellEnd"/>
      <w:r w:rsidRPr="00207357">
        <w:t xml:space="preserve"> ulottuvuus; ottaa huomioon, että digitaalinen muutos korostaa tarvetta puuttua tähän ilmiöön Euroopan tasolla; katsoo, että vihapuhetta ja viharikoksia on torjuttava yhteiseltä pohjalta ja EU:n tasolla; toteaa, että EU:lla on velvollisuus toimia;</w:t>
      </w:r>
    </w:p>
    <w:p w:rsidR="00964251" w:rsidRPr="00207357" w:rsidRDefault="00964251" w:rsidP="00165181">
      <w:pPr>
        <w:pStyle w:val="NormalHanging12a"/>
        <w:widowControl/>
        <w:rPr>
          <w:szCs w:val="24"/>
        </w:rPr>
      </w:pPr>
      <w:r w:rsidRPr="00207357">
        <w:t>P.</w:t>
      </w:r>
      <w:r w:rsidRPr="00207357">
        <w:tab/>
        <w:t>katsoo, että vihapuheeseen ja viharikoksiin liittyvien EU:n rikosoikeudellisten toimien olisi oltava tehokkaita, oikeasuhteisia ja tarkoitukseen räätälöityjä, jotta voidaan suojella asianmukaisesti uhria ja antaa asiaankuuluva painoarvo sananvapaudelle ja tiedonvälityksen vapaudelle, jotka ovat demokratian kulmakiviä; katsoo, että EU:n olisi taattava, että jäsenvaltioiden toimivaltaiset viranomaiset eivät saisi käyttää väärin vihapuheen ehkäisemiseen ja torjuntaan tarkoitettuja sananvapautta koskevia rajoituksia vähemmistöjen hiljentämiseksi tai kritiikin tukahduttamiseksi; toteaa, että Euroopan ihmisoikeustuomioistuimen sananvapaudesta antamia tuomioita on kunnioitettava toteutettaessa vihapuheen vastaisia suojatoimia;</w:t>
      </w:r>
    </w:p>
    <w:p w:rsidR="00964251" w:rsidRPr="00207357" w:rsidRDefault="00964251" w:rsidP="00165181">
      <w:pPr>
        <w:pStyle w:val="NormalHanging12a"/>
        <w:widowControl/>
        <w:rPr>
          <w:szCs w:val="24"/>
        </w:rPr>
      </w:pPr>
      <w:r w:rsidRPr="00207357">
        <w:t>Q.</w:t>
      </w:r>
      <w:r w:rsidRPr="00207357">
        <w:tab/>
        <w:t>toteaa, että ihmisarvo ja syrjimättömyysperiaate ovat ne perusoikeudet, joita suojellaan vihapuheen ja viharikosten torjunnassa; katsoo, että tällaisen suojelun olisi oltava yleismaailmallista; katsoo, että suojeleminen suvaitsemattomuudelta, perustuu se sitten rotuun, kansalliseen alkuperään, seksuaaliseen suuntautumiseen, uskontoon, ideologiaan, ikään, mielipiteeseen tai muuhun henkilökohtaiseen, fyysiseen tai sosiaaliseen ominaisuuteen tai olosuhteeseen, sen ilmaisumuodosta riippumatta ei saa rajoittua vain tiettyihin syihin tai vaikuttimiin;</w:t>
      </w:r>
    </w:p>
    <w:p w:rsidR="00964251" w:rsidRPr="00207357" w:rsidRDefault="00964251" w:rsidP="00165181">
      <w:pPr>
        <w:pStyle w:val="NormalHanging12a"/>
        <w:widowControl/>
        <w:rPr>
          <w:szCs w:val="24"/>
        </w:rPr>
      </w:pPr>
      <w:r w:rsidRPr="00207357">
        <w:t>R.</w:t>
      </w:r>
      <w:r w:rsidRPr="00207357">
        <w:tab/>
        <w:t>ottaa huomioon, että sosiaalisen dynamiikan muutokset voivat luoda vihapuheelle ja viharikoksille uusia vaikuttimia, joihin on puututtava EU:n yhteisessä kehyksessä, mikä edellyttää laajennusta SEUT 83 artiklan 1 kohtaan, jossa määritetään EU</w:t>
      </w:r>
      <w:r w:rsidRPr="00207357">
        <w:noBreakHyphen/>
        <w:t>rikosten luettelo;</w:t>
      </w:r>
    </w:p>
    <w:p w:rsidR="00964251" w:rsidRPr="00207357" w:rsidRDefault="00964251" w:rsidP="00165181">
      <w:pPr>
        <w:pStyle w:val="NormalHanging12a"/>
        <w:widowControl/>
      </w:pPr>
      <w:r w:rsidRPr="00207357">
        <w:t>S.</w:t>
      </w:r>
      <w:r w:rsidRPr="00207357">
        <w:tab/>
        <w:t>ottaa huomioon vuonna 2021 annetun komission tiedonannon ”Osallistavampi ja suojelevampi Eurooppa: EU-rikosten luettelon laajentaminen kattamaan vihapuheen ja viharikokset”, jotta viharikokset ja vihapuhe voidaan lisätä luetteloon sellaisista rikollisuuden aloista, joilla parlamentti ja neuvosto voivat vahvistaa rikosten ja seuraamusten määrittelyä koskevat vähimmäissäännöt, joita sovelletaan kaikissa EU:n jäsenvaltioissa SEUT 83 artiklan 1 kohdan mukaisesti; toteaa, että neuvoston on tehtävä tätä koskeva päätös;</w:t>
      </w:r>
    </w:p>
    <w:p w:rsidR="00964251" w:rsidRPr="00207357" w:rsidRDefault="00964251" w:rsidP="00165181">
      <w:pPr>
        <w:pStyle w:val="NormalHanging12a"/>
        <w:widowControl/>
        <w:rPr>
          <w:szCs w:val="24"/>
        </w:rPr>
      </w:pPr>
      <w:r w:rsidRPr="00207357">
        <w:t>T.</w:t>
      </w:r>
      <w:r w:rsidRPr="00207357">
        <w:tab/>
        <w:t>katsoo, että neuvoston päätös olisi ensimmäinen vaihe tarvittavan oikeusperustan luomisessa, jotta toisessa vaiheessa voidaan hyväksyä yhteinen oikeudellinen kehys vihapuheen ja viharikosten torjumiseksi kaikkialla EU:ssa; katsoo, että tällaista yhteistä oikeudellista kehystä tarvitaan kiireellisesti rikosten ja seuraamusten määrittelyä koskevien vähimmäisnormien vahvistamiseksi ja siten vihapuheen ja viharikosten torjumiseksi yhteiseltä eurooppalaiselta pohjalta, jotta voidaan varmistaa tällaisten tekojen mahdollisten uhrien yhdenmukainen suojelu kaikkialla unionissa;</w:t>
      </w:r>
    </w:p>
    <w:p w:rsidR="00964251" w:rsidRPr="00207357" w:rsidRDefault="00964251" w:rsidP="00165181">
      <w:pPr>
        <w:pStyle w:val="NormalHanging12a"/>
        <w:widowControl/>
      </w:pPr>
      <w:r w:rsidRPr="00207357">
        <w:t>U.</w:t>
      </w:r>
      <w:r w:rsidRPr="00207357">
        <w:tab/>
        <w:t>ottaa huomioon, että neuvosto ei ole vielä antanut päätöstä; toteaa, että eräät jäsenvaltiot ovat estäneet konkreettisen edistymisen tämän nimenomaisen menettelyn käsittelyssä neuvostossa;</w:t>
      </w:r>
    </w:p>
    <w:p w:rsidR="00964251" w:rsidRPr="00207357" w:rsidRDefault="00964251" w:rsidP="00165181">
      <w:pPr>
        <w:pStyle w:val="NormalHanging12a"/>
        <w:widowControl/>
        <w:rPr>
          <w:szCs w:val="24"/>
        </w:rPr>
      </w:pPr>
      <w:r w:rsidRPr="00207357">
        <w:t>V.</w:t>
      </w:r>
      <w:r w:rsidRPr="00207357">
        <w:tab/>
        <w:t xml:space="preserve">ottaa huomioon, että SEUT 83 artiklan 1 kohdassa edellytetään neuvoston yksimielisyyttä, jotta voidaan määritellä ”muita rikollisuuden aloja”; katsoo, että tämä </w:t>
      </w:r>
      <w:r w:rsidRPr="00207357">
        <w:lastRenderedPageBreak/>
        <w:t>vaatimus on osoittautunut haitalliseksi tarvittavan yhteisen edistyksen saavuttamiselle vihapuheen ja viharikosten torjumisessa unionissa;</w:t>
      </w:r>
    </w:p>
    <w:p w:rsidR="00964251" w:rsidRPr="00207357" w:rsidRDefault="00964251" w:rsidP="00165181">
      <w:pPr>
        <w:pStyle w:val="NormalHanging12a"/>
        <w:widowControl/>
        <w:rPr>
          <w:szCs w:val="24"/>
        </w:rPr>
      </w:pPr>
      <w:r w:rsidRPr="00207357">
        <w:t>1.</w:t>
      </w:r>
      <w:r w:rsidRPr="00207357">
        <w:tab/>
        <w:t>kehottaa neuvostoa antamaan päätöksen vihapuheen ja viharikosten sisällyttämisestä SEUT 83 artiklan 1 kohdassa tarkoitettujen rikosten luetteloon, jotta komissio voi käynnistää menettelyn toisen vaiheen;</w:t>
      </w:r>
    </w:p>
    <w:p w:rsidR="00964251" w:rsidRPr="00207357" w:rsidRDefault="00964251" w:rsidP="00165181">
      <w:pPr>
        <w:pStyle w:val="NormalHanging12a"/>
        <w:widowControl/>
        <w:rPr>
          <w:szCs w:val="24"/>
        </w:rPr>
      </w:pPr>
      <w:r w:rsidRPr="00207357">
        <w:t>2.</w:t>
      </w:r>
      <w:r w:rsidRPr="00207357">
        <w:tab/>
        <w:t>muistuttaa, että jäsenvaltioiden rikoslaeissa käsitellään vihapuhetta ja viharikoksia eri tavoin ja että EU-tason yhdenmukaisia vähimmäissääntöjä on olemassa vain, jos tällaiset rikokset kohdistuvat ryhmään tai yksilöön ja perustuvat rotuun, ihonväriin, uskontoon, syntyperään tai kansalliseen tai etniseen alkuperään, mikä vaikeuttaa onnistuneen yhteisen strategian täytäntöönpanoa vihan torjumiseksi tehokkaasti;</w:t>
      </w:r>
    </w:p>
    <w:p w:rsidR="00964251" w:rsidRPr="00207357" w:rsidRDefault="00964251" w:rsidP="00165181">
      <w:pPr>
        <w:pStyle w:val="NormalHanging12a"/>
        <w:widowControl/>
        <w:rPr>
          <w:szCs w:val="24"/>
        </w:rPr>
      </w:pPr>
      <w:r w:rsidRPr="00207357">
        <w:t>3.</w:t>
      </w:r>
      <w:r w:rsidRPr="00207357">
        <w:tab/>
        <w:t>pitää erittäin valitettavana, että komission tiedonannon julkaisemisesta on kulunut lähes kaksi vuotta ja että neuvosto ei ole edistynyt sen osalta, vaikka se pystyi nopeasti laajentamaan EU-rikosten luetteloa muihin tarkoituksiin; pitää tällaista toimien puuttumista valitettavana vihapuheen ja viharikosten lisääntymisen vuoksi;</w:t>
      </w:r>
    </w:p>
    <w:p w:rsidR="00964251" w:rsidRPr="00207357" w:rsidRDefault="00964251" w:rsidP="00165181">
      <w:pPr>
        <w:pStyle w:val="NormalHanging12a"/>
        <w:widowControl/>
      </w:pPr>
      <w:r w:rsidRPr="00207357">
        <w:t>4.</w:t>
      </w:r>
      <w:r w:rsidRPr="00207357">
        <w:tab/>
        <w:t>kehottaa jäsenvaltioita tekemään vastuullista ja rakentavaa yhteistyötä neuvottelujen jatkamiseksi neuvostossa, jotta neuvoston päätös voidaan hyväksyä ennen kuluvan vaalikauden päättymistä;</w:t>
      </w:r>
    </w:p>
    <w:p w:rsidR="00964251" w:rsidRPr="00207357" w:rsidRDefault="00964251" w:rsidP="00165181">
      <w:pPr>
        <w:pStyle w:val="NormalHanging12a"/>
        <w:widowControl/>
        <w:rPr>
          <w:szCs w:val="24"/>
        </w:rPr>
      </w:pPr>
      <w:r w:rsidRPr="00207357">
        <w:t>5.</w:t>
      </w:r>
      <w:r w:rsidRPr="00207357">
        <w:tab/>
        <w:t>kehottaa jäsenvaltioita tukemaan tai ainakin olemaan vastustamatta päätösluonnoksen hyväksymistä;</w:t>
      </w:r>
    </w:p>
    <w:p w:rsidR="00964251" w:rsidRPr="00207357" w:rsidRDefault="00964251" w:rsidP="00165181">
      <w:pPr>
        <w:pStyle w:val="NormalHanging12a"/>
        <w:widowControl/>
      </w:pPr>
      <w:r w:rsidRPr="00207357">
        <w:t>6.</w:t>
      </w:r>
      <w:r w:rsidRPr="00207357">
        <w:tab/>
        <w:t>kehottaa Euroopan unionin neuvoston nykyistä ja tulevia puheenjohtajavaltioita pitämään komission ehdotusta ensisijaisena asiana laatiessaan asialistaansa ja asettaessaan tavoitteita;</w:t>
      </w:r>
    </w:p>
    <w:p w:rsidR="00964251" w:rsidRPr="00207357" w:rsidRDefault="00964251" w:rsidP="00165181">
      <w:pPr>
        <w:pStyle w:val="NormalHanging12a"/>
        <w:widowControl/>
        <w:rPr>
          <w:szCs w:val="24"/>
        </w:rPr>
      </w:pPr>
      <w:r w:rsidRPr="00207357">
        <w:t>7.</w:t>
      </w:r>
      <w:r w:rsidRPr="00207357">
        <w:tab/>
        <w:t>suosittelee muuttamaan SEUT 83 artiklaa siten, että vaatimuksena on vahvistettu määräenemmistö nykyisin vaaditun yksimielisyyden sijaan; kehottaa ottamaan tältä osin käyttöön siirtymälausekkeen;</w:t>
      </w:r>
    </w:p>
    <w:p w:rsidR="00964251" w:rsidRPr="00207357" w:rsidRDefault="00964251" w:rsidP="00165181">
      <w:pPr>
        <w:pStyle w:val="NormalHanging12a"/>
        <w:widowControl/>
      </w:pPr>
      <w:r w:rsidRPr="00207357">
        <w:t>8.</w:t>
      </w:r>
      <w:r w:rsidRPr="00207357">
        <w:tab/>
        <w:t>korostaa, että tulevassa EU:n lainsäädännössä, jossa vahvistetaan rikosten määritelmää ja vihapuheen ja viharikosten seuraamuksia koskevat vähimmäisvaatimukset, on suojeltava ihmisarvoa, pyrittävä ehkäisemään vahinkoja, varmistettava tasa-arvo ja torjuttava vihaa ja suvaitsemattomuutta vaikuttimesta riippumatta;</w:t>
      </w:r>
    </w:p>
    <w:p w:rsidR="00964251" w:rsidRPr="00207357" w:rsidRDefault="00964251" w:rsidP="00165181">
      <w:pPr>
        <w:pStyle w:val="NormalHanging12a"/>
        <w:widowControl/>
        <w:rPr>
          <w:szCs w:val="24"/>
        </w:rPr>
      </w:pPr>
      <w:r w:rsidRPr="00207357">
        <w:t>9.</w:t>
      </w:r>
      <w:r w:rsidRPr="00207357">
        <w:tab/>
        <w:t>muistuttaa, että suojelun on oltava yleismaailmallista ja siinä on keskityttävä erityisesti kohteena oleviin henkilöihin ja haavoittuviin ryhmiin ja yhteisöihin;</w:t>
      </w:r>
    </w:p>
    <w:p w:rsidR="00964251" w:rsidRPr="00207357" w:rsidRDefault="00964251" w:rsidP="00165181">
      <w:pPr>
        <w:pStyle w:val="NormalHanging12a"/>
        <w:widowControl/>
        <w:rPr>
          <w:szCs w:val="24"/>
        </w:rPr>
      </w:pPr>
      <w:r w:rsidRPr="00207357">
        <w:t>10.</w:t>
      </w:r>
      <w:r w:rsidRPr="00207357">
        <w:tab/>
        <w:t>muistuttaa, että sananvapaus on demokraattisten yhteiskuntien perustana oleva arvo, jota ei pitäisi rajoittaa perusteettomasti; muistuttaa lisäksi, että kaiken vihapuhetta ja viharikoksia koskevan lainsäädännön olisi perustuttava välttämättömyys- ja suhteellisuusperiaatteille; painottaa, että sananvapautta on harjoitettava laissa asetetuissa rajoissa ja perusoikeuskirjan 11 artiklan mukaisesti eikä sitä saisi käyttää vihapuheen ja viharikosten suojakilpenä;</w:t>
      </w:r>
    </w:p>
    <w:p w:rsidR="00964251" w:rsidRPr="00207357" w:rsidRDefault="00964251" w:rsidP="00165181">
      <w:pPr>
        <w:pStyle w:val="NormalHanging12a"/>
        <w:widowControl/>
        <w:rPr>
          <w:szCs w:val="24"/>
        </w:rPr>
      </w:pPr>
      <w:r w:rsidRPr="00207357">
        <w:t>11.</w:t>
      </w:r>
      <w:r w:rsidRPr="00207357">
        <w:tab/>
        <w:t>pyytää komissiota harkitsemaan avointa lähestymistapaa, jossa syrjinnän perusteiden luetteloa ei rajoiteta suljettuun luetteloon, jotta voidaan torjua tehokkaasti vihapuhetta ja viharikoksia, joiden vaikuttimena on uusi ja muuttuva sosiaalinen dynamiikka;</w:t>
      </w:r>
    </w:p>
    <w:p w:rsidR="00964251" w:rsidRPr="00207357" w:rsidRDefault="00964251" w:rsidP="00165181">
      <w:pPr>
        <w:pStyle w:val="NormalHanging12a"/>
        <w:widowControl/>
      </w:pPr>
      <w:r w:rsidRPr="00207357">
        <w:lastRenderedPageBreak/>
        <w:t>12.</w:t>
      </w:r>
      <w:r w:rsidRPr="00207357">
        <w:tab/>
        <w:t>painottaa, että internetin väärinkäytökset ja mikrokohdennettuun mainontaan perustuva sosiaalisen median alustojen liiketoimintamalli edistävät syrjintään ja väkivaltaan yllyttävän vihapuheen levittämistä ja vahvistamista ja lisäävät uudelleen rikoksen uhriksi joutumisen riskiä; kehottaa komissiota ja jäsenvaltioita varmistamaan nykyisen lainsäädännön, kuten asetuksen (EU) 2022/2065</w:t>
      </w:r>
      <w:r w:rsidRPr="00207357">
        <w:rPr>
          <w:rStyle w:val="FootnoteReference"/>
        </w:rPr>
        <w:footnoteReference w:id="12"/>
      </w:r>
      <w:r w:rsidRPr="00207357">
        <w:t>, asianmukaisen täytäntöönpanon ja hyödyntämään kaikkia käytettävissään olevia keinoja ja välineitä vihapuheen levittämisen torjumiseksi verkossa;</w:t>
      </w:r>
    </w:p>
    <w:p w:rsidR="00964251" w:rsidRPr="00207357" w:rsidRDefault="00964251" w:rsidP="00165181">
      <w:pPr>
        <w:pStyle w:val="NormalHanging12a"/>
        <w:widowControl/>
        <w:rPr>
          <w:szCs w:val="24"/>
        </w:rPr>
      </w:pPr>
      <w:r w:rsidRPr="00207357">
        <w:t>13.</w:t>
      </w:r>
      <w:r w:rsidRPr="00207357">
        <w:tab/>
        <w:t>muistuttaa viranomaisten vastuusta vihapuheen ja viharikosten torjunnassa, tutkinnassa, syytteeseen asettamisessa ja raportoinnissa sekä siitä, että viranomaisten on toiminnassaan otettava huomioon vihaan viittaavat seikat; painottaa, että EU:n tulevassa lainsäädännössä pitäisi tukea ja edistää vahvaa yhteistyötä kansalaisyhteiskunnan, tasa-arvoelinten ja kansallisten ihmisoikeusinstituutioiden kanssa;</w:t>
      </w:r>
    </w:p>
    <w:p w:rsidR="00964251" w:rsidRPr="00207357" w:rsidRDefault="00964251" w:rsidP="00165181">
      <w:pPr>
        <w:pStyle w:val="NormalHanging12a"/>
        <w:widowControl/>
      </w:pPr>
      <w:r w:rsidRPr="00207357">
        <w:t>14.</w:t>
      </w:r>
      <w:r w:rsidRPr="00207357">
        <w:tab/>
        <w:t>kehottaa komissiota ja jäsenvaltioita kiinnittämään erityistä huomiota alaikäisiin, myös haavoittuviin ryhmiin kuuluviin, jotta heitä voidaan erityisesti suojella vihapuheelta ja viharikoksilta, estää tällaiset tapahtumat, mukaan lukien koulu- ja verkkokiusaaminen, ja minimoida niiden vaikutus alaikäisten kehitykseen ja mielenterveyteen;</w:t>
      </w:r>
    </w:p>
    <w:p w:rsidR="00964251" w:rsidRPr="00207357" w:rsidRDefault="00964251" w:rsidP="00165181">
      <w:pPr>
        <w:pStyle w:val="NormalHanging12a"/>
        <w:widowControl/>
        <w:rPr>
          <w:szCs w:val="24"/>
        </w:rPr>
      </w:pPr>
      <w:r w:rsidRPr="00207357">
        <w:t>15.</w:t>
      </w:r>
      <w:r w:rsidRPr="00207357">
        <w:tab/>
        <w:t xml:space="preserve">kehottaa komissiota varmistamaan, että otetaan käyttöön vankka EU:n oikeussuojakehys, jotta uhreja, erityisesti kaikkiin haavoittuviin ryhmiin kuuluvia, suojellaan tehokkaasti kaikkialla EU:ssa; painottaa tarvetta soveltaa </w:t>
      </w:r>
      <w:proofErr w:type="spellStart"/>
      <w:r w:rsidRPr="00207357">
        <w:t>intersektionaalista</w:t>
      </w:r>
      <w:proofErr w:type="spellEnd"/>
      <w:r w:rsidRPr="00207357">
        <w:t xml:space="preserve"> lähestymistapaa ja hyväksyä kattavia toimenpiteitä, joihin kuuluvat koulutuksen tarjoaminen uhrien kanssa todennäköisesti tekemisissä oleville ammattilaisille ja joilla varmistetaan suojelu, turvallinen pääsy riippumattomaan oikeusjärjestelmään sekä kohdennetut tukipalvelut ja korvaukset uhreille; painottaa, että uhrien olisi voitava raportoida kokemuksistaan toimivaltaisille viranomaisille ja saada suojelua; muistuttaa, että uhrien oikeusturvan varmistaminen loisi turvallisen ympäristön, joka edistäisi raportoinnin tehostamista, mikä on tarpeen vihapuheen ja viharikosten dokumentoimiseksi;</w:t>
      </w:r>
    </w:p>
    <w:p w:rsidR="00964251" w:rsidRPr="00207357" w:rsidRDefault="00964251" w:rsidP="00165181">
      <w:pPr>
        <w:pStyle w:val="NormalHanging12a"/>
        <w:widowControl/>
        <w:rPr>
          <w:szCs w:val="24"/>
        </w:rPr>
      </w:pPr>
      <w:r w:rsidRPr="00207357">
        <w:t>16.</w:t>
      </w:r>
      <w:r w:rsidRPr="00207357">
        <w:tab/>
        <w:t>kehottaa komissiota ja jäsenvaltioita perustamaan yhdessä unionin asianmukaisten elinten ja virastojen kanssa asianmukaisia tiedonkeruujärjestelmiä luotettavien, vertailtavien, eriteltyjen ja nimettömien tietojen saamiseksi vihatapahtumista, viharikokset mukaan lukien, asiaa koskevien kansallisten oikeudellisten kehysten ja EU:n tietosuojalainsäädännön mukaisesti, sekä asianmukaisia seurantamekanismeja, joilla parannetaan tietojen säännöllistä saatavuutta, vertailtavuutta ja laatua ja arvioidaan lainsäädännön ja politiikkatoimien vaikutusta vihapuheen ja viharikosten torjuntaan;</w:t>
      </w:r>
    </w:p>
    <w:p w:rsidR="00E365E1" w:rsidRDefault="00964251" w:rsidP="00165181">
      <w:pPr>
        <w:pStyle w:val="NormalHanging12a"/>
        <w:widowControl/>
      </w:pPr>
      <w:r w:rsidRPr="00207357">
        <w:t>17.</w:t>
      </w:r>
      <w:r w:rsidRPr="00207357">
        <w:tab/>
        <w:t>kehottaa puhemiestä välittämään tämän päätöslauselman neuvostolle ja komissiolle.</w:t>
      </w:r>
      <w:bookmarkStart w:id="9" w:name="TextBodyEnd"/>
      <w:bookmarkEnd w:id="9"/>
    </w:p>
    <w:p w:rsidR="00165181" w:rsidRPr="00207357" w:rsidRDefault="00165181" w:rsidP="00165181">
      <w:pPr>
        <w:pStyle w:val="NormalHanging12a"/>
        <w:widowControl/>
      </w:pPr>
    </w:p>
    <w:sectPr w:rsidR="00165181" w:rsidRPr="00207357" w:rsidSect="0020735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63F" w:rsidRPr="00207357" w:rsidRDefault="00D2063F">
      <w:r w:rsidRPr="00207357">
        <w:separator/>
      </w:r>
    </w:p>
  </w:endnote>
  <w:endnote w:type="continuationSeparator" w:id="0">
    <w:p w:rsidR="00D2063F" w:rsidRPr="00207357" w:rsidRDefault="00D2063F">
      <w:r w:rsidRPr="002073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63F" w:rsidRPr="00207357" w:rsidRDefault="00D2063F">
      <w:r w:rsidRPr="00207357">
        <w:separator/>
      </w:r>
    </w:p>
  </w:footnote>
  <w:footnote w:type="continuationSeparator" w:id="0">
    <w:p w:rsidR="00D2063F" w:rsidRPr="00207357" w:rsidRDefault="00D2063F">
      <w:r w:rsidRPr="00207357">
        <w:continuationSeparator/>
      </w:r>
    </w:p>
  </w:footnote>
  <w:footnote w:id="1">
    <w:p w:rsidR="00964251" w:rsidRPr="00207357" w:rsidRDefault="00964251" w:rsidP="00207357">
      <w:pPr>
        <w:pStyle w:val="FootnoteText"/>
        <w:ind w:left="567" w:hanging="567"/>
        <w:rPr>
          <w:sz w:val="24"/>
          <w:lang w:val="fi-FI"/>
        </w:rPr>
      </w:pPr>
      <w:r w:rsidRPr="00207357">
        <w:rPr>
          <w:rStyle w:val="FootnoteReference"/>
          <w:sz w:val="24"/>
          <w:lang w:val="fi-FI"/>
        </w:rPr>
        <w:footnoteRef/>
      </w:r>
      <w:r w:rsidR="00207357" w:rsidRPr="00207357">
        <w:rPr>
          <w:sz w:val="24"/>
          <w:lang w:val="fi-FI"/>
        </w:rPr>
        <w:t xml:space="preserve"> </w:t>
      </w:r>
      <w:r w:rsidR="00207357" w:rsidRPr="00207357">
        <w:rPr>
          <w:sz w:val="24"/>
          <w:lang w:val="fi-FI"/>
        </w:rPr>
        <w:tab/>
      </w:r>
      <w:r w:rsidRPr="00207357">
        <w:rPr>
          <w:sz w:val="24"/>
          <w:lang w:val="fi-FI"/>
        </w:rPr>
        <w:t>EUVL L 328, 6.12.2008, s. 55.</w:t>
      </w:r>
    </w:p>
  </w:footnote>
  <w:footnote w:id="2">
    <w:p w:rsidR="00964251" w:rsidRPr="00207357" w:rsidRDefault="00964251" w:rsidP="00207357">
      <w:pPr>
        <w:pStyle w:val="FootnoteText"/>
        <w:ind w:left="567" w:hanging="567"/>
        <w:rPr>
          <w:sz w:val="24"/>
          <w:lang w:val="fi-FI"/>
        </w:rPr>
      </w:pPr>
      <w:r w:rsidRPr="00207357">
        <w:rPr>
          <w:rStyle w:val="FootnoteReference"/>
          <w:sz w:val="24"/>
          <w:lang w:val="fi-FI"/>
        </w:rPr>
        <w:footnoteRef/>
      </w:r>
      <w:r w:rsidR="00207357" w:rsidRPr="00207357">
        <w:rPr>
          <w:sz w:val="24"/>
          <w:lang w:val="fi-FI"/>
        </w:rPr>
        <w:t xml:space="preserve"> </w:t>
      </w:r>
      <w:r w:rsidR="00207357" w:rsidRPr="00207357">
        <w:rPr>
          <w:sz w:val="24"/>
          <w:lang w:val="fi-FI"/>
        </w:rPr>
        <w:tab/>
      </w:r>
      <w:r w:rsidRPr="00207357">
        <w:rPr>
          <w:sz w:val="24"/>
          <w:lang w:val="fi-FI"/>
        </w:rPr>
        <w:t>EUVL C 425, 20.10.2021, s. 28.</w:t>
      </w:r>
    </w:p>
  </w:footnote>
  <w:footnote w:id="3">
    <w:p w:rsidR="00964251" w:rsidRPr="00207357" w:rsidRDefault="00964251" w:rsidP="00207357">
      <w:pPr>
        <w:pStyle w:val="FootnoteText"/>
        <w:ind w:left="567" w:hanging="567"/>
        <w:rPr>
          <w:sz w:val="24"/>
          <w:lang w:val="fi-FI"/>
        </w:rPr>
      </w:pPr>
      <w:r w:rsidRPr="00207357">
        <w:rPr>
          <w:rStyle w:val="FootnoteReference"/>
          <w:sz w:val="24"/>
          <w:lang w:val="fi-FI"/>
        </w:rPr>
        <w:footnoteRef/>
      </w:r>
      <w:r w:rsidR="00207357" w:rsidRPr="00207357">
        <w:rPr>
          <w:sz w:val="24"/>
          <w:lang w:val="fi-FI"/>
        </w:rPr>
        <w:t xml:space="preserve"> </w:t>
      </w:r>
      <w:r w:rsidR="00207357" w:rsidRPr="00207357">
        <w:rPr>
          <w:sz w:val="24"/>
          <w:lang w:val="fi-FI"/>
        </w:rPr>
        <w:tab/>
      </w:r>
      <w:r w:rsidRPr="00207357">
        <w:rPr>
          <w:sz w:val="24"/>
          <w:lang w:val="fi-FI"/>
        </w:rPr>
        <w:t>EUVL C 117, 11.3.2022, s. 88.</w:t>
      </w:r>
    </w:p>
  </w:footnote>
  <w:footnote w:id="4">
    <w:p w:rsidR="00964251" w:rsidRPr="00207357" w:rsidRDefault="00964251" w:rsidP="00207357">
      <w:pPr>
        <w:pStyle w:val="FootnoteText"/>
        <w:ind w:left="567" w:hanging="567"/>
        <w:rPr>
          <w:sz w:val="24"/>
          <w:lang w:val="fi-FI"/>
        </w:rPr>
      </w:pPr>
      <w:r w:rsidRPr="00207357">
        <w:rPr>
          <w:rStyle w:val="FootnoteReference"/>
          <w:sz w:val="24"/>
          <w:lang w:val="fi-FI"/>
        </w:rPr>
        <w:footnoteRef/>
      </w:r>
      <w:r w:rsidR="00207357" w:rsidRPr="00207357">
        <w:rPr>
          <w:sz w:val="24"/>
          <w:lang w:val="fi-FI"/>
        </w:rPr>
        <w:t xml:space="preserve"> </w:t>
      </w:r>
      <w:r w:rsidR="00207357" w:rsidRPr="00207357">
        <w:rPr>
          <w:sz w:val="24"/>
          <w:lang w:val="fi-FI"/>
        </w:rPr>
        <w:tab/>
      </w:r>
      <w:r w:rsidRPr="00207357">
        <w:rPr>
          <w:sz w:val="24"/>
          <w:lang w:val="fi-FI"/>
        </w:rPr>
        <w:t>EUVL C 363, 28.10.2020, s. 13.</w:t>
      </w:r>
    </w:p>
  </w:footnote>
  <w:footnote w:id="5">
    <w:p w:rsidR="00964251" w:rsidRPr="00207357" w:rsidRDefault="00964251" w:rsidP="00207357">
      <w:pPr>
        <w:pStyle w:val="FootnoteText"/>
        <w:ind w:left="567" w:hanging="567"/>
        <w:rPr>
          <w:sz w:val="24"/>
          <w:lang w:val="fi-FI"/>
        </w:rPr>
      </w:pPr>
      <w:r w:rsidRPr="00207357">
        <w:rPr>
          <w:rStyle w:val="FootnoteReference"/>
          <w:sz w:val="24"/>
          <w:lang w:val="fi-FI"/>
        </w:rPr>
        <w:footnoteRef/>
      </w:r>
      <w:r w:rsidR="00207357" w:rsidRPr="00207357">
        <w:rPr>
          <w:sz w:val="24"/>
          <w:lang w:val="fi-FI"/>
        </w:rPr>
        <w:t xml:space="preserve"> </w:t>
      </w:r>
      <w:r w:rsidR="00207357" w:rsidRPr="00207357">
        <w:rPr>
          <w:sz w:val="24"/>
          <w:lang w:val="fi-FI"/>
        </w:rPr>
        <w:tab/>
      </w:r>
      <w:r w:rsidRPr="00207357">
        <w:rPr>
          <w:sz w:val="24"/>
          <w:lang w:val="fi-FI"/>
        </w:rPr>
        <w:t xml:space="preserve">Yhteisöjen tuomioistuimen tuomio 30.4.1996, P v. S ja </w:t>
      </w:r>
      <w:proofErr w:type="spellStart"/>
      <w:r w:rsidRPr="00207357">
        <w:rPr>
          <w:sz w:val="24"/>
          <w:lang w:val="fi-FI"/>
        </w:rPr>
        <w:t>Cornwall</w:t>
      </w:r>
      <w:proofErr w:type="spellEnd"/>
      <w:r w:rsidRPr="00207357">
        <w:rPr>
          <w:sz w:val="24"/>
          <w:lang w:val="fi-FI"/>
        </w:rPr>
        <w:t xml:space="preserve"> </w:t>
      </w:r>
      <w:proofErr w:type="spellStart"/>
      <w:r w:rsidRPr="00207357">
        <w:rPr>
          <w:sz w:val="24"/>
          <w:lang w:val="fi-FI"/>
        </w:rPr>
        <w:t>County</w:t>
      </w:r>
      <w:proofErr w:type="spellEnd"/>
      <w:r w:rsidRPr="00207357">
        <w:rPr>
          <w:sz w:val="24"/>
          <w:lang w:val="fi-FI"/>
        </w:rPr>
        <w:t xml:space="preserve"> </w:t>
      </w:r>
      <w:proofErr w:type="spellStart"/>
      <w:r w:rsidRPr="00207357">
        <w:rPr>
          <w:sz w:val="24"/>
          <w:lang w:val="fi-FI"/>
        </w:rPr>
        <w:t>Council</w:t>
      </w:r>
      <w:proofErr w:type="spellEnd"/>
      <w:r w:rsidRPr="00207357">
        <w:rPr>
          <w:sz w:val="24"/>
          <w:lang w:val="fi-FI"/>
        </w:rPr>
        <w:t xml:space="preserve">, C-13/94, ECLI:EU:C:1996:170; yhteisöjen tuomioistuimen tuomio 7.1.2004, K. B. v. National Health Service </w:t>
      </w:r>
      <w:proofErr w:type="spellStart"/>
      <w:r w:rsidRPr="00207357">
        <w:rPr>
          <w:sz w:val="24"/>
          <w:lang w:val="fi-FI"/>
        </w:rPr>
        <w:t>Pensions</w:t>
      </w:r>
      <w:proofErr w:type="spellEnd"/>
      <w:r w:rsidRPr="00207357">
        <w:rPr>
          <w:sz w:val="24"/>
          <w:lang w:val="fi-FI"/>
        </w:rPr>
        <w:t xml:space="preserve"> Agency ja </w:t>
      </w:r>
      <w:proofErr w:type="spellStart"/>
      <w:r w:rsidRPr="00207357">
        <w:rPr>
          <w:sz w:val="24"/>
          <w:lang w:val="fi-FI"/>
        </w:rPr>
        <w:t>Secretary</w:t>
      </w:r>
      <w:proofErr w:type="spellEnd"/>
      <w:r w:rsidRPr="00207357">
        <w:rPr>
          <w:sz w:val="24"/>
          <w:lang w:val="fi-FI"/>
        </w:rPr>
        <w:t xml:space="preserve"> of State for Health, C-117/01, ECLI:EU:C:2004:7; yhteisöjen tuomioistuimen tuomio 27.4.2006, Sarah Margaret Richards v. </w:t>
      </w:r>
      <w:proofErr w:type="spellStart"/>
      <w:r w:rsidRPr="00207357">
        <w:rPr>
          <w:sz w:val="24"/>
          <w:lang w:val="fi-FI"/>
        </w:rPr>
        <w:t>Secretary</w:t>
      </w:r>
      <w:proofErr w:type="spellEnd"/>
      <w:r w:rsidRPr="00207357">
        <w:rPr>
          <w:sz w:val="24"/>
          <w:lang w:val="fi-FI"/>
        </w:rPr>
        <w:t xml:space="preserve"> of State for </w:t>
      </w:r>
      <w:proofErr w:type="spellStart"/>
      <w:r w:rsidRPr="00207357">
        <w:rPr>
          <w:sz w:val="24"/>
          <w:lang w:val="fi-FI"/>
        </w:rPr>
        <w:t>Work</w:t>
      </w:r>
      <w:proofErr w:type="spellEnd"/>
      <w:r w:rsidRPr="00207357">
        <w:rPr>
          <w:sz w:val="24"/>
          <w:lang w:val="fi-FI"/>
        </w:rPr>
        <w:t xml:space="preserve"> and </w:t>
      </w:r>
      <w:proofErr w:type="spellStart"/>
      <w:r w:rsidRPr="00207357">
        <w:rPr>
          <w:sz w:val="24"/>
          <w:lang w:val="fi-FI"/>
        </w:rPr>
        <w:t>Pensions</w:t>
      </w:r>
      <w:proofErr w:type="spellEnd"/>
      <w:r w:rsidRPr="00207357">
        <w:rPr>
          <w:sz w:val="24"/>
          <w:lang w:val="fi-FI"/>
        </w:rPr>
        <w:t xml:space="preserve">, C-423/04, ECLI:EU:C:2006:256; ja unionin tuomioistuimen tuomio 26.6.2018, M.B. v. </w:t>
      </w:r>
      <w:proofErr w:type="spellStart"/>
      <w:r w:rsidRPr="00207357">
        <w:rPr>
          <w:sz w:val="24"/>
          <w:lang w:val="fi-FI"/>
        </w:rPr>
        <w:t>Secretary</w:t>
      </w:r>
      <w:proofErr w:type="spellEnd"/>
      <w:r w:rsidRPr="00207357">
        <w:rPr>
          <w:sz w:val="24"/>
          <w:lang w:val="fi-FI"/>
        </w:rPr>
        <w:t xml:space="preserve"> of State for </w:t>
      </w:r>
      <w:proofErr w:type="spellStart"/>
      <w:r w:rsidRPr="00207357">
        <w:rPr>
          <w:sz w:val="24"/>
          <w:lang w:val="fi-FI"/>
        </w:rPr>
        <w:t>Work</w:t>
      </w:r>
      <w:proofErr w:type="spellEnd"/>
      <w:r w:rsidRPr="00207357">
        <w:rPr>
          <w:sz w:val="24"/>
          <w:lang w:val="fi-FI"/>
        </w:rPr>
        <w:t xml:space="preserve"> and </w:t>
      </w:r>
      <w:proofErr w:type="spellStart"/>
      <w:r w:rsidRPr="00207357">
        <w:rPr>
          <w:sz w:val="24"/>
          <w:lang w:val="fi-FI"/>
        </w:rPr>
        <w:t>Pensions</w:t>
      </w:r>
      <w:proofErr w:type="spellEnd"/>
      <w:r w:rsidRPr="00207357">
        <w:rPr>
          <w:sz w:val="24"/>
          <w:lang w:val="fi-FI"/>
        </w:rPr>
        <w:t>, C-451/16, ECLI:EU:C:2018:492.</w:t>
      </w:r>
    </w:p>
  </w:footnote>
  <w:footnote w:id="6">
    <w:p w:rsidR="00964251" w:rsidRPr="00207357" w:rsidRDefault="00964251" w:rsidP="00207357">
      <w:pPr>
        <w:pStyle w:val="FootnoteText"/>
        <w:ind w:left="567" w:hanging="567"/>
        <w:rPr>
          <w:sz w:val="24"/>
          <w:lang w:val="fi-FI"/>
        </w:rPr>
      </w:pPr>
      <w:r w:rsidRPr="00207357">
        <w:rPr>
          <w:rStyle w:val="FootnoteReference"/>
          <w:sz w:val="24"/>
          <w:lang w:val="fi-FI"/>
        </w:rPr>
        <w:footnoteRef/>
      </w:r>
      <w:r w:rsidR="00207357" w:rsidRPr="00207357">
        <w:rPr>
          <w:sz w:val="24"/>
          <w:lang w:val="fi-FI"/>
        </w:rPr>
        <w:t xml:space="preserve"> </w:t>
      </w:r>
      <w:r w:rsidR="00207357" w:rsidRPr="00207357">
        <w:rPr>
          <w:sz w:val="24"/>
          <w:lang w:val="fi-FI"/>
        </w:rPr>
        <w:tab/>
      </w:r>
      <w:proofErr w:type="spellStart"/>
      <w:r w:rsidRPr="00207357">
        <w:rPr>
          <w:sz w:val="24"/>
          <w:lang w:val="fi-FI"/>
        </w:rPr>
        <w:t>ETYJin</w:t>
      </w:r>
      <w:proofErr w:type="spellEnd"/>
      <w:r w:rsidRPr="00207357">
        <w:rPr>
          <w:sz w:val="24"/>
          <w:lang w:val="fi-FI"/>
        </w:rPr>
        <w:t xml:space="preserve"> demokraattisten instituutioiden ja ihmisoikeuksien toimiston vuotuinen viharikostilasto.</w:t>
      </w:r>
    </w:p>
  </w:footnote>
  <w:footnote w:id="7">
    <w:p w:rsidR="00964251" w:rsidRPr="00207357" w:rsidRDefault="00964251" w:rsidP="00207357">
      <w:pPr>
        <w:pStyle w:val="FootnoteText"/>
        <w:ind w:left="567" w:hanging="567"/>
        <w:rPr>
          <w:sz w:val="24"/>
          <w:lang w:val="fi-FI"/>
        </w:rPr>
      </w:pPr>
      <w:r w:rsidRPr="00207357">
        <w:rPr>
          <w:rStyle w:val="FootnoteReference"/>
          <w:sz w:val="24"/>
          <w:lang w:val="fi-FI"/>
        </w:rPr>
        <w:footnoteRef/>
      </w:r>
      <w:r w:rsidR="00207357" w:rsidRPr="00207357">
        <w:rPr>
          <w:sz w:val="24"/>
          <w:lang w:val="fi-FI"/>
        </w:rPr>
        <w:t xml:space="preserve"> </w:t>
      </w:r>
      <w:r w:rsidR="00207357" w:rsidRPr="00207357">
        <w:rPr>
          <w:sz w:val="24"/>
          <w:lang w:val="fi-FI"/>
        </w:rPr>
        <w:tab/>
      </w:r>
      <w:r w:rsidRPr="00207357">
        <w:rPr>
          <w:sz w:val="24"/>
          <w:lang w:val="fi-FI"/>
        </w:rPr>
        <w:t xml:space="preserve">Ks. esimerkiksi </w:t>
      </w:r>
      <w:proofErr w:type="spellStart"/>
      <w:r w:rsidRPr="00207357">
        <w:rPr>
          <w:sz w:val="24"/>
          <w:lang w:val="fi-FI"/>
        </w:rPr>
        <w:t>ECRIn</w:t>
      </w:r>
      <w:proofErr w:type="spellEnd"/>
      <w:r w:rsidRPr="00207357">
        <w:rPr>
          <w:sz w:val="24"/>
          <w:lang w:val="fi-FI"/>
        </w:rPr>
        <w:t xml:space="preserve"> vuotuinen toimintakertomus ajanjaksolta 1. tammikuuta – 31. joulukuuta 2019, </w:t>
      </w:r>
      <w:proofErr w:type="spellStart"/>
      <w:r w:rsidRPr="00207357">
        <w:rPr>
          <w:sz w:val="24"/>
          <w:lang w:val="fi-FI"/>
        </w:rPr>
        <w:t>ECRIn</w:t>
      </w:r>
      <w:proofErr w:type="spellEnd"/>
      <w:r w:rsidRPr="00207357">
        <w:rPr>
          <w:sz w:val="24"/>
          <w:lang w:val="fi-FI"/>
        </w:rPr>
        <w:t xml:space="preserve"> vuotuinen toimintakertomus ajanjaksolta 1. tammikuuta – 31. joulukuuta 2020 ja heinäkuussa 2020 julkaistu Euroopan parlamentin kansalaisoikeuksien sekä perussopimus-, työjärjestys- ja toimielinasioiden politiikkayksikön teettämä tutkimus ”</w:t>
      </w:r>
      <w:proofErr w:type="spellStart"/>
      <w:r w:rsidRPr="00207357">
        <w:rPr>
          <w:sz w:val="24"/>
          <w:lang w:val="fi-FI"/>
        </w:rPr>
        <w:t>Hate</w:t>
      </w:r>
      <w:proofErr w:type="spellEnd"/>
      <w:r w:rsidRPr="00207357">
        <w:rPr>
          <w:sz w:val="24"/>
          <w:lang w:val="fi-FI"/>
        </w:rPr>
        <w:t xml:space="preserve"> </w:t>
      </w:r>
      <w:proofErr w:type="spellStart"/>
      <w:r w:rsidRPr="00207357">
        <w:rPr>
          <w:sz w:val="24"/>
          <w:lang w:val="fi-FI"/>
        </w:rPr>
        <w:t>speech</w:t>
      </w:r>
      <w:proofErr w:type="spellEnd"/>
      <w:r w:rsidRPr="00207357">
        <w:rPr>
          <w:sz w:val="24"/>
          <w:lang w:val="fi-FI"/>
        </w:rPr>
        <w:t xml:space="preserve"> and </w:t>
      </w:r>
      <w:proofErr w:type="spellStart"/>
      <w:r w:rsidRPr="00207357">
        <w:rPr>
          <w:sz w:val="24"/>
          <w:lang w:val="fi-FI"/>
        </w:rPr>
        <w:t>hate</w:t>
      </w:r>
      <w:proofErr w:type="spellEnd"/>
      <w:r w:rsidRPr="00207357">
        <w:rPr>
          <w:sz w:val="24"/>
          <w:lang w:val="fi-FI"/>
        </w:rPr>
        <w:t xml:space="preserve"> </w:t>
      </w:r>
      <w:proofErr w:type="spellStart"/>
      <w:r w:rsidRPr="00207357">
        <w:rPr>
          <w:sz w:val="24"/>
          <w:lang w:val="fi-FI"/>
        </w:rPr>
        <w:t>crime</w:t>
      </w:r>
      <w:proofErr w:type="spellEnd"/>
      <w:r w:rsidRPr="00207357">
        <w:rPr>
          <w:sz w:val="24"/>
          <w:lang w:val="fi-FI"/>
        </w:rPr>
        <w:t xml:space="preserve"> in </w:t>
      </w:r>
      <w:proofErr w:type="spellStart"/>
      <w:r w:rsidRPr="00207357">
        <w:rPr>
          <w:sz w:val="24"/>
          <w:lang w:val="fi-FI"/>
        </w:rPr>
        <w:t>the</w:t>
      </w:r>
      <w:proofErr w:type="spellEnd"/>
      <w:r w:rsidRPr="00207357">
        <w:rPr>
          <w:sz w:val="24"/>
          <w:lang w:val="fi-FI"/>
        </w:rPr>
        <w:t xml:space="preserve"> EU and </w:t>
      </w:r>
      <w:proofErr w:type="spellStart"/>
      <w:r w:rsidRPr="00207357">
        <w:rPr>
          <w:sz w:val="24"/>
          <w:lang w:val="fi-FI"/>
        </w:rPr>
        <w:t>the</w:t>
      </w:r>
      <w:proofErr w:type="spellEnd"/>
      <w:r w:rsidRPr="00207357">
        <w:rPr>
          <w:sz w:val="24"/>
          <w:lang w:val="fi-FI"/>
        </w:rPr>
        <w:t xml:space="preserve"> </w:t>
      </w:r>
      <w:proofErr w:type="spellStart"/>
      <w:r w:rsidRPr="00207357">
        <w:rPr>
          <w:sz w:val="24"/>
          <w:lang w:val="fi-FI"/>
        </w:rPr>
        <w:t>evaluation</w:t>
      </w:r>
      <w:proofErr w:type="spellEnd"/>
      <w:r w:rsidRPr="00207357">
        <w:rPr>
          <w:sz w:val="24"/>
          <w:lang w:val="fi-FI"/>
        </w:rPr>
        <w:t xml:space="preserve"> of online </w:t>
      </w:r>
      <w:proofErr w:type="spellStart"/>
      <w:r w:rsidRPr="00207357">
        <w:rPr>
          <w:sz w:val="24"/>
          <w:lang w:val="fi-FI"/>
        </w:rPr>
        <w:t>content</w:t>
      </w:r>
      <w:proofErr w:type="spellEnd"/>
      <w:r w:rsidRPr="00207357">
        <w:rPr>
          <w:sz w:val="24"/>
          <w:lang w:val="fi-FI"/>
        </w:rPr>
        <w:t xml:space="preserve"> </w:t>
      </w:r>
      <w:proofErr w:type="spellStart"/>
      <w:r w:rsidRPr="00207357">
        <w:rPr>
          <w:sz w:val="24"/>
          <w:lang w:val="fi-FI"/>
        </w:rPr>
        <w:t>regulation</w:t>
      </w:r>
      <w:proofErr w:type="spellEnd"/>
      <w:r w:rsidRPr="00207357">
        <w:rPr>
          <w:sz w:val="24"/>
          <w:lang w:val="fi-FI"/>
        </w:rPr>
        <w:t xml:space="preserve"> </w:t>
      </w:r>
      <w:proofErr w:type="spellStart"/>
      <w:r w:rsidRPr="00207357">
        <w:rPr>
          <w:sz w:val="24"/>
          <w:lang w:val="fi-FI"/>
        </w:rPr>
        <w:t>approaches</w:t>
      </w:r>
      <w:proofErr w:type="spellEnd"/>
      <w:r w:rsidRPr="00207357">
        <w:rPr>
          <w:sz w:val="24"/>
          <w:lang w:val="fi-FI"/>
        </w:rPr>
        <w:t>”.</w:t>
      </w:r>
    </w:p>
  </w:footnote>
  <w:footnote w:id="8">
    <w:p w:rsidR="00964251" w:rsidRPr="00433E82" w:rsidRDefault="00964251" w:rsidP="00207357">
      <w:pPr>
        <w:pStyle w:val="FootnoteText"/>
        <w:ind w:left="567" w:hanging="567"/>
        <w:rPr>
          <w:sz w:val="24"/>
          <w:lang w:val="en-GB"/>
        </w:rPr>
      </w:pPr>
      <w:r w:rsidRPr="00207357">
        <w:rPr>
          <w:rStyle w:val="FootnoteReference"/>
          <w:sz w:val="24"/>
          <w:lang w:val="fi-FI"/>
        </w:rPr>
        <w:footnoteRef/>
      </w:r>
      <w:r w:rsidR="00207357" w:rsidRPr="00433E82">
        <w:rPr>
          <w:sz w:val="24"/>
          <w:lang w:val="en-GB"/>
        </w:rPr>
        <w:t xml:space="preserve"> </w:t>
      </w:r>
      <w:r w:rsidR="00207357" w:rsidRPr="00433E82">
        <w:rPr>
          <w:sz w:val="24"/>
          <w:lang w:val="en-GB"/>
        </w:rPr>
        <w:tab/>
      </w:r>
      <w:proofErr w:type="spellStart"/>
      <w:r w:rsidRPr="00433E82">
        <w:rPr>
          <w:sz w:val="24"/>
          <w:lang w:val="en-GB"/>
        </w:rPr>
        <w:t>Lingaas</w:t>
      </w:r>
      <w:proofErr w:type="spellEnd"/>
      <w:r w:rsidRPr="00433E82">
        <w:rPr>
          <w:sz w:val="24"/>
          <w:lang w:val="en-GB"/>
        </w:rPr>
        <w:t>, C., ‘</w:t>
      </w:r>
      <w:hyperlink r:id="rId1" w:history="1">
        <w:r w:rsidRPr="00433E82">
          <w:rPr>
            <w:rStyle w:val="Hyperlink"/>
            <w:sz w:val="24"/>
            <w:lang w:val="en-GB"/>
          </w:rPr>
          <w:t xml:space="preserve">Hate Speech and </w:t>
        </w:r>
        <w:proofErr w:type="spellStart"/>
        <w:r w:rsidRPr="00433E82">
          <w:rPr>
            <w:rStyle w:val="Hyperlink"/>
            <w:sz w:val="24"/>
            <w:lang w:val="en-GB"/>
          </w:rPr>
          <w:t>Racialised</w:t>
        </w:r>
        <w:proofErr w:type="spellEnd"/>
        <w:r w:rsidRPr="00433E82">
          <w:rPr>
            <w:rStyle w:val="Hyperlink"/>
            <w:sz w:val="24"/>
            <w:lang w:val="en-GB"/>
          </w:rPr>
          <w:t xml:space="preserve"> Discrimination of the Norwegian Sámi:</w:t>
        </w:r>
      </w:hyperlink>
      <w:hyperlink r:id="rId2" w:history="1">
        <w:r w:rsidRPr="00433E82">
          <w:rPr>
            <w:rStyle w:val="Hyperlink"/>
            <w:sz w:val="24"/>
            <w:lang w:val="en-GB"/>
          </w:rPr>
          <w:t xml:space="preserve"> Legal Responses and Responsibility</w:t>
        </w:r>
      </w:hyperlink>
      <w:r w:rsidRPr="00433E82">
        <w:rPr>
          <w:sz w:val="24"/>
          <w:lang w:val="en-GB"/>
        </w:rPr>
        <w:t xml:space="preserve">’, </w:t>
      </w:r>
      <w:r w:rsidRPr="00433E82">
        <w:rPr>
          <w:i/>
          <w:sz w:val="24"/>
          <w:lang w:val="en-GB"/>
        </w:rPr>
        <w:t>Oslo Law Review</w:t>
      </w:r>
      <w:r w:rsidRPr="00433E82">
        <w:rPr>
          <w:sz w:val="24"/>
          <w:lang w:val="en-GB"/>
        </w:rPr>
        <w:t xml:space="preserve">, Vol. 8, No 2, 2021, s. 88–107. </w:t>
      </w:r>
    </w:p>
  </w:footnote>
  <w:footnote w:id="9">
    <w:p w:rsidR="00964251" w:rsidRPr="00433E82" w:rsidRDefault="00964251" w:rsidP="00207357">
      <w:pPr>
        <w:pStyle w:val="FootnoteText"/>
        <w:ind w:left="567" w:hanging="567"/>
        <w:rPr>
          <w:sz w:val="24"/>
          <w:lang w:val="en-GB"/>
        </w:rPr>
      </w:pPr>
      <w:r w:rsidRPr="00207357">
        <w:rPr>
          <w:rStyle w:val="FootnoteReference"/>
          <w:sz w:val="24"/>
          <w:lang w:val="fi-FI"/>
        </w:rPr>
        <w:footnoteRef/>
      </w:r>
      <w:r w:rsidR="00207357" w:rsidRPr="00433E82">
        <w:rPr>
          <w:sz w:val="24"/>
          <w:lang w:val="en-GB"/>
        </w:rPr>
        <w:t xml:space="preserve"> </w:t>
      </w:r>
      <w:r w:rsidR="00207357" w:rsidRPr="00433E82">
        <w:rPr>
          <w:sz w:val="24"/>
          <w:lang w:val="en-GB"/>
        </w:rPr>
        <w:tab/>
      </w:r>
      <w:r w:rsidRPr="00433E82">
        <w:rPr>
          <w:sz w:val="24"/>
          <w:lang w:val="en-GB"/>
        </w:rPr>
        <w:t>Civil Rights Defenders, ”</w:t>
      </w:r>
      <w:hyperlink r:id="rId3" w:history="1">
        <w:r w:rsidRPr="00433E82">
          <w:rPr>
            <w:rStyle w:val="Hyperlink"/>
            <w:sz w:val="24"/>
            <w:lang w:val="en-GB"/>
          </w:rPr>
          <w:t>Joint submission to the UN Universal Periodic Review of Sweden –35th Session of the UPR Working Group of the Human Rights Council – January 2020</w:t>
        </w:r>
      </w:hyperlink>
      <w:r w:rsidRPr="00433E82">
        <w:rPr>
          <w:sz w:val="24"/>
          <w:lang w:val="en-GB"/>
        </w:rPr>
        <w:t>”, 2019.</w:t>
      </w:r>
    </w:p>
  </w:footnote>
  <w:footnote w:id="10">
    <w:p w:rsidR="00964251" w:rsidRPr="00433E82" w:rsidRDefault="00964251" w:rsidP="00207357">
      <w:pPr>
        <w:pStyle w:val="FootnoteText"/>
        <w:ind w:left="567" w:hanging="567"/>
        <w:rPr>
          <w:sz w:val="24"/>
          <w:lang w:val="en-GB"/>
        </w:rPr>
      </w:pPr>
      <w:r w:rsidRPr="00207357">
        <w:rPr>
          <w:rStyle w:val="FootnoteReference"/>
          <w:sz w:val="24"/>
          <w:lang w:val="fi-FI"/>
        </w:rPr>
        <w:footnoteRef/>
      </w:r>
      <w:r w:rsidR="00207357" w:rsidRPr="00433E82">
        <w:rPr>
          <w:sz w:val="24"/>
          <w:lang w:val="en-GB"/>
        </w:rPr>
        <w:t xml:space="preserve"> </w:t>
      </w:r>
      <w:r w:rsidR="00207357" w:rsidRPr="00433E82">
        <w:rPr>
          <w:sz w:val="24"/>
          <w:lang w:val="en-GB"/>
        </w:rPr>
        <w:tab/>
      </w:r>
      <w:r w:rsidRPr="00433E82">
        <w:rPr>
          <w:sz w:val="24"/>
          <w:lang w:val="en-GB"/>
        </w:rPr>
        <w:t>ILGA Europe, ”2023 Annual Review of the Human Rights Situation of Lesbian, Gay, Bisexual, Trans and Intersex People in Europe and Central Asia”, helmikuu 2023.</w:t>
      </w:r>
    </w:p>
  </w:footnote>
  <w:footnote w:id="11">
    <w:p w:rsidR="00964251" w:rsidRPr="00433E82" w:rsidRDefault="00964251" w:rsidP="00207357">
      <w:pPr>
        <w:pStyle w:val="FootnoteText"/>
        <w:ind w:left="567" w:hanging="567"/>
        <w:rPr>
          <w:sz w:val="24"/>
          <w:lang w:val="en-GB"/>
        </w:rPr>
      </w:pPr>
      <w:r w:rsidRPr="00207357">
        <w:rPr>
          <w:rStyle w:val="FootnoteReference"/>
          <w:sz w:val="24"/>
          <w:lang w:val="fi-FI"/>
        </w:rPr>
        <w:footnoteRef/>
      </w:r>
      <w:r w:rsidR="00207357" w:rsidRPr="00433E82">
        <w:rPr>
          <w:sz w:val="24"/>
          <w:lang w:val="en-GB"/>
        </w:rPr>
        <w:t xml:space="preserve"> </w:t>
      </w:r>
      <w:r w:rsidR="00207357" w:rsidRPr="00433E82">
        <w:rPr>
          <w:sz w:val="24"/>
          <w:lang w:val="en-GB"/>
        </w:rPr>
        <w:tab/>
      </w:r>
      <w:proofErr w:type="spellStart"/>
      <w:r w:rsidRPr="00433E82">
        <w:rPr>
          <w:sz w:val="24"/>
          <w:lang w:val="en-GB"/>
        </w:rPr>
        <w:t>Euroopan</w:t>
      </w:r>
      <w:proofErr w:type="spellEnd"/>
      <w:r w:rsidRPr="00433E82">
        <w:rPr>
          <w:sz w:val="24"/>
          <w:lang w:val="en-GB"/>
        </w:rPr>
        <w:t xml:space="preserve"> </w:t>
      </w:r>
      <w:proofErr w:type="spellStart"/>
      <w:r w:rsidRPr="00433E82">
        <w:rPr>
          <w:sz w:val="24"/>
          <w:lang w:val="en-GB"/>
        </w:rPr>
        <w:t>unionin</w:t>
      </w:r>
      <w:proofErr w:type="spellEnd"/>
      <w:r w:rsidRPr="00433E82">
        <w:rPr>
          <w:sz w:val="24"/>
          <w:lang w:val="en-GB"/>
        </w:rPr>
        <w:t xml:space="preserve"> </w:t>
      </w:r>
      <w:proofErr w:type="spellStart"/>
      <w:r w:rsidRPr="00433E82">
        <w:rPr>
          <w:sz w:val="24"/>
          <w:lang w:val="en-GB"/>
        </w:rPr>
        <w:t>perusoikeusvirasto</w:t>
      </w:r>
      <w:proofErr w:type="spellEnd"/>
      <w:proofErr w:type="gramStart"/>
      <w:r w:rsidRPr="00433E82">
        <w:rPr>
          <w:sz w:val="24"/>
          <w:lang w:val="en-GB"/>
        </w:rPr>
        <w:t>, ”</w:t>
      </w:r>
      <w:proofErr w:type="gramEnd"/>
      <w:hyperlink r:id="rId4" w:history="1">
        <w:r w:rsidRPr="00433E82">
          <w:rPr>
            <w:rStyle w:val="Hyperlink"/>
            <w:sz w:val="24"/>
            <w:lang w:val="en-GB"/>
          </w:rPr>
          <w:t>Encouraging hate crime reporting – The role of law enforcement and other authorities</w:t>
        </w:r>
      </w:hyperlink>
      <w:r w:rsidRPr="00433E82">
        <w:rPr>
          <w:sz w:val="24"/>
          <w:lang w:val="en-GB"/>
        </w:rPr>
        <w:t>”, 2021.</w:t>
      </w:r>
    </w:p>
  </w:footnote>
  <w:footnote w:id="12">
    <w:p w:rsidR="00964251" w:rsidRPr="00207357" w:rsidRDefault="00964251" w:rsidP="00207357">
      <w:pPr>
        <w:pStyle w:val="FootnoteText"/>
        <w:ind w:left="567" w:hanging="567"/>
        <w:rPr>
          <w:sz w:val="24"/>
          <w:lang w:val="fi-FI"/>
        </w:rPr>
      </w:pPr>
      <w:r w:rsidRPr="00207357">
        <w:rPr>
          <w:rStyle w:val="FootnoteReference"/>
          <w:sz w:val="24"/>
          <w:lang w:val="fi-FI"/>
        </w:rPr>
        <w:footnoteRef/>
      </w:r>
      <w:r w:rsidR="00207357" w:rsidRPr="00207357">
        <w:rPr>
          <w:sz w:val="24"/>
          <w:lang w:val="fi-FI"/>
        </w:rPr>
        <w:t xml:space="preserve"> </w:t>
      </w:r>
      <w:r w:rsidR="00207357" w:rsidRPr="00207357">
        <w:rPr>
          <w:sz w:val="24"/>
          <w:lang w:val="fi-FI"/>
        </w:rPr>
        <w:tab/>
      </w:r>
      <w:r w:rsidRPr="00207357">
        <w:rPr>
          <w:sz w:val="24"/>
          <w:lang w:val="fi-FI"/>
        </w:rPr>
        <w:t>Euroopan parlamentin ja neuvoston asetus (EU) 2022/2065, annettu 19. lokakuuta 2022, digitaalisten palvelujen sisämarkkinoista ja direktiivin 2000/31/EY muuttamisesta (digipalvelusäädös) (EUVL L 277, 27.10.2022,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FI"/>
    <w:docVar w:name="dvnumam" w:val="0"/>
    <w:docVar w:name="dvpe" w:val="750.074"/>
    <w:docVar w:name="dvrapporteur" w:val="Esittelijä: "/>
    <w:docVar w:name="dvtitre" w:val="Euroopan parlamentin päätöslauselma xx. joulukuuta 2023 EU-rikosten luettelon laajentamisesta kattamaan vihapuheen ja viharikokset(2023/2068(INI))"/>
  </w:docVars>
  <w:rsids>
    <w:rsidRoot w:val="00D2063F"/>
    <w:rsid w:val="00002272"/>
    <w:rsid w:val="00064002"/>
    <w:rsid w:val="000677B9"/>
    <w:rsid w:val="000831BA"/>
    <w:rsid w:val="000A42CC"/>
    <w:rsid w:val="000E7DD9"/>
    <w:rsid w:val="0010095E"/>
    <w:rsid w:val="00125B37"/>
    <w:rsid w:val="00165181"/>
    <w:rsid w:val="00187494"/>
    <w:rsid w:val="001F32AE"/>
    <w:rsid w:val="00207357"/>
    <w:rsid w:val="002767FF"/>
    <w:rsid w:val="002B18FE"/>
    <w:rsid w:val="002B5493"/>
    <w:rsid w:val="00343214"/>
    <w:rsid w:val="00361C00"/>
    <w:rsid w:val="00395FA1"/>
    <w:rsid w:val="003E15D4"/>
    <w:rsid w:val="00402D52"/>
    <w:rsid w:val="00411CCE"/>
    <w:rsid w:val="0041666E"/>
    <w:rsid w:val="00421060"/>
    <w:rsid w:val="00433E8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251"/>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63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69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5E58F"/>
  <w15:chartTrackingRefBased/>
  <w15:docId w15:val="{D6AF65B3-E3F2-4F8B-8A16-A22AB022C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64251"/>
    <w:pPr>
      <w:spacing w:after="240"/>
      <w:ind w:left="567" w:hanging="567"/>
    </w:pPr>
  </w:style>
  <w:style w:type="paragraph" w:customStyle="1" w:styleId="EPComma">
    <w:name w:val="EPComma"/>
    <w:basedOn w:val="Normal"/>
    <w:rsid w:val="00964251"/>
    <w:pPr>
      <w:spacing w:before="480" w:after="240"/>
    </w:pPr>
  </w:style>
  <w:style w:type="character" w:customStyle="1" w:styleId="NormalHanging12aChar">
    <w:name w:val="NormalHanging12a Char"/>
    <w:basedOn w:val="DefaultParagraphFont"/>
    <w:link w:val="NormalHanging12a"/>
    <w:rsid w:val="00964251"/>
    <w:rPr>
      <w:sz w:val="24"/>
      <w:lang w:val="fi-FI"/>
    </w:rPr>
  </w:style>
  <w:style w:type="paragraph" w:customStyle="1" w:styleId="Normal12Hanging">
    <w:name w:val="Normal12Hanging"/>
    <w:basedOn w:val="Normal"/>
    <w:rsid w:val="00964251"/>
    <w:pPr>
      <w:spacing w:after="240"/>
      <w:ind w:left="567" w:hanging="567"/>
    </w:pPr>
  </w:style>
  <w:style w:type="character" w:styleId="Hyperlink">
    <w:name w:val="Hyperlink"/>
    <w:basedOn w:val="DefaultParagraphFont"/>
    <w:rsid w:val="00964251"/>
    <w:rPr>
      <w:color w:val="0563C1" w:themeColor="hyperlink"/>
      <w:u w:val="single"/>
    </w:rPr>
  </w:style>
  <w:style w:type="paragraph" w:styleId="Footer">
    <w:name w:val="footer"/>
    <w:basedOn w:val="Normal"/>
    <w:link w:val="FooterChar"/>
    <w:rsid w:val="00165181"/>
    <w:pPr>
      <w:tabs>
        <w:tab w:val="center" w:pos="4513"/>
        <w:tab w:val="right" w:pos="9026"/>
      </w:tabs>
    </w:pPr>
  </w:style>
  <w:style w:type="character" w:customStyle="1" w:styleId="FooterChar">
    <w:name w:val="Footer Char"/>
    <w:basedOn w:val="DefaultParagraphFont"/>
    <w:link w:val="Footer"/>
    <w:rsid w:val="0016518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rd.org/wp-content/uploads/2019/08/Civil-Rights-Defenders-Joint-UPR-Submission-Sweden-2020.pdf" TargetMode="External"/><Relationship Id="rId2" Type="http://schemas.openxmlformats.org/officeDocument/2006/relationships/hyperlink" Target="https://www.idunn.no/doi/10.18261/issn.2387-3299-2021-02-02" TargetMode="External"/><Relationship Id="rId1" Type="http://schemas.openxmlformats.org/officeDocument/2006/relationships/hyperlink" Target="https://www.idunn.no/doi/10.18261/issn.2387-3299-2021-02-02" TargetMode="External"/><Relationship Id="rId4" Type="http://schemas.openxmlformats.org/officeDocument/2006/relationships/hyperlink" Target="https://fra.europa.eu/sites/default/files/fra_uploads/fra-2021-hate-crime-reporting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DC8A2-F445-4362-AD38-541690001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2376</Words>
  <Characters>20015</Characters>
  <Application>Microsoft Office Word</Application>
  <DocSecurity>0</DocSecurity>
  <Lines>166</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2024-01-18T12:27:00Z</dcterms:created>
  <dcterms:modified xsi:type="dcterms:W3CDTF">2024-01-18T12:27:00Z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A9-0377/2023</vt:lpwstr>
  </property>
  <property fmtid="{D5CDD505-2E9C-101B-9397-08002B2CF9AE}" pid="4" name="&lt;Type&gt;">
    <vt:lpwstr>RR</vt:lpwstr>
  </property>
</Properties>
</file>