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402D" w:rsidTr="0010095E">
        <w:trPr>
          <w:trHeight w:hRule="exact" w:val="1418"/>
        </w:trPr>
        <w:tc>
          <w:tcPr>
            <w:tcW w:w="6804" w:type="dxa"/>
            <w:shd w:val="clear" w:color="auto" w:fill="auto"/>
            <w:vAlign w:val="center"/>
          </w:tcPr>
          <w:p w:rsidR="00751A4A" w:rsidRPr="00D9402D" w:rsidRDefault="00B56D6C" w:rsidP="0010095E">
            <w:pPr>
              <w:pStyle w:val="EPName"/>
            </w:pPr>
            <w:r w:rsidRPr="00D9402D">
              <w:t>Europski parlament</w:t>
            </w:r>
          </w:p>
          <w:p w:rsidR="00751A4A" w:rsidRPr="00D9402D" w:rsidRDefault="00817416" w:rsidP="00756632">
            <w:pPr>
              <w:pStyle w:val="EPTerm"/>
              <w:rPr>
                <w:rStyle w:val="HideTWBExt"/>
                <w:noProof w:val="0"/>
                <w:vanish w:val="0"/>
                <w:color w:val="auto"/>
              </w:rPr>
            </w:pPr>
            <w:r w:rsidRPr="00D9402D">
              <w:t>2019-2024</w:t>
            </w:r>
          </w:p>
        </w:tc>
        <w:tc>
          <w:tcPr>
            <w:tcW w:w="2268" w:type="dxa"/>
            <w:shd w:val="clear" w:color="auto" w:fill="auto"/>
          </w:tcPr>
          <w:p w:rsidR="00751A4A" w:rsidRPr="00D9402D" w:rsidRDefault="00187494" w:rsidP="0010095E">
            <w:pPr>
              <w:pStyle w:val="EPLogo"/>
            </w:pPr>
            <w:r w:rsidRPr="00D9402D">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402D" w:rsidRDefault="00D058B8" w:rsidP="004C5D52">
      <w:pPr>
        <w:pStyle w:val="LineTop"/>
      </w:pPr>
    </w:p>
    <w:p w:rsidR="00680577" w:rsidRPr="00D9402D" w:rsidRDefault="00B56D6C" w:rsidP="00680577">
      <w:pPr>
        <w:pStyle w:val="EPBodyTA1"/>
      </w:pPr>
      <w:r w:rsidRPr="00D9402D">
        <w:t>USVOJENI TEKSTOVI</w:t>
      </w:r>
    </w:p>
    <w:p w:rsidR="00D058B8" w:rsidRPr="00D9402D" w:rsidRDefault="00D058B8" w:rsidP="00D058B8">
      <w:pPr>
        <w:pStyle w:val="LineBottom"/>
      </w:pPr>
    </w:p>
    <w:p w:rsidR="00B56D6C" w:rsidRPr="00D9402D" w:rsidRDefault="009C1572" w:rsidP="00B56D6C">
      <w:pPr>
        <w:pStyle w:val="ATHeading1"/>
      </w:pPr>
      <w:bookmarkStart w:id="0" w:name="TANumber"/>
      <w:r>
        <w:t>P9_TA(2024</w:t>
      </w:r>
      <w:r w:rsidR="00B56D6C" w:rsidRPr="00D9402D">
        <w:t>)00</w:t>
      </w:r>
      <w:r w:rsidR="001E476A">
        <w:t>44</w:t>
      </w:r>
      <w:bookmarkStart w:id="1" w:name="_GoBack"/>
      <w:bookmarkEnd w:id="0"/>
      <w:bookmarkEnd w:id="1"/>
    </w:p>
    <w:p w:rsidR="00B56D6C" w:rsidRPr="00D9402D" w:rsidRDefault="00B56D6C" w:rsidP="00B56D6C">
      <w:pPr>
        <w:pStyle w:val="ATHeading2"/>
      </w:pPr>
      <w:bookmarkStart w:id="2" w:name="title"/>
      <w:r w:rsidRPr="00D9402D">
        <w:t>Proširenje popisa područja kriminaliteta u EU-u na govor mržnje i zločine iz mržnje</w:t>
      </w:r>
      <w:bookmarkEnd w:id="2"/>
    </w:p>
    <w:p w:rsidR="00B56D6C" w:rsidRPr="00D9402D" w:rsidRDefault="00B56D6C" w:rsidP="00B56D6C">
      <w:pPr>
        <w:rPr>
          <w:i/>
          <w:vanish/>
        </w:rPr>
      </w:pPr>
      <w:r w:rsidRPr="00D9402D">
        <w:rPr>
          <w:i/>
        </w:rPr>
        <w:fldChar w:fldCharType="begin"/>
      </w:r>
      <w:r w:rsidRPr="00D9402D">
        <w:rPr>
          <w:i/>
        </w:rPr>
        <w:instrText xml:space="preserve"> TC"(</w:instrText>
      </w:r>
      <w:bookmarkStart w:id="3" w:name="DocNumber"/>
      <w:r w:rsidRPr="00D9402D">
        <w:rPr>
          <w:i/>
        </w:rPr>
        <w:instrText>A9-0377/2023</w:instrText>
      </w:r>
      <w:bookmarkEnd w:id="3"/>
      <w:r w:rsidRPr="00D9402D">
        <w:rPr>
          <w:i/>
        </w:rPr>
        <w:instrText xml:space="preserve"> - Izvjestiteljica: </w:instrText>
      </w:r>
      <w:proofErr w:type="spellStart"/>
      <w:r w:rsidRPr="00D9402D">
        <w:rPr>
          <w:i/>
        </w:rPr>
        <w:instrText>Maite</w:instrText>
      </w:r>
      <w:proofErr w:type="spellEnd"/>
      <w:r w:rsidRPr="00D9402D">
        <w:rPr>
          <w:i/>
        </w:rPr>
        <w:instrText xml:space="preserve"> </w:instrText>
      </w:r>
      <w:proofErr w:type="spellStart"/>
      <w:r w:rsidRPr="00D9402D">
        <w:rPr>
          <w:i/>
        </w:rPr>
        <w:instrText>Pagazaurtundúa</w:instrText>
      </w:r>
      <w:proofErr w:type="spellEnd"/>
      <w:r w:rsidRPr="00D9402D">
        <w:rPr>
          <w:i/>
        </w:rPr>
        <w:instrText xml:space="preserve">)"\l3 \n&gt; \* MERGEFORMAT </w:instrText>
      </w:r>
      <w:r w:rsidRPr="00D9402D">
        <w:rPr>
          <w:i/>
        </w:rPr>
        <w:fldChar w:fldCharType="end"/>
      </w:r>
    </w:p>
    <w:p w:rsidR="00B56D6C" w:rsidRPr="00D9402D" w:rsidRDefault="00B56D6C" w:rsidP="00B56D6C">
      <w:pPr>
        <w:rPr>
          <w:vanish/>
        </w:rPr>
      </w:pPr>
      <w:bookmarkStart w:id="4" w:name="Commission"/>
      <w:r w:rsidRPr="00D9402D">
        <w:rPr>
          <w:vanish/>
        </w:rPr>
        <w:t>Odbor za građanske slobode, pravosuđe i unutarnje poslove</w:t>
      </w:r>
      <w:bookmarkEnd w:id="4"/>
    </w:p>
    <w:p w:rsidR="00B56D6C" w:rsidRPr="00D9402D" w:rsidRDefault="00B56D6C" w:rsidP="00B56D6C">
      <w:pPr>
        <w:rPr>
          <w:vanish/>
        </w:rPr>
      </w:pPr>
      <w:bookmarkStart w:id="5" w:name="PE"/>
      <w:r w:rsidRPr="00D9402D">
        <w:rPr>
          <w:vanish/>
        </w:rPr>
        <w:t>PE750.074</w:t>
      </w:r>
      <w:bookmarkEnd w:id="5"/>
    </w:p>
    <w:p w:rsidR="00B56D6C" w:rsidRPr="00D9402D" w:rsidRDefault="00B56D6C" w:rsidP="00B56D6C">
      <w:pPr>
        <w:pStyle w:val="ATHeading3"/>
      </w:pPr>
      <w:bookmarkStart w:id="6" w:name="Sujet"/>
      <w:r w:rsidRPr="00D9402D">
        <w:t>Rezolu</w:t>
      </w:r>
      <w:r w:rsidR="009C1572">
        <w:t xml:space="preserve">cija Europskog parlamenta od 18. siječnja </w:t>
      </w:r>
      <w:r w:rsidR="001F70C8">
        <w:t>2024</w:t>
      </w:r>
      <w:r w:rsidRPr="00D9402D">
        <w:t>. o proširenju popisa područja kriminaliteta u EU-u na govor mržnje i zločine iz mržnje</w:t>
      </w:r>
      <w:bookmarkEnd w:id="6"/>
      <w:r w:rsidRPr="00D9402D">
        <w:t xml:space="preserve"> </w:t>
      </w:r>
      <w:bookmarkStart w:id="7" w:name="References"/>
      <w:r w:rsidRPr="00D9402D">
        <w:t>(2023/2068(INI))</w:t>
      </w:r>
      <w:bookmarkEnd w:id="7"/>
    </w:p>
    <w:p w:rsidR="00BC0861" w:rsidRPr="00D9402D" w:rsidRDefault="00BC0861" w:rsidP="00BC0861">
      <w:pPr>
        <w:pStyle w:val="EPComma"/>
      </w:pPr>
      <w:bookmarkStart w:id="8" w:name="TextBodyBegin"/>
      <w:bookmarkEnd w:id="8"/>
      <w:r w:rsidRPr="00D9402D">
        <w:rPr>
          <w:i/>
        </w:rPr>
        <w:t>Europski parlament</w:t>
      </w:r>
      <w:r w:rsidRPr="00D9402D">
        <w:t>,</w:t>
      </w:r>
    </w:p>
    <w:p w:rsidR="00BC0861" w:rsidRPr="00D9402D" w:rsidRDefault="00BC0861" w:rsidP="00BC0861">
      <w:pPr>
        <w:pStyle w:val="NormalHanging12a"/>
        <w:rPr>
          <w:szCs w:val="24"/>
        </w:rPr>
      </w:pPr>
      <w:r w:rsidRPr="00D9402D">
        <w:t>–</w:t>
      </w:r>
      <w:r w:rsidRPr="00D9402D">
        <w:tab/>
        <w:t>uzimajući u obzir Povelju Europske unije o temeljnim pravima (Povelja), a posebno njezine članke 1., 7., 20., 21., 22., 23., 25. i 26.,</w:t>
      </w:r>
    </w:p>
    <w:p w:rsidR="00BC0861" w:rsidRPr="00D9402D" w:rsidRDefault="00BC0861" w:rsidP="00BC0861">
      <w:pPr>
        <w:pStyle w:val="NormalHanging12a"/>
      </w:pPr>
      <w:r w:rsidRPr="00D9402D">
        <w:t>–</w:t>
      </w:r>
      <w:r w:rsidRPr="00D9402D">
        <w:tab/>
        <w:t>uzimajući u obzir Ugovor o Europskoj uniji (UEU), a posebno njegove članke 2., 3. i 6.,</w:t>
      </w:r>
    </w:p>
    <w:p w:rsidR="00BC0861" w:rsidRPr="00D9402D" w:rsidRDefault="00BC0861" w:rsidP="00BC0861">
      <w:pPr>
        <w:pStyle w:val="NormalHanging12a"/>
      </w:pPr>
      <w:r w:rsidRPr="00D9402D">
        <w:t>–</w:t>
      </w:r>
      <w:r w:rsidRPr="00D9402D">
        <w:tab/>
        <w:t>uzimajući u obzir Ugovor o funkcioniranju Europske unije (UFEU), a posebno njegov članak 19. i članak 83. stavak 1.,</w:t>
      </w:r>
    </w:p>
    <w:p w:rsidR="00BC0861" w:rsidRPr="00D9402D" w:rsidRDefault="00BC0861" w:rsidP="00BC0861">
      <w:pPr>
        <w:pStyle w:val="NormalHanging12a"/>
      </w:pPr>
      <w:r w:rsidRPr="00D9402D">
        <w:t>–</w:t>
      </w:r>
      <w:r w:rsidRPr="00D9402D">
        <w:tab/>
        <w:t>uzimajući u obzir Europsku konvenciju o ljudskim pravima i relevantnu sudsku praksu Europskog suda za ljudska prava,</w:t>
      </w:r>
    </w:p>
    <w:p w:rsidR="00BC0861" w:rsidRPr="00D9402D" w:rsidRDefault="00BC0861" w:rsidP="00BC0861">
      <w:pPr>
        <w:pStyle w:val="NormalHanging12a"/>
      </w:pPr>
      <w:r w:rsidRPr="00D9402D">
        <w:t>–</w:t>
      </w:r>
      <w:r w:rsidRPr="00D9402D">
        <w:tab/>
        <w:t>uzimajući u obzir Opću deklaraciju o ljudskim pravima,</w:t>
      </w:r>
    </w:p>
    <w:p w:rsidR="00BC0861" w:rsidRPr="00D9402D" w:rsidRDefault="00BC0861" w:rsidP="00BC0861">
      <w:pPr>
        <w:pStyle w:val="NormalHanging12a"/>
      </w:pPr>
      <w:r w:rsidRPr="00D9402D">
        <w:t>–</w:t>
      </w:r>
      <w:r w:rsidRPr="00D9402D">
        <w:tab/>
        <w:t>uzimajući u obzir sudsku praksu Suda Europske unije,</w:t>
      </w:r>
    </w:p>
    <w:p w:rsidR="00BC0861" w:rsidRPr="00D9402D" w:rsidRDefault="00BC0861" w:rsidP="00BC0861">
      <w:pPr>
        <w:pStyle w:val="NormalHanging12a"/>
      </w:pPr>
      <w:r w:rsidRPr="00D9402D">
        <w:t>–</w:t>
      </w:r>
      <w:r w:rsidRPr="00D9402D">
        <w:tab/>
        <w:t>uzimajući u obzir komunikaciju Komisije od 9. prosinca 2021. naslovljenu „</w:t>
      </w:r>
      <w:proofErr w:type="spellStart"/>
      <w:r w:rsidRPr="00D9402D">
        <w:t>Uključivija</w:t>
      </w:r>
      <w:proofErr w:type="spellEnd"/>
      <w:r w:rsidRPr="00D9402D">
        <w:t xml:space="preserve"> Europa koja štiti: proširenje popisa područja kriminaliteta u EU-u na govor mržnje i zločine iz mržnje” (COM(2021)0777) i Prijedlog odluke Vijeća koje su joj priložene,</w:t>
      </w:r>
    </w:p>
    <w:p w:rsidR="00BC0861" w:rsidRPr="00D9402D" w:rsidRDefault="00BC0861" w:rsidP="00BC0861">
      <w:pPr>
        <w:pStyle w:val="NormalHanging12a"/>
      </w:pPr>
      <w:r w:rsidRPr="00D9402D">
        <w:t>–</w:t>
      </w:r>
      <w:r w:rsidRPr="00D9402D">
        <w:tab/>
        <w:t>uzimajući u obzir Okvirnu odluku Vijeća 2008/913/PUP od 28. studenoga 2008. o suzbijanju određenih oblika i načina izražavanja rasizma i ksenofobije kaznenopravnim sredstvima</w:t>
      </w:r>
      <w:r w:rsidRPr="00D9402D">
        <w:rPr>
          <w:rStyle w:val="FootnoteReference"/>
        </w:rPr>
        <w:footnoteReference w:id="1"/>
      </w:r>
      <w:r w:rsidRPr="00D9402D">
        <w:t>,</w:t>
      </w:r>
    </w:p>
    <w:p w:rsidR="00BC0861" w:rsidRPr="00D9402D" w:rsidRDefault="00BC0861" w:rsidP="00BC0861">
      <w:pPr>
        <w:pStyle w:val="NormalHanging12a"/>
      </w:pPr>
      <w:r w:rsidRPr="00D9402D">
        <w:t>–</w:t>
      </w:r>
      <w:r w:rsidRPr="00D9402D">
        <w:tab/>
        <w:t>uzimajući u obzir komunikaciju Komisije od 5. ožujka 2020. naslovljenu „Unija ravnopravnosti: Strategija za rodnu ravnopravnost 2020. – 2025.” (COM(2020)0152),</w:t>
      </w:r>
    </w:p>
    <w:p w:rsidR="00BC0861" w:rsidRPr="00D9402D" w:rsidRDefault="00BC0861" w:rsidP="00BC0861">
      <w:pPr>
        <w:pStyle w:val="NormalHanging12a"/>
      </w:pPr>
      <w:r w:rsidRPr="00D9402D">
        <w:t>–</w:t>
      </w:r>
      <w:r w:rsidRPr="00D9402D">
        <w:tab/>
        <w:t xml:space="preserve">uzimajući u obzir komunikaciju Komisije od 18. rujna 2020. naslovljenu „Unija </w:t>
      </w:r>
      <w:r w:rsidRPr="00D9402D">
        <w:lastRenderedPageBreak/>
        <w:t>ravnopravnosti: Akcijski plan EU-a za antirasizam za razdoblje 2020. – 2025.” (COM(2020)0565),</w:t>
      </w:r>
    </w:p>
    <w:p w:rsidR="00BC0861" w:rsidRPr="00D9402D" w:rsidRDefault="00BC0861" w:rsidP="00BC0861">
      <w:pPr>
        <w:pStyle w:val="NormalHanging12a"/>
      </w:pPr>
      <w:r w:rsidRPr="00D9402D">
        <w:t>–</w:t>
      </w:r>
      <w:r w:rsidRPr="00D9402D">
        <w:tab/>
        <w:t>uzimajući u obzir komunikaciju Komisije od 12. studenoga 2020. naslovljenu „Unija ravnopravnosti: Strategija o ravnopravnosti LGBTIQ osoba 2020. – 2025.” (COM(2020)0698),</w:t>
      </w:r>
    </w:p>
    <w:p w:rsidR="00BC0861" w:rsidRPr="00D9402D" w:rsidRDefault="00BC0861" w:rsidP="00BC0861">
      <w:pPr>
        <w:pStyle w:val="NormalHanging12a"/>
      </w:pPr>
      <w:r w:rsidRPr="00D9402D">
        <w:t>–</w:t>
      </w:r>
      <w:r w:rsidRPr="00D9402D">
        <w:tab/>
        <w:t>uzimajući u obzir komunikaciju Komisije od 3. ožujka 2021. naslovljenu „Unija ravnopravnosti: Strategija o pravima osoba s invaliditetom za razdoblje 2021. – 2030.” (COM(2021)0101) i Konvenciju Ujedinjenih naroda o pravima osoba s invaliditetom, koju su ratificirali EU i sve njegove države članice,</w:t>
      </w:r>
    </w:p>
    <w:p w:rsidR="00BC0861" w:rsidRPr="00D9402D" w:rsidRDefault="00BC0861" w:rsidP="00BC0861">
      <w:pPr>
        <w:pStyle w:val="NormalHanging12a"/>
      </w:pPr>
      <w:r w:rsidRPr="00D9402D">
        <w:t>–</w:t>
      </w:r>
      <w:r w:rsidRPr="00D9402D">
        <w:tab/>
        <w:t>uzimajući u obzir komunikaciju Komisije od 24. lipnja 2020. naslovljenu „Strategija EU-a za prava žrtava (2020. – 2025.)” (COM(2020)0258),</w:t>
      </w:r>
    </w:p>
    <w:p w:rsidR="00BC0861" w:rsidRPr="00D9402D" w:rsidRDefault="00BC0861" w:rsidP="00BC0861">
      <w:pPr>
        <w:pStyle w:val="NormalHanging12a"/>
      </w:pPr>
      <w:r w:rsidRPr="00D9402D">
        <w:t>–</w:t>
      </w:r>
      <w:r w:rsidRPr="00D9402D">
        <w:tab/>
        <w:t>uzimajući u obzir Preporuku Odbora ministara Vijeća Europe državama članicama od 20. svibnja 2022. o suzbijanju govora mržnje (CM/</w:t>
      </w:r>
      <w:proofErr w:type="spellStart"/>
      <w:r w:rsidRPr="00D9402D">
        <w:t>Rec</w:t>
      </w:r>
      <w:proofErr w:type="spellEnd"/>
      <w:r w:rsidRPr="00D9402D">
        <w:t>(2006)16),</w:t>
      </w:r>
    </w:p>
    <w:p w:rsidR="00BC0861" w:rsidRPr="00D9402D" w:rsidRDefault="00BC0861" w:rsidP="00BC0861">
      <w:pPr>
        <w:pStyle w:val="NormalHanging12a"/>
      </w:pPr>
      <w:r w:rsidRPr="00D9402D">
        <w:t>–</w:t>
      </w:r>
      <w:r w:rsidRPr="00D9402D">
        <w:tab/>
        <w:t>uzimajući u obzir Opću preporuku politike br. 15 o suzbijanju govora mržnje, koju je Komisija protiv rasizma i netolerancije Vijeća Europe donijela 8. prosinca 2015.,</w:t>
      </w:r>
    </w:p>
    <w:p w:rsidR="00BC0861" w:rsidRPr="00D9402D" w:rsidRDefault="00BC0861" w:rsidP="00BC0861">
      <w:pPr>
        <w:pStyle w:val="NormalHanging12a"/>
        <w:rPr>
          <w:szCs w:val="24"/>
        </w:rPr>
      </w:pPr>
      <w:r w:rsidRPr="00D9402D">
        <w:t>–</w:t>
      </w:r>
      <w:r w:rsidRPr="00D9402D">
        <w:tab/>
        <w:t>uzimajući u obzir Okvirnu konvenciju Vijeća Europe za zaštitu nacionalnih manjina i Europsku povelju o regionalnim ili manjinskim jezicima,</w:t>
      </w:r>
    </w:p>
    <w:p w:rsidR="00BC0861" w:rsidRPr="00D9402D" w:rsidRDefault="00BC0861" w:rsidP="00BC0861">
      <w:pPr>
        <w:pStyle w:val="NormalHanging12a"/>
      </w:pPr>
      <w:r w:rsidRPr="00D9402D">
        <w:t>–</w:t>
      </w:r>
      <w:r w:rsidRPr="00D9402D">
        <w:tab/>
        <w:t>uzimajući u obzir preporuke, izvješća i rezolucije Europske komisije protiv rasizma i netolerancije, Upravljačkog odbora za borbu protiv diskriminacije, raznolikost i uključivanje, Parlamentarne skupštine, Venecijanske komisije i drugih tijela Vijeća Europe,</w:t>
      </w:r>
    </w:p>
    <w:p w:rsidR="00BC0861" w:rsidRPr="00D9402D" w:rsidRDefault="00BC0861" w:rsidP="00BC0861">
      <w:pPr>
        <w:pStyle w:val="NormalHanging12a"/>
      </w:pPr>
      <w:r w:rsidRPr="00D9402D">
        <w:t>–</w:t>
      </w:r>
      <w:r w:rsidRPr="00D9402D">
        <w:tab/>
        <w:t>uzimajući u obzir smjernice za poboljšanje prikupljanja i upotrebe podataka o ravnopravnosti koje je sastavila Podskupina za podatke o ravnopravnosti u okviru Komisijine Skupine na visokoj razini za nediskriminaciju, ravnopravnost i raznolikost i koje su objavljene 2021.,</w:t>
      </w:r>
    </w:p>
    <w:p w:rsidR="00BC0861" w:rsidRPr="00D9402D" w:rsidRDefault="00BC0861" w:rsidP="00BC0861">
      <w:pPr>
        <w:pStyle w:val="NormalHanging12a"/>
      </w:pPr>
      <w:r w:rsidRPr="00D9402D">
        <w:t>–</w:t>
      </w:r>
      <w:r w:rsidRPr="00D9402D">
        <w:tab/>
        <w:t>uzimajući u obzir ugovore i instrumente UN-a u području ljudskih prava o zaštiti ljudskih prava i temeljnih sloboda, a posebno Opću deklaraciju o ljudskim pravima, Međunarodni pakt o građanskim i političkim pravima, Konvenciju o ukidanju svih oblika rasne diskriminacije, Konvenciju o ukidanju svih oblika diskriminacije žena i preporuke godišnjeg Foruma UN-a o pitanjima manjina,</w:t>
      </w:r>
    </w:p>
    <w:p w:rsidR="00BC0861" w:rsidRPr="00D9402D" w:rsidRDefault="00BC0861" w:rsidP="00BC0861">
      <w:pPr>
        <w:pStyle w:val="NormalHanging12a"/>
        <w:rPr>
          <w:szCs w:val="24"/>
        </w:rPr>
      </w:pPr>
      <w:r w:rsidRPr="00D9402D">
        <w:t>–</w:t>
      </w:r>
      <w:r w:rsidRPr="00D9402D">
        <w:tab/>
        <w:t>uzimajući u obzir godišnje podatke o zločinima iz mržnje koje 16. studenoga svake godine objavljuje Ured OESS-a za demokratske institucije i ljudska prava,</w:t>
      </w:r>
    </w:p>
    <w:p w:rsidR="00BC0861" w:rsidRPr="00D9402D" w:rsidRDefault="00BC0861" w:rsidP="00BC0861">
      <w:pPr>
        <w:pStyle w:val="NormalHanging12a"/>
      </w:pPr>
      <w:r w:rsidRPr="00D9402D">
        <w:t>–</w:t>
      </w:r>
      <w:r w:rsidRPr="00D9402D">
        <w:tab/>
        <w:t>uzimajući u obzir svoju Rezoluciju od 25. studenoga 2020. o jačanju slobode medija i zaštiti novinara u Europi, govoru mržnje, dezinformiranju i ulozi platformi</w:t>
      </w:r>
      <w:r w:rsidRPr="00D9402D">
        <w:rPr>
          <w:rStyle w:val="FootnoteReference"/>
        </w:rPr>
        <w:footnoteReference w:id="2"/>
      </w:r>
      <w:r w:rsidRPr="00D9402D">
        <w:t>,</w:t>
      </w:r>
    </w:p>
    <w:p w:rsidR="00BC0861" w:rsidRPr="00D9402D" w:rsidRDefault="00BC0861" w:rsidP="00BC0861">
      <w:pPr>
        <w:pStyle w:val="NormalHanging12a"/>
      </w:pPr>
      <w:r w:rsidRPr="00D9402D">
        <w:t>–</w:t>
      </w:r>
      <w:r w:rsidRPr="00D9402D">
        <w:tab/>
        <w:t xml:space="preserve">uzimajući u obzir svoju Rezoluciju od 16. rujna 2021. s preporukama Komisiji o utvrđivanju rodno uvjetovanog nasilja kao novog područja kriminaliteta u članku 83. </w:t>
      </w:r>
      <w:r w:rsidRPr="00D9402D">
        <w:lastRenderedPageBreak/>
        <w:t>stavku 1. UFEU-a</w:t>
      </w:r>
      <w:r w:rsidRPr="00D9402D">
        <w:rPr>
          <w:rStyle w:val="FootnoteReference"/>
        </w:rPr>
        <w:footnoteReference w:id="3"/>
      </w:r>
      <w:r w:rsidRPr="00D9402D">
        <w:t>,</w:t>
      </w:r>
    </w:p>
    <w:p w:rsidR="00BC0861" w:rsidRPr="00D9402D" w:rsidRDefault="00BC0861" w:rsidP="00BC0861">
      <w:pPr>
        <w:pStyle w:val="NormalHanging12a"/>
      </w:pPr>
      <w:r w:rsidRPr="00D9402D">
        <w:t>–</w:t>
      </w:r>
      <w:r w:rsidRPr="00D9402D">
        <w:tab/>
        <w:t>uzimajući u obzir svoju Rezoluciju od 13. studenoga 2018. o minimalnim standardima za manjine u EU-u</w:t>
      </w:r>
      <w:r w:rsidRPr="00D9402D">
        <w:rPr>
          <w:rStyle w:val="FootnoteReference"/>
        </w:rPr>
        <w:footnoteReference w:id="4"/>
      </w:r>
      <w:r w:rsidRPr="00D9402D">
        <w:t>,</w:t>
      </w:r>
    </w:p>
    <w:p w:rsidR="00BC0861" w:rsidRPr="00D9402D" w:rsidRDefault="00BC0861" w:rsidP="00BC0861">
      <w:pPr>
        <w:pStyle w:val="NormalHanging12a"/>
      </w:pPr>
      <w:r w:rsidRPr="00D9402D">
        <w:t>–</w:t>
      </w:r>
      <w:r w:rsidRPr="00D9402D">
        <w:tab/>
        <w:t>uzimajući u obzir članak 105. stavak 5. Poslovnika,</w:t>
      </w:r>
    </w:p>
    <w:p w:rsidR="00BC0861" w:rsidRPr="00D9402D" w:rsidRDefault="00BC0861" w:rsidP="00BC0861">
      <w:pPr>
        <w:pStyle w:val="Normal12Hanging"/>
      </w:pPr>
      <w:r w:rsidRPr="00D9402D">
        <w:t>–</w:t>
      </w:r>
      <w:r w:rsidRPr="00D9402D">
        <w:tab/>
        <w:t>uzimajući u obzir mišljenje Odbora za prava žena i rodnu ravnopravnost,</w:t>
      </w:r>
    </w:p>
    <w:p w:rsidR="00BC0861" w:rsidRPr="00D9402D" w:rsidRDefault="00BC0861" w:rsidP="00BC0861">
      <w:pPr>
        <w:pStyle w:val="NormalHanging12a"/>
      </w:pPr>
      <w:r w:rsidRPr="00D9402D">
        <w:t>–</w:t>
      </w:r>
      <w:r w:rsidRPr="00D9402D">
        <w:tab/>
        <w:t>uzimajući u obzir izvješće Odbora za građanske slobode, pravosuđe i unutarnje poslove (A9</w:t>
      </w:r>
      <w:r w:rsidRPr="00D9402D">
        <w:noBreakHyphen/>
        <w:t>0377/2023),</w:t>
      </w:r>
    </w:p>
    <w:p w:rsidR="00BC0861" w:rsidRPr="00D9402D" w:rsidRDefault="00BC0861" w:rsidP="00BC0861">
      <w:pPr>
        <w:pStyle w:val="NormalHanging12a"/>
        <w:rPr>
          <w:szCs w:val="24"/>
        </w:rPr>
      </w:pPr>
      <w:r w:rsidRPr="00D9402D">
        <w:t>A.</w:t>
      </w:r>
      <w:r w:rsidRPr="00D9402D">
        <w:tab/>
        <w:t>budući da se zabranjuje svaka diskriminacija na bilo kojoj osnovi, kao što su spol, rasa, boja kože, etničko ili socijalno podrijetlo, genetske osobine, jezik, religija ili uvjerenja, političko ili bilo kakvo drugo mišljenje, pripadnost nacionalnoj manjini, imovina, rođenje, invaliditet, dob ili seksualna orijentacija, kako je utvrđeno u članku 21. Povelje; budući da je, u okviru područja primjene Ugovorâ i ne dovodeći u pitanje nijednu njihovu posebnu odredbu, zabranjena i svaka diskriminacija na osnovi državljanstva; budući da bi se u skladu sa širokim tumačenjem Suda EU-a osnova „spola” trebala široko tumačiti tako da obuhvaća sve oblike diskriminacije povezane s rodnim identitetom, rodnim izražavanjem i spolnim obilježjima</w:t>
      </w:r>
      <w:r w:rsidRPr="00D9402D">
        <w:rPr>
          <w:vertAlign w:val="superscript"/>
        </w:rPr>
        <w:footnoteReference w:id="5"/>
      </w:r>
      <w:r w:rsidRPr="00D9402D">
        <w:t>;</w:t>
      </w:r>
    </w:p>
    <w:p w:rsidR="00BC0861" w:rsidRPr="00D9402D" w:rsidRDefault="00BC0861" w:rsidP="00BC0861">
      <w:pPr>
        <w:pStyle w:val="NormalHanging12a"/>
      </w:pPr>
      <w:r w:rsidRPr="00D9402D">
        <w:t>B.</w:t>
      </w:r>
      <w:r w:rsidRPr="00D9402D">
        <w:tab/>
        <w:t>budući da su svi oblici mržnje i netolerancije i njihovo izražavanje, uključujući govor mržnje i zločine iz mržnje, nespojivi s vrijednostima Unije kao što su ljudsko dostojanstvo, sloboda, demokracija, ravnopravnost, vladavina prava i poštovanje ljudskih prava, uključujući prava pripadnika manjina, kako je utvrđeno u članku 2. UEU-a; budući da promicanje i zaštita tih temeljnih vrijednosti Unije ovisi o institucijama EU-a, državama članicama i svim drugim relevantnim akterima koji se bore protiv pristranosti, predrasuda i netolerancije, kao i o iskorjenjivanju mržnje;</w:t>
      </w:r>
    </w:p>
    <w:p w:rsidR="00BC0861" w:rsidRPr="00D9402D" w:rsidRDefault="00BC0861" w:rsidP="00BC0861">
      <w:pPr>
        <w:pStyle w:val="NormalHanging12a"/>
        <w:rPr>
          <w:szCs w:val="24"/>
        </w:rPr>
      </w:pPr>
      <w:r w:rsidRPr="00D9402D">
        <w:t>C.</w:t>
      </w:r>
      <w:r w:rsidRPr="00D9402D">
        <w:tab/>
        <w:t xml:space="preserve">budući da su govor mržnje i zločini iz mržnje složene i višedimenzionalne pojave s dalekosežnim posljedicama za ljudska prava i vladavinu prava u demokratskim društvima; budući da borba protiv ksenofobije, rasizma, </w:t>
      </w:r>
      <w:proofErr w:type="spellStart"/>
      <w:r w:rsidRPr="00D9402D">
        <w:t>mizoginije</w:t>
      </w:r>
      <w:proofErr w:type="spellEnd"/>
      <w:r w:rsidRPr="00D9402D">
        <w:t xml:space="preserve">, homofobije, </w:t>
      </w:r>
      <w:proofErr w:type="spellStart"/>
      <w:r w:rsidRPr="00D9402D">
        <w:t>transfobije</w:t>
      </w:r>
      <w:proofErr w:type="spellEnd"/>
      <w:r w:rsidRPr="00D9402D">
        <w:t xml:space="preserve"> i drugih oblika predrasuda, netolerancije, diskriminacije, uključujući one na temelju političkih ili drugih mišljenja, te mržnje prema određenim pojedincima ili društvenim skupinama zahtijeva od EU-a i njegovih država članica da razviju holistički odgovor u bliskoj suradnji s relevantnim dionicima, uključujući civilno društvo; budući da je kriminalizacija jedan od alata za suzbijanje govora mržnje i zločina iz mržnje;</w:t>
      </w:r>
    </w:p>
    <w:p w:rsidR="00BC0861" w:rsidRPr="00D9402D" w:rsidRDefault="00BC0861" w:rsidP="00BC0861">
      <w:pPr>
        <w:pStyle w:val="NormalHanging12a"/>
        <w:rPr>
          <w:szCs w:val="24"/>
        </w:rPr>
      </w:pPr>
      <w:r w:rsidRPr="00D9402D">
        <w:t>D.</w:t>
      </w:r>
      <w:r w:rsidRPr="00D9402D">
        <w:tab/>
        <w:t xml:space="preserve">budući da borba protiv govora mržnje i zločina iz mržnje, na internetu i izvan njega, zahtijeva višedimenzionalni pristup i, prema potrebi, različita sredstva za njihovo suzbijanje, uključujući kazneno pravo, građanske i upravne postupke i druge važne </w:t>
      </w:r>
      <w:r w:rsidRPr="00D9402D">
        <w:lastRenderedPageBreak/>
        <w:t>politike ili socijalne mjere; budući da su se države članice već obvezale na donošenje zakonodavstva i mjera kojima se kažnjavaju zločini iz mržnje, rješava problem nedovoljnog prijavljivanja te uvode ili dodatno razvijaju aktivnosti izgradnje kapaciteta za službenike za izvršavanje zakonodavstva i pravosudne službenike</w:t>
      </w:r>
      <w:r w:rsidRPr="00D9402D">
        <w:rPr>
          <w:vertAlign w:val="superscript"/>
        </w:rPr>
        <w:footnoteReference w:id="6"/>
      </w:r>
      <w:r w:rsidRPr="00D9402D">
        <w:t>; budući da je za učinkovitu borbu protiv govora mržnje i zločina iz mržnje ključno uhvatiti se u koštac s njihovim temeljnim uzrocima, posebno stereotipima; budući da su preventivne mjere i obrazovanje, uključujući digitalno obrazovanje, te pismenost i vještine za promicanje sigurnih digitalnih prostora, osposobljavanje i senzibilizacija ključni u tom pogledu; budući da bi EU i države članice trebali promicati bolje razumijevanje potrebe za raznolikošću i dijalogom u kontekstu demokracije, ljudskih prava i vladavine prava, podizati razinu javne svijesti o važnosti poštovanja pluralizma i boriti se protiv negativnih stereotipa i stigmatizacije;</w:t>
      </w:r>
    </w:p>
    <w:p w:rsidR="00BC0861" w:rsidRPr="00D9402D" w:rsidRDefault="00BC0861" w:rsidP="00BC0861">
      <w:pPr>
        <w:pStyle w:val="NormalHanging12a"/>
        <w:rPr>
          <w:szCs w:val="24"/>
        </w:rPr>
      </w:pPr>
      <w:r w:rsidRPr="00D9402D">
        <w:t>E.</w:t>
      </w:r>
      <w:r w:rsidRPr="00D9402D">
        <w:tab/>
        <w:t>budući da govor mržnje i zločini iz mržnje mogu biti posebno teška kaznena djela koja ne utječu samo na pojedinačne žrtve i njihove zajednice, jer im uzrokuju patnju i ograničavaju temeljna prava i slobode, nego i na društvo u cjelini, čime se potkopavaju temelji EU-a;</w:t>
      </w:r>
    </w:p>
    <w:p w:rsidR="00BC0861" w:rsidRPr="00D9402D" w:rsidRDefault="00BC0861" w:rsidP="00BC0861">
      <w:pPr>
        <w:pStyle w:val="NormalHanging12a"/>
        <w:rPr>
          <w:szCs w:val="24"/>
        </w:rPr>
      </w:pPr>
      <w:r w:rsidRPr="00D9402D">
        <w:t>F.</w:t>
      </w:r>
      <w:r w:rsidRPr="00D9402D">
        <w:tab/>
        <w:t>budući da svaki govor mržnje nije kazneno djelo, ali svejedno doprinosi normalizaciji izražavanja mržnje, nasilja i netolerancije u društvu;</w:t>
      </w:r>
    </w:p>
    <w:p w:rsidR="00BC0861" w:rsidRPr="00D9402D" w:rsidRDefault="00BC0861" w:rsidP="00BC0861">
      <w:pPr>
        <w:pStyle w:val="NormalHanging12a"/>
      </w:pPr>
      <w:r w:rsidRPr="00D9402D">
        <w:t>G.</w:t>
      </w:r>
      <w:r w:rsidRPr="00D9402D">
        <w:tab/>
        <w:t>budući da je u posljednjih nekoliko desetljeća zabilježen nagli porast diskriminacije, zločina iz mržnje i govora mržnje diljem EU-a</w:t>
      </w:r>
      <w:r w:rsidRPr="00D9402D">
        <w:rPr>
          <w:rStyle w:val="FootnoteReference"/>
        </w:rPr>
        <w:footnoteReference w:id="7"/>
      </w:r>
      <w:r w:rsidRPr="00D9402D">
        <w:t xml:space="preserve">, kao i raznih oblika rasizma, antisemitizma, </w:t>
      </w:r>
      <w:proofErr w:type="spellStart"/>
      <w:r w:rsidRPr="00D9402D">
        <w:t>islamofobije</w:t>
      </w:r>
      <w:proofErr w:type="spellEnd"/>
      <w:r w:rsidRPr="00D9402D">
        <w:t xml:space="preserve">, ksenofobije, homofobije, </w:t>
      </w:r>
      <w:proofErr w:type="spellStart"/>
      <w:r w:rsidRPr="00D9402D">
        <w:t>transfobije</w:t>
      </w:r>
      <w:proofErr w:type="spellEnd"/>
      <w:r w:rsidRPr="00D9402D">
        <w:t xml:space="preserve"> i drugih oblika netolerancije, uz krajnje zabrinjavajući porast govora mržnje i poticanja na govor mržnje na internetu i izvan njega; budući da su osobe koje pripadaju ranjivim skupinama, kao što su LGBTIQ+ osobe, pripadnici rasne, etničke, vjerske ili jezične manjine, autohtone zajednice</w:t>
      </w:r>
      <w:r w:rsidRPr="00D9402D">
        <w:rPr>
          <w:vertAlign w:val="superscript"/>
        </w:rPr>
        <w:footnoteReference w:id="8"/>
      </w:r>
      <w:r w:rsidRPr="00D9402D">
        <w:rPr>
          <w:rStyle w:val="FootnoteReference"/>
        </w:rPr>
        <w:footnoteReference w:id="9"/>
      </w:r>
      <w:r w:rsidRPr="00D9402D">
        <w:t xml:space="preserve">, osobe s invaliditetom, osobe u nepovoljnom socioekonomskom položaju, tražitelji azila, izbjeglice i migranti, česte mete govora mržnje i zločina iz mržnje; budući da je u Europi zabilježen znatan porast zločina iz </w:t>
      </w:r>
      <w:r w:rsidRPr="00D9402D">
        <w:lastRenderedPageBreak/>
        <w:t>mržnje i govora mržnje usmjerenih protiv LGBTIQ osoba</w:t>
      </w:r>
      <w:r w:rsidRPr="00D9402D">
        <w:rPr>
          <w:vertAlign w:val="superscript"/>
        </w:rPr>
        <w:footnoteReference w:id="10"/>
      </w:r>
      <w:r w:rsidRPr="00D9402D">
        <w:t xml:space="preserve">, kao i porast diskriminacije i mržnje prema ženama; budući da je višestruka i </w:t>
      </w:r>
      <w:proofErr w:type="spellStart"/>
      <w:r w:rsidRPr="00D9402D">
        <w:t>intersekcijska</w:t>
      </w:r>
      <w:proofErr w:type="spellEnd"/>
      <w:r w:rsidRPr="00D9402D">
        <w:t xml:space="preserve"> diskriminacija plodno tlo za pojavu govora mržnje i zločina iz mržnje; budući da osobe koje su mete govora mržnje postaju sve </w:t>
      </w:r>
      <w:proofErr w:type="spellStart"/>
      <w:r w:rsidRPr="00D9402D">
        <w:t>isključenije</w:t>
      </w:r>
      <w:proofErr w:type="spellEnd"/>
      <w:r w:rsidRPr="00D9402D">
        <w:t xml:space="preserve"> iz društva;</w:t>
      </w:r>
    </w:p>
    <w:p w:rsidR="00BC0861" w:rsidRPr="00D9402D" w:rsidRDefault="00BC0861" w:rsidP="00BC0861">
      <w:pPr>
        <w:pStyle w:val="NormalHanging12a"/>
        <w:rPr>
          <w:szCs w:val="24"/>
        </w:rPr>
      </w:pPr>
      <w:r w:rsidRPr="00D9402D">
        <w:t>H.</w:t>
      </w:r>
      <w:r w:rsidRPr="00D9402D">
        <w:tab/>
        <w:t>budući da mnoge države članice bilježe dodatan porast diskriminacije i mržnje zbog ekstremističkih i populističkih pokreta te multiplikacijskog učinka internetskog okruženja i društvenih mreža, čime se omogućuje ponovna viktimizacija; budući da taj porast dovodi do opasnih podjela u društvu kao cjelini i ugrožava demokraciju;</w:t>
      </w:r>
    </w:p>
    <w:p w:rsidR="00BC0861" w:rsidRPr="00D9402D" w:rsidRDefault="00BC0861" w:rsidP="00BC0861">
      <w:pPr>
        <w:pStyle w:val="NormalHanging12a"/>
        <w:rPr>
          <w:szCs w:val="24"/>
        </w:rPr>
      </w:pPr>
      <w:r w:rsidRPr="00D9402D">
        <w:t>I.</w:t>
      </w:r>
      <w:r w:rsidRPr="00D9402D">
        <w:tab/>
        <w:t>budući da postoje dokazi da se govor mržnje i incidenti motivirani mržnjom i dalje nedovoljno prijavljuju u EU-u</w:t>
      </w:r>
      <w:r w:rsidRPr="00D9402D">
        <w:rPr>
          <w:vertAlign w:val="superscript"/>
        </w:rPr>
        <w:footnoteReference w:id="11"/>
      </w:r>
      <w:r w:rsidRPr="00D9402D">
        <w:t>, zbog čega je teško brojčano izraziti o koliko je velikom problemu riječ;</w:t>
      </w:r>
    </w:p>
    <w:p w:rsidR="00BC0861" w:rsidRPr="00D9402D" w:rsidRDefault="00BC0861" w:rsidP="00BC0861">
      <w:pPr>
        <w:pStyle w:val="NormalHanging12a"/>
        <w:rPr>
          <w:szCs w:val="24"/>
        </w:rPr>
      </w:pPr>
      <w:r w:rsidRPr="00D9402D">
        <w:t>J.</w:t>
      </w:r>
      <w:r w:rsidRPr="00D9402D">
        <w:tab/>
        <w:t>budući da mediji i novinari imaju temeljnu ulogu u informiranju društva i podupiranju demokratskih procesa;</w:t>
      </w:r>
    </w:p>
    <w:p w:rsidR="00BC0861" w:rsidRPr="00D9402D" w:rsidRDefault="00BC0861" w:rsidP="00BC0861">
      <w:pPr>
        <w:pStyle w:val="NormalHanging12a"/>
        <w:rPr>
          <w:szCs w:val="24"/>
        </w:rPr>
      </w:pPr>
      <w:r w:rsidRPr="00D9402D">
        <w:t>K.</w:t>
      </w:r>
      <w:r w:rsidRPr="00D9402D">
        <w:tab/>
        <w:t>budući da se govor mržnje sve češće javlja i u političkom diskursu; budući da su izborne kampanje posebno plodno tlo za govor mržnje i poticanje na mržnju, što ne utječe samo na političku sferu, nego i na funkcioniranje društva u cjelini i čime se produbljuje politička polarizacija; budući da je govor mržnje prema ženama na javnim funkcijama dosegao zabrinjavajuću razinu; budući da politički vođe imaju važnu ulogu i odgovornost u borbi protiv govora mržnje i netolerancije; budući da bi oni trebali služiti kao primjer i javno osuđivati slučajeve izražavanja mržnje;</w:t>
      </w:r>
    </w:p>
    <w:p w:rsidR="00BC0861" w:rsidRPr="00D9402D" w:rsidRDefault="00BC0861" w:rsidP="00BC0861">
      <w:pPr>
        <w:pStyle w:val="NormalHanging12a"/>
        <w:rPr>
          <w:szCs w:val="24"/>
        </w:rPr>
      </w:pPr>
      <w:r w:rsidRPr="00D9402D">
        <w:t>L.</w:t>
      </w:r>
      <w:r w:rsidRPr="00D9402D">
        <w:tab/>
        <w:t>budući da su maloljetnici posebno ranjive žrtve govora mržnje i zločina iz mržnje, među ostalim u školama i u obliku internetskog zlostavljanja; budući da takvi napadi ugrožavaju njihov fizički i mentalni integritet te utječu na njihov razvoj te fizičko i mentalno zdravlje; budući da im je potrebno posvetiti posebnu pozornost;</w:t>
      </w:r>
    </w:p>
    <w:p w:rsidR="00BC0861" w:rsidRPr="00D9402D" w:rsidRDefault="00BC0861" w:rsidP="00BC0861">
      <w:pPr>
        <w:pStyle w:val="NormalHanging12a"/>
        <w:rPr>
          <w:szCs w:val="24"/>
        </w:rPr>
      </w:pPr>
      <w:r w:rsidRPr="00D9402D">
        <w:t>M.</w:t>
      </w:r>
      <w:r w:rsidRPr="00D9402D">
        <w:tab/>
        <w:t>budući da se države članice u svojim kaznenim zakonima ne bave problemom govora mržnje i zločina iz mržnje na isti način, zbog čega određene skupine u nekim dijelovima Unije nisu dovoljno zaštićene; budući da je zbog toga teško definirati zajednički europski pristup borbi protiv govora mržnje i zločina iz mržnje; budući da nedostatak pravne zaštite može imati razorne posljedice za žrtve;</w:t>
      </w:r>
    </w:p>
    <w:p w:rsidR="00BC0861" w:rsidRPr="00D9402D" w:rsidRDefault="00BC0861" w:rsidP="00BC0861">
      <w:pPr>
        <w:pStyle w:val="NormalHanging12a"/>
        <w:rPr>
          <w:szCs w:val="24"/>
        </w:rPr>
      </w:pPr>
      <w:r w:rsidRPr="00D9402D">
        <w:t>N.</w:t>
      </w:r>
      <w:r w:rsidRPr="00D9402D">
        <w:tab/>
        <w:t xml:space="preserve">budući da trenutačni okvir EU-a obuhvaća samo govor mržnje i zločine iz mržnje na osnovi rase, boje, vjere, podrijetla te nacionalnog ili etničkog podrijetla; budući da trenutačno ne postoji sveobuhvatna zajednička pravna definicija govora mržnje i zločina iz mržnje na razini EU-a; budući da postoji jasna potreba za djelotvornim rješavanjem problema govora mržnje i zločina iz mržnje na drugim osnovama, kao što su spol, seksualna orijentacija, rod, rodni identitet, rodno izražavanje, spolna obilježja, dob, invaliditet i bilo koje drugo temeljno obilježje, a posebno ona koja su zaštićena člankom 21. Povelje, i svaka kombinacija takvih obilježja; budući da EU mora zaštititi </w:t>
      </w:r>
      <w:r w:rsidRPr="00D9402D">
        <w:lastRenderedPageBreak/>
        <w:t>najranjivije skupine u društvu; budući da bi posebnu pozornost trebalo posvetiti prepoznavanju osoba, skupina ili zajednica koje su najosjetljivije na govor mržnje i zločine iz mržnje kako bi se izbjegao negativan učinak na zaštitu žrtava;</w:t>
      </w:r>
    </w:p>
    <w:p w:rsidR="00BC0861" w:rsidRPr="00D9402D" w:rsidRDefault="00BC0861" w:rsidP="00BC0861">
      <w:pPr>
        <w:pStyle w:val="NormalHanging12a"/>
        <w:rPr>
          <w:szCs w:val="24"/>
        </w:rPr>
      </w:pPr>
      <w:r w:rsidRPr="00D9402D">
        <w:t>O.</w:t>
      </w:r>
      <w:r w:rsidRPr="00D9402D">
        <w:tab/>
        <w:t>budući da se člankom 83. stavkom 1. UFEU-a utvrđuju jasni zahtjevi za uključivanje novih područja kriminaliteta na popis prekograničnih kaznenih djela u EU-u; budući da je jasno da postoji posebna prekogranična dimenzija govora mržnje na internetu; budući da je zbog digitalne transformacije naglašena potreba za rješavanjem tog pitanja na europskoj razini; budući da postoji potreba za borbom protiv govora mržnje i zločina iz mržnje na zajedničkoj osnovi i na razini EU-a; budući da je EU odgovoran poduzeti određene mjere;</w:t>
      </w:r>
    </w:p>
    <w:p w:rsidR="00BC0861" w:rsidRPr="00D9402D" w:rsidRDefault="00BC0861" w:rsidP="00BC0861">
      <w:pPr>
        <w:pStyle w:val="NormalHanging12a"/>
        <w:rPr>
          <w:szCs w:val="24"/>
        </w:rPr>
      </w:pPr>
      <w:r w:rsidRPr="00D9402D">
        <w:t>P.</w:t>
      </w:r>
      <w:r w:rsidRPr="00D9402D">
        <w:tab/>
        <w:t>budući da bi odgovor kaznenog prava EU-a na govor mržnje i zločine iz mržnje trebao biti odlučan, proporcionalan i svrsishodan kako bi se na odgovarajući način zaštitila žrtva i pridala odgovarajuća važnost slobodi izražavanja i slobodi informiranja, kao temeljima demokracije; budući da bi EU trebao zajamčiti da nadležna tijela u državama članicama ne zloupotrebljavaju ograničavanje slobode izražavanja koje se primjenjuje za sprečavanje i suzbijanje govora mržnje kako bi ušutkala manjine i suzbila kritiku; budući da se pri uspostavi zaštite od govora mržnje moraju poštovati presude Europskog suda za ljudska prava o slobodi izražavanja;</w:t>
      </w:r>
    </w:p>
    <w:p w:rsidR="00BC0861" w:rsidRPr="00D9402D" w:rsidRDefault="00BC0861" w:rsidP="00BC0861">
      <w:pPr>
        <w:pStyle w:val="NormalHanging12a"/>
        <w:rPr>
          <w:szCs w:val="24"/>
        </w:rPr>
      </w:pPr>
      <w:r w:rsidRPr="00D9402D">
        <w:t>Q.</w:t>
      </w:r>
      <w:r w:rsidRPr="00D9402D">
        <w:tab/>
        <w:t>budući da su temeljna prava koja se štite u borbi protiv govora mržnje i zločina iz mržnje prije svega ljudsko dostojanstvo i načelo nediskriminacije; budući da bi takva zaštita trebala biti univerzalna; budući da se zaštita od netolerancije, neovisno o tome je li riječ o netoleranciji na osnovi rase, nacionalnog podrijetla, seksualne orijentacije, vjeroispovijesti, ideologije, dobi, mišljenja ili bilo kojeg drugog osobnog, fizičkog ili društvenog stanja ili okolnosti, bez obzira na njihov oblik izražavanja, ne smije ograničiti na samo određene osnove i razloge;</w:t>
      </w:r>
    </w:p>
    <w:p w:rsidR="00BC0861" w:rsidRPr="00D9402D" w:rsidRDefault="00BC0861" w:rsidP="00BC0861">
      <w:pPr>
        <w:pStyle w:val="NormalHanging12a"/>
        <w:rPr>
          <w:szCs w:val="24"/>
        </w:rPr>
      </w:pPr>
      <w:r w:rsidRPr="00D9402D">
        <w:t>R.</w:t>
      </w:r>
      <w:r w:rsidRPr="00D9402D">
        <w:tab/>
        <w:t>budući da se socijalna dinamika mijenja i da može dovesti do pojave novih osnova za govor mržnje i zločine iz mržnje koji će se morati obuhvatiti zajedničkim okvirom EU-a, zbog čega je potrebno proširiti članak 83. stavak 1. UFEU-a u kojem se navodi popis područja kriminaliteta u EU-u;</w:t>
      </w:r>
    </w:p>
    <w:p w:rsidR="00BC0861" w:rsidRPr="00D9402D" w:rsidRDefault="00BC0861" w:rsidP="00BC0861">
      <w:pPr>
        <w:pStyle w:val="NormalHanging12a"/>
      </w:pPr>
      <w:r w:rsidRPr="00D9402D">
        <w:t>S.</w:t>
      </w:r>
      <w:r w:rsidRPr="00D9402D">
        <w:tab/>
        <w:t>budući da je 2021. Komisija predstavila komunikaciju naslovljenu „</w:t>
      </w:r>
      <w:proofErr w:type="spellStart"/>
      <w:r w:rsidRPr="00D9402D">
        <w:t>Uključivija</w:t>
      </w:r>
      <w:proofErr w:type="spellEnd"/>
      <w:r w:rsidRPr="00D9402D">
        <w:t xml:space="preserve"> Europa koja štiti: proširenje popisa područja kriminaliteta u EU-u na govor mržnje i zločine iz mržnje”, s ciljem dodavanja zločina iz mržnje i govora mržnje na popis područja kriminaliteta u kojima Parlament i Vijeće mogu utvrditi minimalna pravila u pogledu definicije kaznenih djela i sankcija koji se primjenjuju u svim državama članicama EU-a, kako je predviđeno u članku 83. stavku 1. UFEU-a; budući da Vijeće mora donijeti odluku u tom pogledu;</w:t>
      </w:r>
    </w:p>
    <w:p w:rsidR="00BC0861" w:rsidRPr="00D9402D" w:rsidRDefault="00BC0861" w:rsidP="00BC0861">
      <w:pPr>
        <w:pStyle w:val="NormalHanging12a"/>
        <w:rPr>
          <w:szCs w:val="24"/>
        </w:rPr>
      </w:pPr>
      <w:r w:rsidRPr="00D9402D">
        <w:t>T.</w:t>
      </w:r>
      <w:r w:rsidRPr="00D9402D">
        <w:tab/>
        <w:t>budući da bi ta odluka Vijeća bila prvi korak u stvaranju potrebne pravne osnove za drugi korak, odnosno za donošenje zajedničkog pravnog okvira za borbu protiv govora mržnje i zločina iz mržnje diljem EU-a; budući da je takav zajednički pravni okvir hitno potreban za uspostavu minimalnih standarda za definiranje kaznenih djela i sankcija, a samim time i za borbu protiv govora mržnje i zločina iz mržnje na zajedničkoj europskoj osnovi kako bi se osigurala dosljedna zaštita potencijalnih žrtava takvih djela diljem Unije;</w:t>
      </w:r>
    </w:p>
    <w:p w:rsidR="00BC0861" w:rsidRPr="00D9402D" w:rsidRDefault="00BC0861" w:rsidP="00BC0861">
      <w:pPr>
        <w:pStyle w:val="NormalHanging12a"/>
      </w:pPr>
      <w:r w:rsidRPr="00D9402D">
        <w:t>U.</w:t>
      </w:r>
      <w:r w:rsidRPr="00D9402D">
        <w:tab/>
        <w:t xml:space="preserve">budući da Vijeće tek treba donijeti odluku; budući da neke države članice blokiraju </w:t>
      </w:r>
      <w:r w:rsidRPr="00D9402D">
        <w:lastRenderedPageBreak/>
        <w:t>konkretan napredak u vezi s tim konkretnim predmetom u Vijeću;</w:t>
      </w:r>
    </w:p>
    <w:p w:rsidR="00BC0861" w:rsidRPr="00D9402D" w:rsidRDefault="00BC0861" w:rsidP="00BC0861">
      <w:pPr>
        <w:pStyle w:val="NormalHanging12a"/>
        <w:rPr>
          <w:szCs w:val="24"/>
        </w:rPr>
      </w:pPr>
      <w:r w:rsidRPr="00D9402D">
        <w:t>V.</w:t>
      </w:r>
      <w:r w:rsidRPr="00D9402D">
        <w:tab/>
        <w:t>budući da se člankom 83. stavkom 1. UFEU-a zahtijeva jednoglasnost u Vijeću kako bi se utvrdila „ostala područja kriminaliteta”; budući da se taj zahtjev pokazao štetnim za postizanje potrebnog zajedničkog napretka u suzbijanju govora mržnje i zločina iz mržnje diljem Unije;</w:t>
      </w:r>
    </w:p>
    <w:p w:rsidR="00BC0861" w:rsidRPr="00D9402D" w:rsidRDefault="00BC0861" w:rsidP="00BC0861">
      <w:pPr>
        <w:pStyle w:val="NormalHanging12a"/>
        <w:rPr>
          <w:szCs w:val="24"/>
        </w:rPr>
      </w:pPr>
      <w:r w:rsidRPr="00D9402D">
        <w:t>1.</w:t>
      </w:r>
      <w:r w:rsidRPr="00D9402D">
        <w:tab/>
        <w:t>potiče Vijeće da donese odluku o uvrštavanju govora mržnje i zločina iz mržnje na popis kaznenih djela iz članka 83. stavka 1. UFEU-a kako bi Komisija mogla pokrenuti drugu fazu postupka;</w:t>
      </w:r>
    </w:p>
    <w:p w:rsidR="00BC0861" w:rsidRPr="00D9402D" w:rsidRDefault="00BC0861" w:rsidP="00BC0861">
      <w:pPr>
        <w:pStyle w:val="NormalHanging12a"/>
        <w:rPr>
          <w:szCs w:val="24"/>
        </w:rPr>
      </w:pPr>
      <w:r w:rsidRPr="00D9402D">
        <w:t>2.</w:t>
      </w:r>
      <w:r w:rsidRPr="00D9402D">
        <w:tab/>
        <w:t>podsjeća da se kazneni zakoni država članica odnose na govor mržnje i zločine iz mržnje na različite načine i da minimalna usklađenost pravila na razini EU-a postoji samo ako su takva kaznena djela počinjena na skupini ili pojedincu na osnovi njihove rase, boje kože, vjeroispovijesti ili nacionalnog ili etničkog podrijetla, što otežava uspješnu provedbu zajedničke strategije za učinkovitu borbu protiv mržnje;</w:t>
      </w:r>
    </w:p>
    <w:p w:rsidR="00BC0861" w:rsidRPr="00D9402D" w:rsidRDefault="00BC0861" w:rsidP="00BC0861">
      <w:pPr>
        <w:pStyle w:val="NormalHanging12a"/>
        <w:rPr>
          <w:szCs w:val="24"/>
        </w:rPr>
      </w:pPr>
      <w:r w:rsidRPr="00D9402D">
        <w:t>3.</w:t>
      </w:r>
      <w:r w:rsidRPr="00D9402D">
        <w:tab/>
        <w:t>duboko žali zbog toga što su prošle gotovo dvije godine od objavljivanja komunikacije Komisije i što Vijeće nije postiglo nikakav napredak u tom pogledu, unatoč tome što je uspjelo brzo proširiti popis područja kriminaliteta u EU-u u druge svrhe; žali zbog takvog izostanka djelovanja u svjetlu porasta govora mržnje i zločina iz mržnje;</w:t>
      </w:r>
    </w:p>
    <w:p w:rsidR="00BC0861" w:rsidRPr="00D9402D" w:rsidRDefault="00BC0861" w:rsidP="00BC0861">
      <w:pPr>
        <w:pStyle w:val="NormalHanging12a"/>
      </w:pPr>
      <w:r w:rsidRPr="00D9402D">
        <w:t>4.</w:t>
      </w:r>
      <w:r w:rsidRPr="00D9402D">
        <w:tab/>
        <w:t>poziva države članice da odgovorno i konstruktivno surađuju kako bi nastavile pregovore u Vijeću i kako bi Vijeće donijelo odluku prije kraja aktualnog parlamentarnog saziva;</w:t>
      </w:r>
    </w:p>
    <w:p w:rsidR="00BC0861" w:rsidRPr="00D9402D" w:rsidRDefault="00BC0861" w:rsidP="00BC0861">
      <w:pPr>
        <w:pStyle w:val="NormalHanging12a"/>
        <w:rPr>
          <w:szCs w:val="24"/>
        </w:rPr>
      </w:pPr>
      <w:r w:rsidRPr="00D9402D">
        <w:t>5.</w:t>
      </w:r>
      <w:r w:rsidRPr="00D9402D">
        <w:tab/>
        <w:t>poziva države članice da podrže donošenje nacrta odluke ili da se barem suzdrže od protivljenja;</w:t>
      </w:r>
    </w:p>
    <w:p w:rsidR="00BC0861" w:rsidRPr="00D9402D" w:rsidRDefault="00BC0861" w:rsidP="00BC0861">
      <w:pPr>
        <w:pStyle w:val="NormalHanging12a"/>
      </w:pPr>
      <w:r w:rsidRPr="00D9402D">
        <w:t>6.</w:t>
      </w:r>
      <w:r w:rsidRPr="00D9402D">
        <w:tab/>
        <w:t>poziva sadašnje i buduće predsjedništvo Vijeća Unije da prijedlog Komisije smatraju prioritetom pri sastavljanju svojeg programa i definiranju ciljeva;</w:t>
      </w:r>
    </w:p>
    <w:p w:rsidR="00BC0861" w:rsidRPr="00D9402D" w:rsidRDefault="00BC0861" w:rsidP="00BC0861">
      <w:pPr>
        <w:pStyle w:val="NormalHanging12a"/>
        <w:rPr>
          <w:szCs w:val="24"/>
        </w:rPr>
      </w:pPr>
      <w:r w:rsidRPr="00D9402D">
        <w:t>7.</w:t>
      </w:r>
      <w:r w:rsidRPr="00D9402D">
        <w:tab/>
        <w:t xml:space="preserve">preporučuje da se članak 83. UFEU-a izmijeni tako da se odluke donose pojačanom kvalificiranom većinom umjesto jednoglasno, kako je sada slučaj; u tom pogledu poziva na aktiviranje </w:t>
      </w:r>
      <w:proofErr w:type="spellStart"/>
      <w:r w:rsidRPr="00D9402D">
        <w:t>premošćujuće</w:t>
      </w:r>
      <w:proofErr w:type="spellEnd"/>
      <w:r w:rsidRPr="00D9402D">
        <w:t xml:space="preserve"> klauzule;</w:t>
      </w:r>
    </w:p>
    <w:p w:rsidR="00BC0861" w:rsidRPr="00D9402D" w:rsidRDefault="00BC0861" w:rsidP="00BC0861">
      <w:pPr>
        <w:pStyle w:val="NormalHanging12a"/>
      </w:pPr>
      <w:r w:rsidRPr="00D9402D">
        <w:t>8.</w:t>
      </w:r>
      <w:r w:rsidRPr="00D9402D">
        <w:tab/>
        <w:t>naglašava da se budućim zakonodavstvom EU-a za uspostavu minimalnih standarda za definiranje kaznenih djela i sankcija za govor mržnje i zločine iz mržnje mora zaštititi ljudsko dostojanstvo, nastojati spriječiti šteta, osigurati ravnopravnost i suzbijati mržnja i netolerancija, bez obzira na motivaciju;</w:t>
      </w:r>
    </w:p>
    <w:p w:rsidR="00BC0861" w:rsidRPr="00D9402D" w:rsidRDefault="00BC0861" w:rsidP="00BC0861">
      <w:pPr>
        <w:pStyle w:val="NormalHanging12a"/>
        <w:rPr>
          <w:szCs w:val="24"/>
        </w:rPr>
      </w:pPr>
      <w:r w:rsidRPr="00D9402D">
        <w:t>9.</w:t>
      </w:r>
      <w:r w:rsidRPr="00D9402D">
        <w:tab/>
        <w:t>podsjeća da zaštita mora biti univerzalna, s posebnim naglaskom na ciljanim osobama te ranjivim skupinama i zajednicama;</w:t>
      </w:r>
    </w:p>
    <w:p w:rsidR="00BC0861" w:rsidRPr="00D9402D" w:rsidRDefault="00BC0861" w:rsidP="00BC0861">
      <w:pPr>
        <w:pStyle w:val="NormalHanging12a"/>
        <w:rPr>
          <w:szCs w:val="24"/>
        </w:rPr>
      </w:pPr>
      <w:r w:rsidRPr="00D9402D">
        <w:t>10.</w:t>
      </w:r>
      <w:r w:rsidRPr="00D9402D">
        <w:tab/>
        <w:t>podsjeća da je sloboda izražavanja temeljna vrijednost demokratskih društava te se ne bi trebala neopravdano ograničavati; nadalje podsjeća da bi se svako zakonodavstvo o govoru mržnje i zločinima iz mržnje trebalo temeljiti na načelima nužnosti i proporcionalnosti; naglašava da se sloboda izražavanja mora ostvarivati u okviru zakona i u skladu s člankom 11. Povelje te da se ne bi smjela iskorištavati kao paravan za govor mržnje i zločine iz mržnje;</w:t>
      </w:r>
    </w:p>
    <w:p w:rsidR="00BC0861" w:rsidRPr="00D9402D" w:rsidRDefault="00BC0861" w:rsidP="00BC0861">
      <w:pPr>
        <w:pStyle w:val="NormalHanging12a"/>
        <w:rPr>
          <w:szCs w:val="24"/>
        </w:rPr>
      </w:pPr>
      <w:r w:rsidRPr="00D9402D">
        <w:t>11.</w:t>
      </w:r>
      <w:r w:rsidRPr="00D9402D">
        <w:tab/>
        <w:t xml:space="preserve">traži od Komisije da razmotri zauzimanje otvorenog pristupa prema kojem popis osnova </w:t>
      </w:r>
      <w:r w:rsidRPr="00D9402D">
        <w:lastRenderedPageBreak/>
        <w:t>za diskriminaciju neće biti strogo ograničen kako bi se učinkovito suzbijali govor mržnje i zločini iz mržnje potaknuti novom i promjenjivom društvenom dinamikom;</w:t>
      </w:r>
    </w:p>
    <w:p w:rsidR="00BC0861" w:rsidRPr="00D9402D" w:rsidRDefault="00BC0861" w:rsidP="00BC0861">
      <w:pPr>
        <w:pStyle w:val="NormalHanging12a"/>
      </w:pPr>
      <w:r w:rsidRPr="00D9402D">
        <w:t>12.</w:t>
      </w:r>
      <w:r w:rsidRPr="00D9402D">
        <w:tab/>
        <w:t xml:space="preserve">naglašava da zloupotreba interneta i poslovni model platformi društvenih mreža, utemeljen na </w:t>
      </w:r>
      <w:proofErr w:type="spellStart"/>
      <w:r w:rsidRPr="00D9402D">
        <w:t>mikrociljanom</w:t>
      </w:r>
      <w:proofErr w:type="spellEnd"/>
      <w:r w:rsidRPr="00D9402D">
        <w:t xml:space="preserve"> oglašavanju, doprinose širenju i pojačavanju govora mržnje kojim se potiču diskriminacija i nasilje te povećava rizik od ponovne viktimizacije; poziva Komisiju i države članice da osiguraju ispravnu provedbu postojećeg zakonodavstva, kao što je Uredba (EU) 2022/2065</w:t>
      </w:r>
      <w:r w:rsidRPr="00D9402D">
        <w:rPr>
          <w:rStyle w:val="FootnoteReference"/>
        </w:rPr>
        <w:footnoteReference w:id="12"/>
      </w:r>
      <w:r w:rsidRPr="00D9402D">
        <w:t>, te da iskoriste sva sredstva i instrumente koji su im na raspolaganju kako bi se suzbilo širenje govora mržnje na internetu;</w:t>
      </w:r>
    </w:p>
    <w:p w:rsidR="00BC0861" w:rsidRPr="00D9402D" w:rsidRDefault="00BC0861" w:rsidP="00BC0861">
      <w:pPr>
        <w:pStyle w:val="NormalHanging12a"/>
        <w:rPr>
          <w:szCs w:val="24"/>
        </w:rPr>
      </w:pPr>
      <w:r w:rsidRPr="00D9402D">
        <w:t>13.</w:t>
      </w:r>
      <w:r w:rsidRPr="00D9402D">
        <w:tab/>
        <w:t>podsjeća na odgovornost javnih tijela u pogledu sprečavanja, istraživanja, kaznenog progona i prijavljivanja govora mržnje i zločina iz mržnje te da pri tome moraju uzimati u obzir činjenice koje upućuju na mržnju; napominje da bi se budućim zakonodavstvom EU-a trebala podupirati i promicati snažna suradnja s civilnim društvom, tijelima za ravnopravnost i nacionalnim institucijama za ljudska prava;</w:t>
      </w:r>
    </w:p>
    <w:p w:rsidR="00BC0861" w:rsidRPr="00D9402D" w:rsidRDefault="00BC0861" w:rsidP="00BC0861">
      <w:pPr>
        <w:pStyle w:val="NormalHanging12a"/>
      </w:pPr>
      <w:r w:rsidRPr="00D9402D">
        <w:t>14.</w:t>
      </w:r>
      <w:r w:rsidRPr="00D9402D">
        <w:tab/>
        <w:t>poziva Komisiju i države članice da posebnu pozornost posvete maloljetnicima, uključujući one koji pripadaju ranjivim skupinama, kako bi im se pružila posebna zaštita od govora mržnje i zločina iz mržnje, kako bi se spriječili takvi incidenti, uključujući zlostavljanje u školama i na internetu, i smanjio njihov utjecaj na razvoj i mentalno zdravlje maloljetnika;</w:t>
      </w:r>
    </w:p>
    <w:p w:rsidR="00BC0861" w:rsidRPr="00D9402D" w:rsidRDefault="00BC0861" w:rsidP="00BC0861">
      <w:pPr>
        <w:pStyle w:val="NormalHanging12a"/>
        <w:rPr>
          <w:szCs w:val="24"/>
        </w:rPr>
      </w:pPr>
      <w:r w:rsidRPr="00D9402D">
        <w:t>15.</w:t>
      </w:r>
      <w:r w:rsidRPr="00D9402D">
        <w:tab/>
        <w:t xml:space="preserve">poziva Komisiju da osigura uspostavu čvrstog okvira EU-a za pravnu zaštitu kako bi se žrtve učinkovito zaštitile, posebno one koje pripadaju svim ranjivim skupinama diljem EU-a; naglašava potrebu za primjenom </w:t>
      </w:r>
      <w:proofErr w:type="spellStart"/>
      <w:r w:rsidRPr="00D9402D">
        <w:t>intersekcijskog</w:t>
      </w:r>
      <w:proofErr w:type="spellEnd"/>
      <w:r w:rsidRPr="00D9402D">
        <w:t xml:space="preserve"> pristupa i važnost donošenja sveobuhvatnih mjera, uključujući osposobljavanje stručnjaka za koje je vjerojatno da će doći u kontakt sa žrtvama, kao i mjera za osiguravanje zaštite, sigurnog pristupa neovisnom pravosuđu, specijaliziranih službi za potporu i odštete za žrtve; naglašava da bi žrtve trebale moći prijaviti svoja iskustva nadležnim tijelima i dobiti zaštitu; podsjeća na to da bi se jamčenjem pravne zaštite žrtvama stvorilo sigurno okruženje koje bi doprinijelo većoj stopi prijavljivanja, koja je nužna za dokumentiranje govora mržnje i zločina iz mržnje;</w:t>
      </w:r>
    </w:p>
    <w:p w:rsidR="00BC0861" w:rsidRPr="00D9402D" w:rsidRDefault="00BC0861" w:rsidP="00BC0861">
      <w:pPr>
        <w:pStyle w:val="NormalHanging12a"/>
      </w:pPr>
      <w:r w:rsidRPr="00D9402D">
        <w:t>16.</w:t>
      </w:r>
      <w:r w:rsidRPr="00D9402D">
        <w:tab/>
        <w:t>poziva Komisiju i države članice da, u suradnji s relevantnim tijelima i agencijama Unije, uspostave odgovarajuće sustave prikupljanja podataka za dobivanje pouzdanih, homogenih i anonimnih podataka o incidentima motiviranima mržnjom, uključujući zločine iz mržnje, u skladu s relevantnim nacionalnim pravnim okvirima i zakonodavstvom EU-a o zaštiti podataka, kao i odgovarajuće mehanizme praćenja kako bi se poboljšala uobičajena dostupnost, usporedivost i kvaliteta prikupljenih podataka i procijenio učinak politika i propisa na borbu protiv govora mržnje i zločina iz mržnje;</w:t>
      </w:r>
    </w:p>
    <w:p w:rsidR="00BC0861" w:rsidRPr="00D9402D" w:rsidRDefault="00BC0861" w:rsidP="00BC0861">
      <w:pPr>
        <w:pStyle w:val="NormalHanging12a"/>
      </w:pPr>
      <w:r w:rsidRPr="00D9402D">
        <w:t>17.</w:t>
      </w:r>
      <w:r w:rsidRPr="00D9402D">
        <w:tab/>
        <w:t>nalaže svojoj predsjednici da ovu Rezoluciju proslijedi Vijeću i Komisiji.</w:t>
      </w:r>
    </w:p>
    <w:sectPr w:rsidR="00BC0861" w:rsidRPr="00D9402D" w:rsidSect="009E58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D6C" w:rsidRPr="009E582A" w:rsidRDefault="00B56D6C">
      <w:r w:rsidRPr="009E582A">
        <w:separator/>
      </w:r>
    </w:p>
  </w:endnote>
  <w:endnote w:type="continuationSeparator" w:id="0">
    <w:p w:rsidR="00B56D6C" w:rsidRPr="009E582A" w:rsidRDefault="00B56D6C">
      <w:r w:rsidRPr="009E58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8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8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8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D6C" w:rsidRPr="009E582A" w:rsidRDefault="00B56D6C">
      <w:r w:rsidRPr="009E582A">
        <w:separator/>
      </w:r>
    </w:p>
  </w:footnote>
  <w:footnote w:type="continuationSeparator" w:id="0">
    <w:p w:rsidR="00B56D6C" w:rsidRPr="009E582A" w:rsidRDefault="00B56D6C">
      <w:r w:rsidRPr="009E582A">
        <w:continuationSeparator/>
      </w:r>
    </w:p>
  </w:footnote>
  <w:footnote w:id="1">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SL L 328, 6.12.2008., str. 55.</w:t>
      </w:r>
    </w:p>
  </w:footnote>
  <w:footnote w:id="2">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SL C 425, 20.10.2021., str. 28.</w:t>
      </w:r>
    </w:p>
  </w:footnote>
  <w:footnote w:id="3">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SL C 117, 11.3.2022., str. 88.</w:t>
      </w:r>
    </w:p>
  </w:footnote>
  <w:footnote w:id="4">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SL C 363, 28.10.2020., str. 13.</w:t>
      </w:r>
    </w:p>
  </w:footnote>
  <w:footnote w:id="5">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 xml:space="preserve">Presuda Suda od 30. travnja 1996., </w:t>
      </w:r>
      <w:r w:rsidRPr="009E582A">
        <w:rPr>
          <w:i/>
          <w:sz w:val="24"/>
          <w:lang w:val="hr-HR"/>
        </w:rPr>
        <w:t xml:space="preserve">P protiv S i </w:t>
      </w:r>
      <w:proofErr w:type="spellStart"/>
      <w:r w:rsidRPr="009E582A">
        <w:rPr>
          <w:i/>
          <w:sz w:val="24"/>
          <w:lang w:val="hr-HR"/>
        </w:rPr>
        <w:t>Cornwall</w:t>
      </w:r>
      <w:proofErr w:type="spellEnd"/>
      <w:r w:rsidRPr="009E582A">
        <w:rPr>
          <w:i/>
          <w:sz w:val="24"/>
          <w:lang w:val="hr-HR"/>
        </w:rPr>
        <w:t xml:space="preserve"> </w:t>
      </w:r>
      <w:proofErr w:type="spellStart"/>
      <w:r w:rsidRPr="009E582A">
        <w:rPr>
          <w:i/>
          <w:sz w:val="24"/>
          <w:lang w:val="hr-HR"/>
        </w:rPr>
        <w:t>County</w:t>
      </w:r>
      <w:proofErr w:type="spellEnd"/>
      <w:r w:rsidRPr="009E582A">
        <w:rPr>
          <w:i/>
          <w:sz w:val="24"/>
          <w:lang w:val="hr-HR"/>
        </w:rPr>
        <w:t xml:space="preserve"> </w:t>
      </w:r>
      <w:proofErr w:type="spellStart"/>
      <w:r w:rsidRPr="009E582A">
        <w:rPr>
          <w:i/>
          <w:sz w:val="24"/>
          <w:lang w:val="hr-HR"/>
        </w:rPr>
        <w:t>Council</w:t>
      </w:r>
      <w:proofErr w:type="spellEnd"/>
      <w:r w:rsidRPr="009E582A">
        <w:rPr>
          <w:sz w:val="24"/>
          <w:lang w:val="hr-HR"/>
        </w:rPr>
        <w:t xml:space="preserve">, C-13/94, ECLI:EU:C:1996:170; Presuda Suda od 7. siječnja 2004., </w:t>
      </w:r>
      <w:r w:rsidRPr="009E582A">
        <w:rPr>
          <w:i/>
          <w:sz w:val="24"/>
          <w:lang w:val="hr-HR"/>
        </w:rPr>
        <w:t xml:space="preserve">K. B. protiv National Health Service </w:t>
      </w:r>
      <w:proofErr w:type="spellStart"/>
      <w:r w:rsidRPr="009E582A">
        <w:rPr>
          <w:i/>
          <w:sz w:val="24"/>
          <w:lang w:val="hr-HR"/>
        </w:rPr>
        <w:t>Pensions</w:t>
      </w:r>
      <w:proofErr w:type="spellEnd"/>
      <w:r w:rsidRPr="009E582A">
        <w:rPr>
          <w:i/>
          <w:sz w:val="24"/>
          <w:lang w:val="hr-HR"/>
        </w:rPr>
        <w:t xml:space="preserve"> </w:t>
      </w:r>
      <w:proofErr w:type="spellStart"/>
      <w:r w:rsidRPr="009E582A">
        <w:rPr>
          <w:i/>
          <w:sz w:val="24"/>
          <w:lang w:val="hr-HR"/>
        </w:rPr>
        <w:t>Agency</w:t>
      </w:r>
      <w:proofErr w:type="spellEnd"/>
      <w:r w:rsidRPr="009E582A">
        <w:rPr>
          <w:i/>
          <w:sz w:val="24"/>
          <w:lang w:val="hr-HR"/>
        </w:rPr>
        <w:t xml:space="preserve"> i </w:t>
      </w:r>
      <w:proofErr w:type="spellStart"/>
      <w:r w:rsidRPr="009E582A">
        <w:rPr>
          <w:i/>
          <w:sz w:val="24"/>
          <w:lang w:val="hr-HR"/>
        </w:rPr>
        <w:t>Secretary</w:t>
      </w:r>
      <w:proofErr w:type="spellEnd"/>
      <w:r w:rsidRPr="009E582A">
        <w:rPr>
          <w:i/>
          <w:sz w:val="24"/>
          <w:lang w:val="hr-HR"/>
        </w:rPr>
        <w:t xml:space="preserve"> </w:t>
      </w:r>
      <w:proofErr w:type="spellStart"/>
      <w:r w:rsidRPr="009E582A">
        <w:rPr>
          <w:i/>
          <w:sz w:val="24"/>
          <w:lang w:val="hr-HR"/>
        </w:rPr>
        <w:t>of</w:t>
      </w:r>
      <w:proofErr w:type="spellEnd"/>
      <w:r w:rsidRPr="009E582A">
        <w:rPr>
          <w:i/>
          <w:sz w:val="24"/>
          <w:lang w:val="hr-HR"/>
        </w:rPr>
        <w:t xml:space="preserve"> State for Health</w:t>
      </w:r>
      <w:r w:rsidRPr="009E582A">
        <w:rPr>
          <w:sz w:val="24"/>
          <w:lang w:val="hr-HR"/>
        </w:rPr>
        <w:t xml:space="preserve">, C-117/01, ECLI:EU:C:2004:7; presuda Suda od 27. travnja 2006., </w:t>
      </w:r>
      <w:proofErr w:type="spellStart"/>
      <w:r w:rsidRPr="009E582A">
        <w:rPr>
          <w:i/>
          <w:sz w:val="24"/>
          <w:lang w:val="hr-HR"/>
        </w:rPr>
        <w:t>Sarah</w:t>
      </w:r>
      <w:proofErr w:type="spellEnd"/>
      <w:r w:rsidRPr="009E582A">
        <w:rPr>
          <w:i/>
          <w:sz w:val="24"/>
          <w:lang w:val="hr-HR"/>
        </w:rPr>
        <w:t xml:space="preserve"> </w:t>
      </w:r>
      <w:proofErr w:type="spellStart"/>
      <w:r w:rsidRPr="009E582A">
        <w:rPr>
          <w:i/>
          <w:sz w:val="24"/>
          <w:lang w:val="hr-HR"/>
        </w:rPr>
        <w:t>Margaret</w:t>
      </w:r>
      <w:proofErr w:type="spellEnd"/>
      <w:r w:rsidRPr="009E582A">
        <w:rPr>
          <w:i/>
          <w:sz w:val="24"/>
          <w:lang w:val="hr-HR"/>
        </w:rPr>
        <w:t xml:space="preserve"> </w:t>
      </w:r>
      <w:proofErr w:type="spellStart"/>
      <w:r w:rsidRPr="009E582A">
        <w:rPr>
          <w:i/>
          <w:sz w:val="24"/>
          <w:lang w:val="hr-HR"/>
        </w:rPr>
        <w:t>Richards</w:t>
      </w:r>
      <w:proofErr w:type="spellEnd"/>
      <w:r w:rsidRPr="009E582A">
        <w:rPr>
          <w:i/>
          <w:sz w:val="24"/>
          <w:lang w:val="hr-HR"/>
        </w:rPr>
        <w:t xml:space="preserve"> protiv </w:t>
      </w:r>
      <w:proofErr w:type="spellStart"/>
      <w:r w:rsidRPr="009E582A">
        <w:rPr>
          <w:i/>
          <w:sz w:val="24"/>
          <w:lang w:val="hr-HR"/>
        </w:rPr>
        <w:t>Secretary</w:t>
      </w:r>
      <w:proofErr w:type="spellEnd"/>
      <w:r w:rsidRPr="009E582A">
        <w:rPr>
          <w:i/>
          <w:sz w:val="24"/>
          <w:lang w:val="hr-HR"/>
        </w:rPr>
        <w:t xml:space="preserve"> </w:t>
      </w:r>
      <w:proofErr w:type="spellStart"/>
      <w:r w:rsidRPr="009E582A">
        <w:rPr>
          <w:i/>
          <w:sz w:val="24"/>
          <w:lang w:val="hr-HR"/>
        </w:rPr>
        <w:t>of</w:t>
      </w:r>
      <w:proofErr w:type="spellEnd"/>
      <w:r w:rsidRPr="009E582A">
        <w:rPr>
          <w:i/>
          <w:sz w:val="24"/>
          <w:lang w:val="hr-HR"/>
        </w:rPr>
        <w:t xml:space="preserve"> State for </w:t>
      </w:r>
      <w:proofErr w:type="spellStart"/>
      <w:r w:rsidRPr="009E582A">
        <w:rPr>
          <w:i/>
          <w:sz w:val="24"/>
          <w:lang w:val="hr-HR"/>
        </w:rPr>
        <w:t>Work</w:t>
      </w:r>
      <w:proofErr w:type="spellEnd"/>
      <w:r w:rsidRPr="009E582A">
        <w:rPr>
          <w:i/>
          <w:sz w:val="24"/>
          <w:lang w:val="hr-HR"/>
        </w:rPr>
        <w:t xml:space="preserve"> </w:t>
      </w:r>
      <w:proofErr w:type="spellStart"/>
      <w:r w:rsidRPr="009E582A">
        <w:rPr>
          <w:i/>
          <w:sz w:val="24"/>
          <w:lang w:val="hr-HR"/>
        </w:rPr>
        <w:t>and</w:t>
      </w:r>
      <w:proofErr w:type="spellEnd"/>
      <w:r w:rsidRPr="009E582A">
        <w:rPr>
          <w:i/>
          <w:sz w:val="24"/>
          <w:lang w:val="hr-HR"/>
        </w:rPr>
        <w:t xml:space="preserve"> </w:t>
      </w:r>
      <w:proofErr w:type="spellStart"/>
      <w:r w:rsidRPr="009E582A">
        <w:rPr>
          <w:i/>
          <w:sz w:val="24"/>
          <w:lang w:val="hr-HR"/>
        </w:rPr>
        <w:t>Pensions</w:t>
      </w:r>
      <w:proofErr w:type="spellEnd"/>
      <w:r w:rsidRPr="009E582A">
        <w:rPr>
          <w:sz w:val="24"/>
          <w:lang w:val="hr-HR"/>
        </w:rPr>
        <w:t xml:space="preserve">, C-423/04, ECLI:EU:C:2006:256; i presuda Suda od 26. lipnja 2018., </w:t>
      </w:r>
      <w:r w:rsidRPr="009E582A">
        <w:rPr>
          <w:i/>
          <w:sz w:val="24"/>
          <w:lang w:val="hr-HR"/>
        </w:rPr>
        <w:t xml:space="preserve">M.B. protiv </w:t>
      </w:r>
      <w:proofErr w:type="spellStart"/>
      <w:r w:rsidRPr="009E582A">
        <w:rPr>
          <w:i/>
          <w:sz w:val="24"/>
          <w:lang w:val="hr-HR"/>
        </w:rPr>
        <w:t>Secretary</w:t>
      </w:r>
      <w:proofErr w:type="spellEnd"/>
      <w:r w:rsidRPr="009E582A">
        <w:rPr>
          <w:i/>
          <w:sz w:val="24"/>
          <w:lang w:val="hr-HR"/>
        </w:rPr>
        <w:t xml:space="preserve"> </w:t>
      </w:r>
      <w:proofErr w:type="spellStart"/>
      <w:r w:rsidRPr="009E582A">
        <w:rPr>
          <w:i/>
          <w:sz w:val="24"/>
          <w:lang w:val="hr-HR"/>
        </w:rPr>
        <w:t>of</w:t>
      </w:r>
      <w:proofErr w:type="spellEnd"/>
      <w:r w:rsidRPr="009E582A">
        <w:rPr>
          <w:i/>
          <w:sz w:val="24"/>
          <w:lang w:val="hr-HR"/>
        </w:rPr>
        <w:t xml:space="preserve"> State for </w:t>
      </w:r>
      <w:proofErr w:type="spellStart"/>
      <w:r w:rsidRPr="009E582A">
        <w:rPr>
          <w:i/>
          <w:sz w:val="24"/>
          <w:lang w:val="hr-HR"/>
        </w:rPr>
        <w:t>Work</w:t>
      </w:r>
      <w:proofErr w:type="spellEnd"/>
      <w:r w:rsidRPr="009E582A">
        <w:rPr>
          <w:i/>
          <w:sz w:val="24"/>
          <w:lang w:val="hr-HR"/>
        </w:rPr>
        <w:t xml:space="preserve"> </w:t>
      </w:r>
      <w:proofErr w:type="spellStart"/>
      <w:r w:rsidRPr="009E582A">
        <w:rPr>
          <w:i/>
          <w:sz w:val="24"/>
          <w:lang w:val="hr-HR"/>
        </w:rPr>
        <w:t>and</w:t>
      </w:r>
      <w:proofErr w:type="spellEnd"/>
      <w:r w:rsidRPr="009E582A">
        <w:rPr>
          <w:i/>
          <w:sz w:val="24"/>
          <w:lang w:val="hr-HR"/>
        </w:rPr>
        <w:t xml:space="preserve"> </w:t>
      </w:r>
      <w:proofErr w:type="spellStart"/>
      <w:r w:rsidRPr="009E582A">
        <w:rPr>
          <w:i/>
          <w:sz w:val="24"/>
          <w:lang w:val="hr-HR"/>
        </w:rPr>
        <w:t>Pensions</w:t>
      </w:r>
      <w:proofErr w:type="spellEnd"/>
      <w:r w:rsidRPr="009E582A">
        <w:rPr>
          <w:sz w:val="24"/>
          <w:lang w:val="hr-HR"/>
        </w:rPr>
        <w:t>, C-451/16, ECLI:EU:C:2018:492.</w:t>
      </w:r>
    </w:p>
  </w:footnote>
  <w:footnote w:id="6">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Godišnji podaci Ureda OESS-a za demokratske institucije i ljudska prava o zločinima iz mržnje.</w:t>
      </w:r>
    </w:p>
  </w:footnote>
  <w:footnote w:id="7">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Vidjeti, primjerice, godišnje izvješće o aktivnostima Europske komisije protiv rasizma i netolerancije za razdoblje od 1. siječnja do 31. prosinca 2019. i godišnje izvješće o aktivnostima Europske komisije protiv rasizma i netolerancije za razdoblje od 1. siječnja do 31. prosinca 2020. te studiju koju je naručio Resorni odjel Europskog parlamenta za prava građana i ustavna pitanja naslovljenu „</w:t>
      </w:r>
      <w:proofErr w:type="spellStart"/>
      <w:r w:rsidRPr="009E582A">
        <w:rPr>
          <w:sz w:val="24"/>
          <w:lang w:val="hr-HR"/>
        </w:rPr>
        <w:t>Hate</w:t>
      </w:r>
      <w:proofErr w:type="spellEnd"/>
      <w:r w:rsidRPr="009E582A">
        <w:rPr>
          <w:sz w:val="24"/>
          <w:lang w:val="hr-HR"/>
        </w:rPr>
        <w:t xml:space="preserve"> </w:t>
      </w:r>
      <w:proofErr w:type="spellStart"/>
      <w:r w:rsidRPr="009E582A">
        <w:rPr>
          <w:sz w:val="24"/>
          <w:lang w:val="hr-HR"/>
        </w:rPr>
        <w:t>speech</w:t>
      </w:r>
      <w:proofErr w:type="spellEnd"/>
      <w:r w:rsidRPr="009E582A">
        <w:rPr>
          <w:sz w:val="24"/>
          <w:lang w:val="hr-HR"/>
        </w:rPr>
        <w:t xml:space="preserve"> </w:t>
      </w:r>
      <w:proofErr w:type="spellStart"/>
      <w:r w:rsidRPr="009E582A">
        <w:rPr>
          <w:sz w:val="24"/>
          <w:lang w:val="hr-HR"/>
        </w:rPr>
        <w:t>and</w:t>
      </w:r>
      <w:proofErr w:type="spellEnd"/>
      <w:r w:rsidRPr="009E582A">
        <w:rPr>
          <w:sz w:val="24"/>
          <w:lang w:val="hr-HR"/>
        </w:rPr>
        <w:t xml:space="preserve"> </w:t>
      </w:r>
      <w:proofErr w:type="spellStart"/>
      <w:r w:rsidRPr="009E582A">
        <w:rPr>
          <w:sz w:val="24"/>
          <w:lang w:val="hr-HR"/>
        </w:rPr>
        <w:t>hate</w:t>
      </w:r>
      <w:proofErr w:type="spellEnd"/>
      <w:r w:rsidRPr="009E582A">
        <w:rPr>
          <w:sz w:val="24"/>
          <w:lang w:val="hr-HR"/>
        </w:rPr>
        <w:t xml:space="preserve"> </w:t>
      </w:r>
      <w:proofErr w:type="spellStart"/>
      <w:r w:rsidRPr="009E582A">
        <w:rPr>
          <w:sz w:val="24"/>
          <w:lang w:val="hr-HR"/>
        </w:rPr>
        <w:t>crime</w:t>
      </w:r>
      <w:proofErr w:type="spellEnd"/>
      <w:r w:rsidRPr="009E582A">
        <w:rPr>
          <w:sz w:val="24"/>
          <w:lang w:val="hr-HR"/>
        </w:rPr>
        <w:t xml:space="preserve"> </w:t>
      </w:r>
      <w:proofErr w:type="spellStart"/>
      <w:r w:rsidRPr="009E582A">
        <w:rPr>
          <w:sz w:val="24"/>
          <w:lang w:val="hr-HR"/>
        </w:rPr>
        <w:t>in</w:t>
      </w:r>
      <w:proofErr w:type="spellEnd"/>
      <w:r w:rsidRPr="009E582A">
        <w:rPr>
          <w:sz w:val="24"/>
          <w:lang w:val="hr-HR"/>
        </w:rPr>
        <w:t xml:space="preserve"> </w:t>
      </w:r>
      <w:proofErr w:type="spellStart"/>
      <w:r w:rsidRPr="009E582A">
        <w:rPr>
          <w:sz w:val="24"/>
          <w:lang w:val="hr-HR"/>
        </w:rPr>
        <w:t>the</w:t>
      </w:r>
      <w:proofErr w:type="spellEnd"/>
      <w:r w:rsidRPr="009E582A">
        <w:rPr>
          <w:sz w:val="24"/>
          <w:lang w:val="hr-HR"/>
        </w:rPr>
        <w:t xml:space="preserve"> EU </w:t>
      </w:r>
      <w:proofErr w:type="spellStart"/>
      <w:r w:rsidRPr="009E582A">
        <w:rPr>
          <w:sz w:val="24"/>
          <w:lang w:val="hr-HR"/>
        </w:rPr>
        <w:t>and</w:t>
      </w:r>
      <w:proofErr w:type="spellEnd"/>
      <w:r w:rsidRPr="009E582A">
        <w:rPr>
          <w:sz w:val="24"/>
          <w:lang w:val="hr-HR"/>
        </w:rPr>
        <w:t xml:space="preserve"> </w:t>
      </w:r>
      <w:proofErr w:type="spellStart"/>
      <w:r w:rsidRPr="009E582A">
        <w:rPr>
          <w:sz w:val="24"/>
          <w:lang w:val="hr-HR"/>
        </w:rPr>
        <w:t>the</w:t>
      </w:r>
      <w:proofErr w:type="spellEnd"/>
      <w:r w:rsidRPr="009E582A">
        <w:rPr>
          <w:sz w:val="24"/>
          <w:lang w:val="hr-HR"/>
        </w:rPr>
        <w:t xml:space="preserve"> </w:t>
      </w:r>
      <w:proofErr w:type="spellStart"/>
      <w:r w:rsidRPr="009E582A">
        <w:rPr>
          <w:sz w:val="24"/>
          <w:lang w:val="hr-HR"/>
        </w:rPr>
        <w:t>evaluation</w:t>
      </w:r>
      <w:proofErr w:type="spellEnd"/>
      <w:r w:rsidRPr="009E582A">
        <w:rPr>
          <w:sz w:val="24"/>
          <w:lang w:val="hr-HR"/>
        </w:rPr>
        <w:t xml:space="preserve"> </w:t>
      </w:r>
      <w:proofErr w:type="spellStart"/>
      <w:r w:rsidRPr="009E582A">
        <w:rPr>
          <w:sz w:val="24"/>
          <w:lang w:val="hr-HR"/>
        </w:rPr>
        <w:t>of</w:t>
      </w:r>
      <w:proofErr w:type="spellEnd"/>
      <w:r w:rsidRPr="009E582A">
        <w:rPr>
          <w:sz w:val="24"/>
          <w:lang w:val="hr-HR"/>
        </w:rPr>
        <w:t xml:space="preserve"> online </w:t>
      </w:r>
      <w:proofErr w:type="spellStart"/>
      <w:r w:rsidRPr="009E582A">
        <w:rPr>
          <w:sz w:val="24"/>
          <w:lang w:val="hr-HR"/>
        </w:rPr>
        <w:t>content</w:t>
      </w:r>
      <w:proofErr w:type="spellEnd"/>
      <w:r w:rsidRPr="009E582A">
        <w:rPr>
          <w:sz w:val="24"/>
          <w:lang w:val="hr-HR"/>
        </w:rPr>
        <w:t xml:space="preserve"> </w:t>
      </w:r>
      <w:proofErr w:type="spellStart"/>
      <w:r w:rsidRPr="009E582A">
        <w:rPr>
          <w:sz w:val="24"/>
          <w:lang w:val="hr-HR"/>
        </w:rPr>
        <w:t>regulation</w:t>
      </w:r>
      <w:proofErr w:type="spellEnd"/>
      <w:r w:rsidRPr="009E582A">
        <w:rPr>
          <w:sz w:val="24"/>
          <w:lang w:val="hr-HR"/>
        </w:rPr>
        <w:t xml:space="preserve"> </w:t>
      </w:r>
      <w:proofErr w:type="spellStart"/>
      <w:r w:rsidRPr="009E582A">
        <w:rPr>
          <w:sz w:val="24"/>
          <w:lang w:val="hr-HR"/>
        </w:rPr>
        <w:t>approaches</w:t>
      </w:r>
      <w:proofErr w:type="spellEnd"/>
      <w:r w:rsidRPr="009E582A">
        <w:rPr>
          <w:sz w:val="24"/>
          <w:lang w:val="hr-HR"/>
        </w:rPr>
        <w:t>” (Govor mržnje i zločini iz mržnje u EU-u i evaluacija pristupa regulaciji internetskog sadržaja), koja je objavljena u srpnju 2020.</w:t>
      </w:r>
    </w:p>
  </w:footnote>
  <w:footnote w:id="8">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proofErr w:type="spellStart"/>
      <w:r w:rsidRPr="009E582A">
        <w:rPr>
          <w:sz w:val="24"/>
          <w:lang w:val="hr-HR"/>
        </w:rPr>
        <w:t>Lingaas</w:t>
      </w:r>
      <w:proofErr w:type="spellEnd"/>
      <w:r w:rsidRPr="009E582A">
        <w:rPr>
          <w:sz w:val="24"/>
          <w:lang w:val="hr-HR"/>
        </w:rPr>
        <w:t>, C., „</w:t>
      </w:r>
      <w:proofErr w:type="spellStart"/>
      <w:r w:rsidRPr="009E582A">
        <w:fldChar w:fldCharType="begin"/>
      </w:r>
      <w:r w:rsidRPr="009E582A">
        <w:rPr>
          <w:sz w:val="24"/>
          <w:lang w:val="hr-HR"/>
        </w:rPr>
        <w:instrText xml:space="preserve"> HYPERLINK "https://www.idunn.no/doi/10.18261/issn.2387-3299-2021-02-02" </w:instrText>
      </w:r>
      <w:r w:rsidRPr="009E582A">
        <w:fldChar w:fldCharType="separate"/>
      </w:r>
      <w:r w:rsidRPr="009E582A">
        <w:rPr>
          <w:rStyle w:val="Hyperlink"/>
          <w:sz w:val="24"/>
          <w:lang w:val="hr-HR"/>
        </w:rPr>
        <w:t>Hate</w:t>
      </w:r>
      <w:proofErr w:type="spellEnd"/>
      <w:r w:rsidRPr="009E582A">
        <w:rPr>
          <w:rStyle w:val="Hyperlink"/>
          <w:sz w:val="24"/>
          <w:lang w:val="hr-HR"/>
        </w:rPr>
        <w:t xml:space="preserve"> </w:t>
      </w:r>
      <w:proofErr w:type="spellStart"/>
      <w:r w:rsidRPr="009E582A">
        <w:rPr>
          <w:rStyle w:val="Hyperlink"/>
          <w:sz w:val="24"/>
          <w:lang w:val="hr-HR"/>
        </w:rPr>
        <w:t>Speech</w:t>
      </w:r>
      <w:proofErr w:type="spellEnd"/>
      <w:r w:rsidRPr="009E582A">
        <w:rPr>
          <w:rStyle w:val="Hyperlink"/>
          <w:sz w:val="24"/>
          <w:lang w:val="hr-HR"/>
        </w:rPr>
        <w:t xml:space="preserve"> </w:t>
      </w:r>
      <w:proofErr w:type="spellStart"/>
      <w:r w:rsidRPr="009E582A">
        <w:rPr>
          <w:rStyle w:val="Hyperlink"/>
          <w:sz w:val="24"/>
          <w:lang w:val="hr-HR"/>
        </w:rPr>
        <w:t>and</w:t>
      </w:r>
      <w:proofErr w:type="spellEnd"/>
      <w:r w:rsidRPr="009E582A">
        <w:rPr>
          <w:rStyle w:val="Hyperlink"/>
          <w:sz w:val="24"/>
          <w:lang w:val="hr-HR"/>
        </w:rPr>
        <w:t xml:space="preserve"> </w:t>
      </w:r>
      <w:proofErr w:type="spellStart"/>
      <w:r w:rsidRPr="009E582A">
        <w:rPr>
          <w:rStyle w:val="Hyperlink"/>
          <w:sz w:val="24"/>
          <w:lang w:val="hr-HR"/>
        </w:rPr>
        <w:t>Racialised</w:t>
      </w:r>
      <w:proofErr w:type="spellEnd"/>
      <w:r w:rsidRPr="009E582A">
        <w:rPr>
          <w:rStyle w:val="Hyperlink"/>
          <w:sz w:val="24"/>
          <w:lang w:val="hr-HR"/>
        </w:rPr>
        <w:t xml:space="preserve"> </w:t>
      </w:r>
      <w:proofErr w:type="spellStart"/>
      <w:r w:rsidRPr="009E582A">
        <w:rPr>
          <w:rStyle w:val="Hyperlink"/>
          <w:sz w:val="24"/>
          <w:lang w:val="hr-HR"/>
        </w:rPr>
        <w:t>Discrimination</w:t>
      </w:r>
      <w:proofErr w:type="spellEnd"/>
      <w:r w:rsidRPr="009E582A">
        <w:rPr>
          <w:rStyle w:val="Hyperlink"/>
          <w:sz w:val="24"/>
          <w:lang w:val="hr-HR"/>
        </w:rPr>
        <w:t xml:space="preserve"> </w:t>
      </w:r>
      <w:proofErr w:type="spellStart"/>
      <w:r w:rsidRPr="009E582A">
        <w:rPr>
          <w:rStyle w:val="Hyperlink"/>
          <w:sz w:val="24"/>
          <w:lang w:val="hr-HR"/>
        </w:rPr>
        <w:t>of</w:t>
      </w:r>
      <w:proofErr w:type="spellEnd"/>
      <w:r w:rsidRPr="009E582A">
        <w:rPr>
          <w:rStyle w:val="Hyperlink"/>
          <w:sz w:val="24"/>
          <w:lang w:val="hr-HR"/>
        </w:rPr>
        <w:t xml:space="preserve"> </w:t>
      </w:r>
      <w:proofErr w:type="spellStart"/>
      <w:r w:rsidRPr="009E582A">
        <w:rPr>
          <w:rStyle w:val="Hyperlink"/>
          <w:sz w:val="24"/>
          <w:lang w:val="hr-HR"/>
        </w:rPr>
        <w:t>the</w:t>
      </w:r>
      <w:proofErr w:type="spellEnd"/>
      <w:r w:rsidRPr="009E582A">
        <w:rPr>
          <w:rStyle w:val="Hyperlink"/>
          <w:sz w:val="24"/>
          <w:lang w:val="hr-HR"/>
        </w:rPr>
        <w:t xml:space="preserve"> </w:t>
      </w:r>
      <w:proofErr w:type="spellStart"/>
      <w:r w:rsidRPr="009E582A">
        <w:rPr>
          <w:rStyle w:val="Hyperlink"/>
          <w:sz w:val="24"/>
          <w:lang w:val="hr-HR"/>
        </w:rPr>
        <w:t>Norwegian</w:t>
      </w:r>
      <w:proofErr w:type="spellEnd"/>
      <w:r w:rsidRPr="009E582A">
        <w:rPr>
          <w:rStyle w:val="Hyperlink"/>
          <w:sz w:val="24"/>
          <w:lang w:val="hr-HR"/>
        </w:rPr>
        <w:t xml:space="preserve"> Sámi:</w:t>
      </w:r>
      <w:r w:rsidRPr="009E582A">
        <w:rPr>
          <w:rStyle w:val="Hyperlink"/>
          <w:sz w:val="24"/>
          <w:lang w:val="hr-HR"/>
        </w:rPr>
        <w:fldChar w:fldCharType="end"/>
      </w:r>
      <w:hyperlink r:id="rId1" w:history="1">
        <w:r w:rsidRPr="009E582A">
          <w:rPr>
            <w:rStyle w:val="Hyperlink"/>
            <w:sz w:val="24"/>
            <w:lang w:val="hr-HR"/>
          </w:rPr>
          <w:t xml:space="preserve"> Legal </w:t>
        </w:r>
        <w:proofErr w:type="spellStart"/>
        <w:r w:rsidRPr="009E582A">
          <w:rPr>
            <w:rStyle w:val="Hyperlink"/>
            <w:sz w:val="24"/>
            <w:lang w:val="hr-HR"/>
          </w:rPr>
          <w:t>Responses</w:t>
        </w:r>
        <w:proofErr w:type="spellEnd"/>
        <w:r w:rsidRPr="009E582A">
          <w:rPr>
            <w:rStyle w:val="Hyperlink"/>
            <w:sz w:val="24"/>
            <w:lang w:val="hr-HR"/>
          </w:rPr>
          <w:t xml:space="preserve"> </w:t>
        </w:r>
        <w:proofErr w:type="spellStart"/>
        <w:r w:rsidRPr="009E582A">
          <w:rPr>
            <w:rStyle w:val="Hyperlink"/>
            <w:sz w:val="24"/>
            <w:lang w:val="hr-HR"/>
          </w:rPr>
          <w:t>and</w:t>
        </w:r>
        <w:proofErr w:type="spellEnd"/>
        <w:r w:rsidRPr="009E582A">
          <w:rPr>
            <w:rStyle w:val="Hyperlink"/>
            <w:sz w:val="24"/>
            <w:lang w:val="hr-HR"/>
          </w:rPr>
          <w:t xml:space="preserve"> </w:t>
        </w:r>
        <w:proofErr w:type="spellStart"/>
        <w:r w:rsidRPr="009E582A">
          <w:rPr>
            <w:rStyle w:val="Hyperlink"/>
            <w:sz w:val="24"/>
            <w:lang w:val="hr-HR"/>
          </w:rPr>
          <w:t>Responsibility</w:t>
        </w:r>
        <w:proofErr w:type="spellEnd"/>
      </w:hyperlink>
      <w:r w:rsidRPr="009E582A">
        <w:rPr>
          <w:sz w:val="24"/>
          <w:lang w:val="hr-HR"/>
        </w:rPr>
        <w:t xml:space="preserve">” (Govor mržnje i rasna diskriminacija norveških Sama: pravni odgovori i odgovornosti), </w:t>
      </w:r>
      <w:r w:rsidRPr="009E582A">
        <w:rPr>
          <w:i/>
          <w:sz w:val="24"/>
          <w:lang w:val="hr-HR"/>
        </w:rPr>
        <w:t xml:space="preserve">Oslo </w:t>
      </w:r>
      <w:proofErr w:type="spellStart"/>
      <w:r w:rsidRPr="009E582A">
        <w:rPr>
          <w:i/>
          <w:sz w:val="24"/>
          <w:lang w:val="hr-HR"/>
        </w:rPr>
        <w:t>Law</w:t>
      </w:r>
      <w:proofErr w:type="spellEnd"/>
      <w:r w:rsidRPr="009E582A">
        <w:rPr>
          <w:i/>
          <w:sz w:val="24"/>
          <w:lang w:val="hr-HR"/>
        </w:rPr>
        <w:t xml:space="preserve"> </w:t>
      </w:r>
      <w:proofErr w:type="spellStart"/>
      <w:r w:rsidRPr="009E582A">
        <w:rPr>
          <w:i/>
          <w:sz w:val="24"/>
          <w:lang w:val="hr-HR"/>
        </w:rPr>
        <w:t>Review</w:t>
      </w:r>
      <w:proofErr w:type="spellEnd"/>
      <w:r w:rsidRPr="009E582A">
        <w:rPr>
          <w:sz w:val="24"/>
          <w:lang w:val="hr-HR"/>
        </w:rPr>
        <w:t xml:space="preserve">, svezak 8., br. 2, 2021., str. 88. – 107. </w:t>
      </w:r>
    </w:p>
  </w:footnote>
  <w:footnote w:id="9">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 xml:space="preserve">Civil Rights </w:t>
      </w:r>
      <w:proofErr w:type="spellStart"/>
      <w:r w:rsidRPr="009E582A">
        <w:rPr>
          <w:sz w:val="24"/>
          <w:lang w:val="hr-HR"/>
        </w:rPr>
        <w:t>Defenders</w:t>
      </w:r>
      <w:proofErr w:type="spellEnd"/>
      <w:r w:rsidRPr="009E582A">
        <w:rPr>
          <w:sz w:val="24"/>
          <w:lang w:val="hr-HR"/>
        </w:rPr>
        <w:t>, „</w:t>
      </w:r>
      <w:proofErr w:type="spellStart"/>
      <w:r w:rsidRPr="009E582A">
        <w:fldChar w:fldCharType="begin"/>
      </w:r>
      <w:r w:rsidRPr="009E582A">
        <w:rPr>
          <w:sz w:val="24"/>
          <w:lang w:val="hr-HR"/>
        </w:rPr>
        <w:instrText xml:space="preserve"> HYPERLINK "https://crd.org/wp-content/uploads/2019/08/Civil-Rights-Defenders-Joint-UPR-Submission-Sweden-2020.pdf" </w:instrText>
      </w:r>
      <w:r w:rsidRPr="009E582A">
        <w:fldChar w:fldCharType="separate"/>
      </w:r>
      <w:r w:rsidRPr="009E582A">
        <w:rPr>
          <w:rStyle w:val="Hyperlink"/>
          <w:sz w:val="24"/>
          <w:lang w:val="hr-HR"/>
        </w:rPr>
        <w:t>Joint</w:t>
      </w:r>
      <w:proofErr w:type="spellEnd"/>
      <w:r w:rsidRPr="009E582A">
        <w:rPr>
          <w:rStyle w:val="Hyperlink"/>
          <w:sz w:val="24"/>
          <w:lang w:val="hr-HR"/>
        </w:rPr>
        <w:t xml:space="preserve"> </w:t>
      </w:r>
      <w:proofErr w:type="spellStart"/>
      <w:r w:rsidRPr="009E582A">
        <w:rPr>
          <w:rStyle w:val="Hyperlink"/>
          <w:sz w:val="24"/>
          <w:lang w:val="hr-HR"/>
        </w:rPr>
        <w:t>submission</w:t>
      </w:r>
      <w:proofErr w:type="spellEnd"/>
      <w:r w:rsidRPr="009E582A">
        <w:rPr>
          <w:rStyle w:val="Hyperlink"/>
          <w:sz w:val="24"/>
          <w:lang w:val="hr-HR"/>
        </w:rPr>
        <w:t xml:space="preserve"> to </w:t>
      </w:r>
      <w:proofErr w:type="spellStart"/>
      <w:r w:rsidRPr="009E582A">
        <w:rPr>
          <w:rStyle w:val="Hyperlink"/>
          <w:sz w:val="24"/>
          <w:lang w:val="hr-HR"/>
        </w:rPr>
        <w:t>the</w:t>
      </w:r>
      <w:proofErr w:type="spellEnd"/>
      <w:r w:rsidRPr="009E582A">
        <w:rPr>
          <w:rStyle w:val="Hyperlink"/>
          <w:sz w:val="24"/>
          <w:lang w:val="hr-HR"/>
        </w:rPr>
        <w:t xml:space="preserve"> UN </w:t>
      </w:r>
      <w:proofErr w:type="spellStart"/>
      <w:r w:rsidRPr="009E582A">
        <w:rPr>
          <w:rStyle w:val="Hyperlink"/>
          <w:sz w:val="24"/>
          <w:lang w:val="hr-HR"/>
        </w:rPr>
        <w:t>Universal</w:t>
      </w:r>
      <w:proofErr w:type="spellEnd"/>
      <w:r w:rsidRPr="009E582A">
        <w:rPr>
          <w:rStyle w:val="Hyperlink"/>
          <w:sz w:val="24"/>
          <w:lang w:val="hr-HR"/>
        </w:rPr>
        <w:t xml:space="preserve"> </w:t>
      </w:r>
      <w:proofErr w:type="spellStart"/>
      <w:r w:rsidRPr="009E582A">
        <w:rPr>
          <w:rStyle w:val="Hyperlink"/>
          <w:sz w:val="24"/>
          <w:lang w:val="hr-HR"/>
        </w:rPr>
        <w:t>Periodic</w:t>
      </w:r>
      <w:proofErr w:type="spellEnd"/>
      <w:r w:rsidRPr="009E582A">
        <w:rPr>
          <w:rStyle w:val="Hyperlink"/>
          <w:sz w:val="24"/>
          <w:lang w:val="hr-HR"/>
        </w:rPr>
        <w:t xml:space="preserve"> </w:t>
      </w:r>
      <w:proofErr w:type="spellStart"/>
      <w:r w:rsidRPr="009E582A">
        <w:rPr>
          <w:rStyle w:val="Hyperlink"/>
          <w:sz w:val="24"/>
          <w:lang w:val="hr-HR"/>
        </w:rPr>
        <w:t>Review</w:t>
      </w:r>
      <w:proofErr w:type="spellEnd"/>
      <w:r w:rsidRPr="009E582A">
        <w:rPr>
          <w:rStyle w:val="Hyperlink"/>
          <w:sz w:val="24"/>
          <w:lang w:val="hr-HR"/>
        </w:rPr>
        <w:t xml:space="preserve"> </w:t>
      </w:r>
      <w:proofErr w:type="spellStart"/>
      <w:r w:rsidRPr="009E582A">
        <w:rPr>
          <w:rStyle w:val="Hyperlink"/>
          <w:sz w:val="24"/>
          <w:lang w:val="hr-HR"/>
        </w:rPr>
        <w:t>of</w:t>
      </w:r>
      <w:proofErr w:type="spellEnd"/>
      <w:r w:rsidRPr="009E582A">
        <w:rPr>
          <w:rStyle w:val="Hyperlink"/>
          <w:sz w:val="24"/>
          <w:lang w:val="hr-HR"/>
        </w:rPr>
        <w:t xml:space="preserve"> </w:t>
      </w:r>
      <w:proofErr w:type="spellStart"/>
      <w:r w:rsidRPr="009E582A">
        <w:rPr>
          <w:rStyle w:val="Hyperlink"/>
          <w:sz w:val="24"/>
          <w:lang w:val="hr-HR"/>
        </w:rPr>
        <w:t>Sweden</w:t>
      </w:r>
      <w:proofErr w:type="spellEnd"/>
      <w:r w:rsidRPr="009E582A">
        <w:rPr>
          <w:rStyle w:val="Hyperlink"/>
          <w:sz w:val="24"/>
          <w:lang w:val="hr-HR"/>
        </w:rPr>
        <w:t xml:space="preserve"> –35th </w:t>
      </w:r>
      <w:proofErr w:type="spellStart"/>
      <w:r w:rsidRPr="009E582A">
        <w:rPr>
          <w:rStyle w:val="Hyperlink"/>
          <w:sz w:val="24"/>
          <w:lang w:val="hr-HR"/>
        </w:rPr>
        <w:t>Session</w:t>
      </w:r>
      <w:proofErr w:type="spellEnd"/>
      <w:r w:rsidRPr="009E582A">
        <w:rPr>
          <w:rStyle w:val="Hyperlink"/>
          <w:sz w:val="24"/>
          <w:lang w:val="hr-HR"/>
        </w:rPr>
        <w:t xml:space="preserve"> </w:t>
      </w:r>
      <w:proofErr w:type="spellStart"/>
      <w:r w:rsidRPr="009E582A">
        <w:rPr>
          <w:rStyle w:val="Hyperlink"/>
          <w:sz w:val="24"/>
          <w:lang w:val="hr-HR"/>
        </w:rPr>
        <w:t>of</w:t>
      </w:r>
      <w:proofErr w:type="spellEnd"/>
      <w:r w:rsidRPr="009E582A">
        <w:rPr>
          <w:rStyle w:val="Hyperlink"/>
          <w:sz w:val="24"/>
          <w:lang w:val="hr-HR"/>
        </w:rPr>
        <w:t xml:space="preserve"> </w:t>
      </w:r>
      <w:proofErr w:type="spellStart"/>
      <w:r w:rsidRPr="009E582A">
        <w:rPr>
          <w:rStyle w:val="Hyperlink"/>
          <w:sz w:val="24"/>
          <w:lang w:val="hr-HR"/>
        </w:rPr>
        <w:t>the</w:t>
      </w:r>
      <w:proofErr w:type="spellEnd"/>
      <w:r w:rsidRPr="009E582A">
        <w:rPr>
          <w:rStyle w:val="Hyperlink"/>
          <w:sz w:val="24"/>
          <w:lang w:val="hr-HR"/>
        </w:rPr>
        <w:t xml:space="preserve"> UPR </w:t>
      </w:r>
      <w:proofErr w:type="spellStart"/>
      <w:r w:rsidRPr="009E582A">
        <w:rPr>
          <w:rStyle w:val="Hyperlink"/>
          <w:sz w:val="24"/>
          <w:lang w:val="hr-HR"/>
        </w:rPr>
        <w:t>Working</w:t>
      </w:r>
      <w:proofErr w:type="spellEnd"/>
      <w:r w:rsidRPr="009E582A">
        <w:rPr>
          <w:rStyle w:val="Hyperlink"/>
          <w:sz w:val="24"/>
          <w:lang w:val="hr-HR"/>
        </w:rPr>
        <w:t xml:space="preserve"> Group </w:t>
      </w:r>
      <w:proofErr w:type="spellStart"/>
      <w:r w:rsidRPr="009E582A">
        <w:rPr>
          <w:rStyle w:val="Hyperlink"/>
          <w:sz w:val="24"/>
          <w:lang w:val="hr-HR"/>
        </w:rPr>
        <w:t>of</w:t>
      </w:r>
      <w:proofErr w:type="spellEnd"/>
      <w:r w:rsidRPr="009E582A">
        <w:rPr>
          <w:rStyle w:val="Hyperlink"/>
          <w:sz w:val="24"/>
          <w:lang w:val="hr-HR"/>
        </w:rPr>
        <w:t xml:space="preserve"> </w:t>
      </w:r>
      <w:proofErr w:type="spellStart"/>
      <w:r w:rsidRPr="009E582A">
        <w:rPr>
          <w:rStyle w:val="Hyperlink"/>
          <w:sz w:val="24"/>
          <w:lang w:val="hr-HR"/>
        </w:rPr>
        <w:t>the</w:t>
      </w:r>
      <w:proofErr w:type="spellEnd"/>
      <w:r w:rsidRPr="009E582A">
        <w:rPr>
          <w:rStyle w:val="Hyperlink"/>
          <w:sz w:val="24"/>
          <w:lang w:val="hr-HR"/>
        </w:rPr>
        <w:t xml:space="preserve"> Human Rights </w:t>
      </w:r>
      <w:proofErr w:type="spellStart"/>
      <w:r w:rsidRPr="009E582A">
        <w:rPr>
          <w:rStyle w:val="Hyperlink"/>
          <w:sz w:val="24"/>
          <w:lang w:val="hr-HR"/>
        </w:rPr>
        <w:t>Council</w:t>
      </w:r>
      <w:proofErr w:type="spellEnd"/>
      <w:r w:rsidRPr="009E582A">
        <w:rPr>
          <w:rStyle w:val="Hyperlink"/>
          <w:sz w:val="24"/>
          <w:lang w:val="hr-HR"/>
        </w:rPr>
        <w:t xml:space="preserve"> – </w:t>
      </w:r>
      <w:proofErr w:type="spellStart"/>
      <w:r w:rsidRPr="009E582A">
        <w:rPr>
          <w:rStyle w:val="Hyperlink"/>
          <w:sz w:val="24"/>
          <w:lang w:val="hr-HR"/>
        </w:rPr>
        <w:t>January</w:t>
      </w:r>
      <w:proofErr w:type="spellEnd"/>
      <w:r w:rsidRPr="009E582A">
        <w:rPr>
          <w:rStyle w:val="Hyperlink"/>
          <w:sz w:val="24"/>
          <w:lang w:val="hr-HR"/>
        </w:rPr>
        <w:t xml:space="preserve"> 2020</w:t>
      </w:r>
      <w:r w:rsidRPr="009E582A">
        <w:rPr>
          <w:rStyle w:val="Hyperlink"/>
          <w:sz w:val="24"/>
          <w:lang w:val="hr-HR"/>
        </w:rPr>
        <w:fldChar w:fldCharType="end"/>
      </w:r>
      <w:r w:rsidRPr="009E582A">
        <w:rPr>
          <w:sz w:val="24"/>
          <w:lang w:val="hr-HR"/>
        </w:rPr>
        <w:t>” (Zajednički rad koji je Švedska podnijela Univerzalnom periodičnom pregledu UN-a – 35. sjednica radne skupine za UPR – siječanj 2020.), 2019.</w:t>
      </w:r>
    </w:p>
  </w:footnote>
  <w:footnote w:id="10">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 xml:space="preserve">ILGA Europe, „2023 </w:t>
      </w:r>
      <w:proofErr w:type="spellStart"/>
      <w:r w:rsidRPr="009E582A">
        <w:rPr>
          <w:sz w:val="24"/>
          <w:lang w:val="hr-HR"/>
        </w:rPr>
        <w:t>Annual</w:t>
      </w:r>
      <w:proofErr w:type="spellEnd"/>
      <w:r w:rsidRPr="009E582A">
        <w:rPr>
          <w:sz w:val="24"/>
          <w:lang w:val="hr-HR"/>
        </w:rPr>
        <w:t xml:space="preserve"> </w:t>
      </w:r>
      <w:proofErr w:type="spellStart"/>
      <w:r w:rsidRPr="009E582A">
        <w:rPr>
          <w:sz w:val="24"/>
          <w:lang w:val="hr-HR"/>
        </w:rPr>
        <w:t>Review</w:t>
      </w:r>
      <w:proofErr w:type="spellEnd"/>
      <w:r w:rsidRPr="009E582A">
        <w:rPr>
          <w:sz w:val="24"/>
          <w:lang w:val="hr-HR"/>
        </w:rPr>
        <w:t xml:space="preserve"> </w:t>
      </w:r>
      <w:proofErr w:type="spellStart"/>
      <w:r w:rsidRPr="009E582A">
        <w:rPr>
          <w:sz w:val="24"/>
          <w:lang w:val="hr-HR"/>
        </w:rPr>
        <w:t>of</w:t>
      </w:r>
      <w:proofErr w:type="spellEnd"/>
      <w:r w:rsidRPr="009E582A">
        <w:rPr>
          <w:sz w:val="24"/>
          <w:lang w:val="hr-HR"/>
        </w:rPr>
        <w:t xml:space="preserve"> </w:t>
      </w:r>
      <w:proofErr w:type="spellStart"/>
      <w:r w:rsidRPr="009E582A">
        <w:rPr>
          <w:sz w:val="24"/>
          <w:lang w:val="hr-HR"/>
        </w:rPr>
        <w:t>the</w:t>
      </w:r>
      <w:proofErr w:type="spellEnd"/>
      <w:r w:rsidRPr="009E582A">
        <w:rPr>
          <w:sz w:val="24"/>
          <w:lang w:val="hr-HR"/>
        </w:rPr>
        <w:t xml:space="preserve"> Human Rights </w:t>
      </w:r>
      <w:proofErr w:type="spellStart"/>
      <w:r w:rsidRPr="009E582A">
        <w:rPr>
          <w:sz w:val="24"/>
          <w:lang w:val="hr-HR"/>
        </w:rPr>
        <w:t>Situation</w:t>
      </w:r>
      <w:proofErr w:type="spellEnd"/>
      <w:r w:rsidRPr="009E582A">
        <w:rPr>
          <w:sz w:val="24"/>
          <w:lang w:val="hr-HR"/>
        </w:rPr>
        <w:t xml:space="preserve"> </w:t>
      </w:r>
      <w:proofErr w:type="spellStart"/>
      <w:r w:rsidRPr="009E582A">
        <w:rPr>
          <w:sz w:val="24"/>
          <w:lang w:val="hr-HR"/>
        </w:rPr>
        <w:t>of</w:t>
      </w:r>
      <w:proofErr w:type="spellEnd"/>
      <w:r w:rsidRPr="009E582A">
        <w:rPr>
          <w:sz w:val="24"/>
          <w:lang w:val="hr-HR"/>
        </w:rPr>
        <w:t xml:space="preserve"> </w:t>
      </w:r>
      <w:proofErr w:type="spellStart"/>
      <w:r w:rsidRPr="009E582A">
        <w:rPr>
          <w:sz w:val="24"/>
          <w:lang w:val="hr-HR"/>
        </w:rPr>
        <w:t>Lesbian</w:t>
      </w:r>
      <w:proofErr w:type="spellEnd"/>
      <w:r w:rsidRPr="009E582A">
        <w:rPr>
          <w:sz w:val="24"/>
          <w:lang w:val="hr-HR"/>
        </w:rPr>
        <w:t xml:space="preserve">, </w:t>
      </w:r>
      <w:proofErr w:type="spellStart"/>
      <w:r w:rsidRPr="009E582A">
        <w:rPr>
          <w:sz w:val="24"/>
          <w:lang w:val="hr-HR"/>
        </w:rPr>
        <w:t>Gay</w:t>
      </w:r>
      <w:proofErr w:type="spellEnd"/>
      <w:r w:rsidRPr="009E582A">
        <w:rPr>
          <w:sz w:val="24"/>
          <w:lang w:val="hr-HR"/>
        </w:rPr>
        <w:t xml:space="preserve">, </w:t>
      </w:r>
      <w:proofErr w:type="spellStart"/>
      <w:r w:rsidRPr="009E582A">
        <w:rPr>
          <w:sz w:val="24"/>
          <w:lang w:val="hr-HR"/>
        </w:rPr>
        <w:t>Bisexual</w:t>
      </w:r>
      <w:proofErr w:type="spellEnd"/>
      <w:r w:rsidRPr="009E582A">
        <w:rPr>
          <w:sz w:val="24"/>
          <w:lang w:val="hr-HR"/>
        </w:rPr>
        <w:t xml:space="preserve">, Trans </w:t>
      </w:r>
      <w:proofErr w:type="spellStart"/>
      <w:r w:rsidRPr="009E582A">
        <w:rPr>
          <w:sz w:val="24"/>
          <w:lang w:val="hr-HR"/>
        </w:rPr>
        <w:t>and</w:t>
      </w:r>
      <w:proofErr w:type="spellEnd"/>
      <w:r w:rsidRPr="009E582A">
        <w:rPr>
          <w:sz w:val="24"/>
          <w:lang w:val="hr-HR"/>
        </w:rPr>
        <w:t xml:space="preserve"> </w:t>
      </w:r>
      <w:proofErr w:type="spellStart"/>
      <w:r w:rsidRPr="009E582A">
        <w:rPr>
          <w:sz w:val="24"/>
          <w:lang w:val="hr-HR"/>
        </w:rPr>
        <w:t>Intersex</w:t>
      </w:r>
      <w:proofErr w:type="spellEnd"/>
      <w:r w:rsidRPr="009E582A">
        <w:rPr>
          <w:sz w:val="24"/>
          <w:lang w:val="hr-HR"/>
        </w:rPr>
        <w:t xml:space="preserve"> </w:t>
      </w:r>
      <w:proofErr w:type="spellStart"/>
      <w:r w:rsidRPr="009E582A">
        <w:rPr>
          <w:sz w:val="24"/>
          <w:lang w:val="hr-HR"/>
        </w:rPr>
        <w:t>People</w:t>
      </w:r>
      <w:proofErr w:type="spellEnd"/>
      <w:r w:rsidRPr="009E582A">
        <w:rPr>
          <w:sz w:val="24"/>
          <w:lang w:val="hr-HR"/>
        </w:rPr>
        <w:t xml:space="preserve"> </w:t>
      </w:r>
      <w:proofErr w:type="spellStart"/>
      <w:r w:rsidRPr="009E582A">
        <w:rPr>
          <w:sz w:val="24"/>
          <w:lang w:val="hr-HR"/>
        </w:rPr>
        <w:t>in</w:t>
      </w:r>
      <w:proofErr w:type="spellEnd"/>
      <w:r w:rsidRPr="009E582A">
        <w:rPr>
          <w:sz w:val="24"/>
          <w:lang w:val="hr-HR"/>
        </w:rPr>
        <w:t xml:space="preserve"> Europe </w:t>
      </w:r>
      <w:proofErr w:type="spellStart"/>
      <w:r w:rsidRPr="009E582A">
        <w:rPr>
          <w:sz w:val="24"/>
          <w:lang w:val="hr-HR"/>
        </w:rPr>
        <w:t>and</w:t>
      </w:r>
      <w:proofErr w:type="spellEnd"/>
      <w:r w:rsidRPr="009E582A">
        <w:rPr>
          <w:sz w:val="24"/>
          <w:lang w:val="hr-HR"/>
        </w:rPr>
        <w:t xml:space="preserve"> Central </w:t>
      </w:r>
      <w:proofErr w:type="spellStart"/>
      <w:r w:rsidRPr="009E582A">
        <w:rPr>
          <w:sz w:val="24"/>
          <w:lang w:val="hr-HR"/>
        </w:rPr>
        <w:t>Asia</w:t>
      </w:r>
      <w:proofErr w:type="spellEnd"/>
      <w:r w:rsidRPr="009E582A">
        <w:rPr>
          <w:sz w:val="24"/>
          <w:lang w:val="hr-HR"/>
        </w:rPr>
        <w:t xml:space="preserve">” (Godišnji pregled stanja u pogledu ljudskih prava lezbijki, homoseksualaca, biseksualnih, </w:t>
      </w:r>
      <w:proofErr w:type="spellStart"/>
      <w:r w:rsidRPr="009E582A">
        <w:rPr>
          <w:sz w:val="24"/>
          <w:lang w:val="hr-HR"/>
        </w:rPr>
        <w:t>transrodnih</w:t>
      </w:r>
      <w:proofErr w:type="spellEnd"/>
      <w:r w:rsidRPr="009E582A">
        <w:rPr>
          <w:sz w:val="24"/>
          <w:lang w:val="hr-HR"/>
        </w:rPr>
        <w:t xml:space="preserve"> i </w:t>
      </w:r>
      <w:proofErr w:type="spellStart"/>
      <w:r w:rsidRPr="009E582A">
        <w:rPr>
          <w:sz w:val="24"/>
          <w:lang w:val="hr-HR"/>
        </w:rPr>
        <w:t>interseksualnih</w:t>
      </w:r>
      <w:proofErr w:type="spellEnd"/>
      <w:r w:rsidRPr="009E582A">
        <w:rPr>
          <w:sz w:val="24"/>
          <w:lang w:val="hr-HR"/>
        </w:rPr>
        <w:t xml:space="preserve"> osoba u Europi i središnjoj Aziji za 2023.), veljača 2023.</w:t>
      </w:r>
    </w:p>
  </w:footnote>
  <w:footnote w:id="11">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Agencija Europske unije za temeljna prava, „</w:t>
      </w:r>
      <w:proofErr w:type="spellStart"/>
      <w:r w:rsidRPr="009E582A">
        <w:fldChar w:fldCharType="begin"/>
      </w:r>
      <w:r w:rsidRPr="009E582A">
        <w:rPr>
          <w:sz w:val="24"/>
          <w:lang w:val="hr-HR"/>
        </w:rPr>
        <w:instrText xml:space="preserve"> HYPERLINK "https://fra.europa.eu/sites/default/files/fra_uploads/fra-2021-hate-crime-reporting_en.pdf" </w:instrText>
      </w:r>
      <w:r w:rsidRPr="009E582A">
        <w:fldChar w:fldCharType="separate"/>
      </w:r>
      <w:r w:rsidRPr="009E582A">
        <w:rPr>
          <w:rStyle w:val="Hyperlink"/>
          <w:sz w:val="24"/>
          <w:lang w:val="hr-HR"/>
        </w:rPr>
        <w:t>Encouraging</w:t>
      </w:r>
      <w:proofErr w:type="spellEnd"/>
      <w:r w:rsidRPr="009E582A">
        <w:rPr>
          <w:rStyle w:val="Hyperlink"/>
          <w:sz w:val="24"/>
          <w:lang w:val="hr-HR"/>
        </w:rPr>
        <w:t xml:space="preserve"> </w:t>
      </w:r>
      <w:proofErr w:type="spellStart"/>
      <w:r w:rsidRPr="009E582A">
        <w:rPr>
          <w:rStyle w:val="Hyperlink"/>
          <w:sz w:val="24"/>
          <w:lang w:val="hr-HR"/>
        </w:rPr>
        <w:t>hate</w:t>
      </w:r>
      <w:proofErr w:type="spellEnd"/>
      <w:r w:rsidRPr="009E582A">
        <w:rPr>
          <w:rStyle w:val="Hyperlink"/>
          <w:sz w:val="24"/>
          <w:lang w:val="hr-HR"/>
        </w:rPr>
        <w:t xml:space="preserve"> </w:t>
      </w:r>
      <w:proofErr w:type="spellStart"/>
      <w:r w:rsidRPr="009E582A">
        <w:rPr>
          <w:rStyle w:val="Hyperlink"/>
          <w:sz w:val="24"/>
          <w:lang w:val="hr-HR"/>
        </w:rPr>
        <w:t>crime</w:t>
      </w:r>
      <w:proofErr w:type="spellEnd"/>
      <w:r w:rsidRPr="009E582A">
        <w:rPr>
          <w:rStyle w:val="Hyperlink"/>
          <w:sz w:val="24"/>
          <w:lang w:val="hr-HR"/>
        </w:rPr>
        <w:t xml:space="preserve"> </w:t>
      </w:r>
      <w:proofErr w:type="spellStart"/>
      <w:r w:rsidRPr="009E582A">
        <w:rPr>
          <w:rStyle w:val="Hyperlink"/>
          <w:sz w:val="24"/>
          <w:lang w:val="hr-HR"/>
        </w:rPr>
        <w:t>reporting</w:t>
      </w:r>
      <w:proofErr w:type="spellEnd"/>
      <w:r w:rsidRPr="009E582A">
        <w:rPr>
          <w:rStyle w:val="Hyperlink"/>
          <w:sz w:val="24"/>
          <w:lang w:val="hr-HR"/>
        </w:rPr>
        <w:t xml:space="preserve"> – </w:t>
      </w:r>
      <w:proofErr w:type="spellStart"/>
      <w:r w:rsidRPr="009E582A">
        <w:rPr>
          <w:rStyle w:val="Hyperlink"/>
          <w:sz w:val="24"/>
          <w:lang w:val="hr-HR"/>
        </w:rPr>
        <w:t>The</w:t>
      </w:r>
      <w:proofErr w:type="spellEnd"/>
      <w:r w:rsidRPr="009E582A">
        <w:rPr>
          <w:rStyle w:val="Hyperlink"/>
          <w:sz w:val="24"/>
          <w:lang w:val="hr-HR"/>
        </w:rPr>
        <w:t xml:space="preserve"> role </w:t>
      </w:r>
      <w:proofErr w:type="spellStart"/>
      <w:r w:rsidRPr="009E582A">
        <w:rPr>
          <w:rStyle w:val="Hyperlink"/>
          <w:sz w:val="24"/>
          <w:lang w:val="hr-HR"/>
        </w:rPr>
        <w:t>of</w:t>
      </w:r>
      <w:proofErr w:type="spellEnd"/>
      <w:r w:rsidRPr="009E582A">
        <w:rPr>
          <w:rStyle w:val="Hyperlink"/>
          <w:sz w:val="24"/>
          <w:lang w:val="hr-HR"/>
        </w:rPr>
        <w:t xml:space="preserve"> </w:t>
      </w:r>
      <w:proofErr w:type="spellStart"/>
      <w:r w:rsidRPr="009E582A">
        <w:rPr>
          <w:rStyle w:val="Hyperlink"/>
          <w:sz w:val="24"/>
          <w:lang w:val="hr-HR"/>
        </w:rPr>
        <w:t>law</w:t>
      </w:r>
      <w:proofErr w:type="spellEnd"/>
      <w:r w:rsidRPr="009E582A">
        <w:rPr>
          <w:rStyle w:val="Hyperlink"/>
          <w:sz w:val="24"/>
          <w:lang w:val="hr-HR"/>
        </w:rPr>
        <w:t xml:space="preserve"> </w:t>
      </w:r>
      <w:proofErr w:type="spellStart"/>
      <w:r w:rsidRPr="009E582A">
        <w:rPr>
          <w:rStyle w:val="Hyperlink"/>
          <w:sz w:val="24"/>
          <w:lang w:val="hr-HR"/>
        </w:rPr>
        <w:t>enforcement</w:t>
      </w:r>
      <w:proofErr w:type="spellEnd"/>
      <w:r w:rsidRPr="009E582A">
        <w:rPr>
          <w:rStyle w:val="Hyperlink"/>
          <w:sz w:val="24"/>
          <w:lang w:val="hr-HR"/>
        </w:rPr>
        <w:t xml:space="preserve"> </w:t>
      </w:r>
      <w:proofErr w:type="spellStart"/>
      <w:r w:rsidRPr="009E582A">
        <w:rPr>
          <w:rStyle w:val="Hyperlink"/>
          <w:sz w:val="24"/>
          <w:lang w:val="hr-HR"/>
        </w:rPr>
        <w:t>and</w:t>
      </w:r>
      <w:proofErr w:type="spellEnd"/>
      <w:r w:rsidRPr="009E582A">
        <w:rPr>
          <w:rStyle w:val="Hyperlink"/>
          <w:sz w:val="24"/>
          <w:lang w:val="hr-HR"/>
        </w:rPr>
        <w:t xml:space="preserve"> </w:t>
      </w:r>
      <w:proofErr w:type="spellStart"/>
      <w:r w:rsidRPr="009E582A">
        <w:rPr>
          <w:rStyle w:val="Hyperlink"/>
          <w:sz w:val="24"/>
          <w:lang w:val="hr-HR"/>
        </w:rPr>
        <w:t>other</w:t>
      </w:r>
      <w:proofErr w:type="spellEnd"/>
      <w:r w:rsidRPr="009E582A">
        <w:rPr>
          <w:rStyle w:val="Hyperlink"/>
          <w:sz w:val="24"/>
          <w:lang w:val="hr-HR"/>
        </w:rPr>
        <w:t xml:space="preserve"> </w:t>
      </w:r>
      <w:proofErr w:type="spellStart"/>
      <w:r w:rsidRPr="009E582A">
        <w:rPr>
          <w:rStyle w:val="Hyperlink"/>
          <w:sz w:val="24"/>
          <w:lang w:val="hr-HR"/>
        </w:rPr>
        <w:t>authorities</w:t>
      </w:r>
      <w:proofErr w:type="spellEnd"/>
      <w:r w:rsidRPr="009E582A">
        <w:rPr>
          <w:rStyle w:val="Hyperlink"/>
          <w:sz w:val="24"/>
          <w:lang w:val="hr-HR"/>
        </w:rPr>
        <w:fldChar w:fldCharType="end"/>
      </w:r>
      <w:r w:rsidRPr="009E582A">
        <w:rPr>
          <w:sz w:val="24"/>
          <w:lang w:val="hr-HR"/>
        </w:rPr>
        <w:t>” (Poticanje prijavljivanja zločina iz mržnje – uloga tijela za izvršavanje zakonodavstva i drugih tijela), 2021.</w:t>
      </w:r>
    </w:p>
  </w:footnote>
  <w:footnote w:id="12">
    <w:p w:rsidR="00BC0861" w:rsidRPr="009E582A" w:rsidRDefault="00BC0861" w:rsidP="009E582A">
      <w:pPr>
        <w:pStyle w:val="FootnoteText"/>
        <w:ind w:left="567" w:hanging="567"/>
        <w:rPr>
          <w:sz w:val="24"/>
          <w:lang w:val="hr-HR"/>
        </w:rPr>
      </w:pPr>
      <w:r w:rsidRPr="009E582A">
        <w:rPr>
          <w:rStyle w:val="FootnoteReference"/>
          <w:sz w:val="24"/>
          <w:lang w:val="hr-HR"/>
        </w:rPr>
        <w:footnoteRef/>
      </w:r>
      <w:r w:rsidR="009E582A" w:rsidRPr="009E582A">
        <w:rPr>
          <w:sz w:val="24"/>
          <w:lang w:val="hr-HR"/>
        </w:rPr>
        <w:t xml:space="preserve"> </w:t>
      </w:r>
      <w:r w:rsidR="009E582A" w:rsidRPr="009E582A">
        <w:rPr>
          <w:sz w:val="24"/>
          <w:lang w:val="hr-HR"/>
        </w:rPr>
        <w:tab/>
      </w:r>
      <w:r w:rsidRPr="009E582A">
        <w:rPr>
          <w:sz w:val="24"/>
          <w:lang w:val="hr-HR"/>
        </w:rPr>
        <w:t>Uredba (EU) 2022/2065 Europskog parlamenta i Vijeća od 19. listopada 2022. o jedinstvenom tržištu digitalnih usluga i izmjeni Direktive 2000/31/EZ (Akt o digitalnim uslugama) (SL L 277, 27.10.2022.,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8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8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8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HR"/>
    <w:docVar w:name="dvnumam" w:val="0"/>
    <w:docVar w:name="dvpe" w:val="750.074"/>
    <w:docVar w:name="dvrapporteur" w:val="Izvjestiteljica: "/>
    <w:docVar w:name="dvtitre" w:val="Rezolucija Europskog parlamenta od .... 2023. o proširenju popisa područja kriminaliteta u EU-u na govor mržnje i zločine iz mržnje(2023/2068(INI))"/>
  </w:docVars>
  <w:rsids>
    <w:rsidRoot w:val="00B56D6C"/>
    <w:rsid w:val="00002272"/>
    <w:rsid w:val="00064002"/>
    <w:rsid w:val="000677B9"/>
    <w:rsid w:val="000831BA"/>
    <w:rsid w:val="000A42CC"/>
    <w:rsid w:val="000E7DD9"/>
    <w:rsid w:val="0010095E"/>
    <w:rsid w:val="00125B37"/>
    <w:rsid w:val="00187494"/>
    <w:rsid w:val="001E476A"/>
    <w:rsid w:val="001F32AE"/>
    <w:rsid w:val="001F70C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572"/>
    <w:rsid w:val="009E582A"/>
    <w:rsid w:val="00A1687D"/>
    <w:rsid w:val="00A43E52"/>
    <w:rsid w:val="00A4678D"/>
    <w:rsid w:val="00A778C7"/>
    <w:rsid w:val="00AB441E"/>
    <w:rsid w:val="00AB6293"/>
    <w:rsid w:val="00AE0928"/>
    <w:rsid w:val="00AF3B82"/>
    <w:rsid w:val="00B12E95"/>
    <w:rsid w:val="00B22876"/>
    <w:rsid w:val="00B558F0"/>
    <w:rsid w:val="00B56D6C"/>
    <w:rsid w:val="00BC08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02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6E3A4"/>
  <w15:chartTrackingRefBased/>
  <w15:docId w15:val="{68D22D37-DEA1-42AA-B529-1FA3DB15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0861"/>
    <w:pPr>
      <w:spacing w:after="240"/>
      <w:ind w:left="567" w:hanging="567"/>
    </w:pPr>
  </w:style>
  <w:style w:type="paragraph" w:customStyle="1" w:styleId="EPComma">
    <w:name w:val="EPComma"/>
    <w:basedOn w:val="Normal"/>
    <w:rsid w:val="00BC0861"/>
    <w:pPr>
      <w:spacing w:before="480" w:after="240"/>
    </w:pPr>
  </w:style>
  <w:style w:type="character" w:customStyle="1" w:styleId="NormalHanging12aChar">
    <w:name w:val="NormalHanging12a Char"/>
    <w:basedOn w:val="DefaultParagraphFont"/>
    <w:link w:val="NormalHanging12a"/>
    <w:rsid w:val="00BC0861"/>
    <w:rPr>
      <w:sz w:val="24"/>
      <w:lang w:val="hr-HR"/>
    </w:rPr>
  </w:style>
  <w:style w:type="paragraph" w:customStyle="1" w:styleId="Normal12Hanging">
    <w:name w:val="Normal12Hanging"/>
    <w:basedOn w:val="Normal"/>
    <w:rsid w:val="00BC0861"/>
    <w:pPr>
      <w:spacing w:after="240"/>
      <w:ind w:left="567" w:hanging="567"/>
    </w:pPr>
  </w:style>
  <w:style w:type="character" w:styleId="Hyperlink">
    <w:name w:val="Hyperlink"/>
    <w:basedOn w:val="DefaultParagraphFont"/>
    <w:rsid w:val="00BC08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FC65C-5D1B-4223-B31D-C1BECB9B2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3058</Words>
  <Characters>18153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2024-01-18T12:43:00Z</dcterms:created>
  <dcterms:modified xsi:type="dcterms:W3CDTF">2024-01-18T12:43:00Z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A9-0377/2023</vt:lpwstr>
  </property>
  <property fmtid="{D5CDD505-2E9C-101B-9397-08002B2CF9AE}" pid="4" name="&lt;Type&gt;">
    <vt:lpwstr>RR</vt:lpwstr>
  </property>
</Properties>
</file>