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777B" w:rsidTr="0010095E">
        <w:trPr>
          <w:trHeight w:hRule="exact" w:val="1418"/>
        </w:trPr>
        <w:tc>
          <w:tcPr>
            <w:tcW w:w="6804" w:type="dxa"/>
            <w:shd w:val="clear" w:color="auto" w:fill="auto"/>
            <w:vAlign w:val="center"/>
          </w:tcPr>
          <w:p w:rsidR="00751A4A" w:rsidRPr="00E7777B" w:rsidRDefault="003976FA" w:rsidP="0010095E">
            <w:pPr>
              <w:pStyle w:val="EPName"/>
            </w:pPr>
            <w:r w:rsidRPr="00E7777B">
              <w:t>Európai Parlament</w:t>
            </w:r>
          </w:p>
          <w:p w:rsidR="00751A4A" w:rsidRPr="00E7777B" w:rsidRDefault="00817416" w:rsidP="00756632">
            <w:pPr>
              <w:pStyle w:val="EPTerm"/>
              <w:rPr>
                <w:rStyle w:val="HideTWBExt"/>
                <w:noProof w:val="0"/>
                <w:vanish w:val="0"/>
                <w:color w:val="auto"/>
              </w:rPr>
            </w:pPr>
            <w:r w:rsidRPr="00E7777B">
              <w:t>2019-2024</w:t>
            </w:r>
          </w:p>
        </w:tc>
        <w:tc>
          <w:tcPr>
            <w:tcW w:w="2268" w:type="dxa"/>
            <w:shd w:val="clear" w:color="auto" w:fill="auto"/>
          </w:tcPr>
          <w:p w:rsidR="00751A4A" w:rsidRPr="00E7777B" w:rsidRDefault="00187494" w:rsidP="0010095E">
            <w:pPr>
              <w:pStyle w:val="EPLogo"/>
            </w:pPr>
            <w:r w:rsidRPr="00E7777B">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777B" w:rsidRDefault="00D058B8" w:rsidP="004C5D52">
      <w:pPr>
        <w:pStyle w:val="LineTop"/>
      </w:pPr>
    </w:p>
    <w:p w:rsidR="00680577" w:rsidRPr="00E7777B" w:rsidRDefault="003976FA" w:rsidP="00680577">
      <w:pPr>
        <w:pStyle w:val="EPBodyTA1"/>
      </w:pPr>
      <w:r w:rsidRPr="00E7777B">
        <w:t>ELFOGADOTT SZÖVEGEK</w:t>
      </w:r>
    </w:p>
    <w:p w:rsidR="00D058B8" w:rsidRPr="00E7777B" w:rsidRDefault="00D058B8" w:rsidP="00D058B8">
      <w:pPr>
        <w:pStyle w:val="LineBottom"/>
      </w:pPr>
    </w:p>
    <w:p w:rsidR="003976FA" w:rsidRPr="00E7777B" w:rsidRDefault="003976FA" w:rsidP="003976FA">
      <w:pPr>
        <w:pStyle w:val="ATHeading1"/>
      </w:pPr>
      <w:bookmarkStart w:id="0" w:name="TANumber"/>
      <w:r w:rsidRPr="00E7777B">
        <w:t>P9_TA(202</w:t>
      </w:r>
      <w:r w:rsidR="006318F7" w:rsidRPr="00E7777B">
        <w:t>4</w:t>
      </w:r>
      <w:r w:rsidRPr="00E7777B">
        <w:t>)</w:t>
      </w:r>
      <w:bookmarkEnd w:id="0"/>
      <w:r w:rsidR="009E0F6D" w:rsidRPr="00E7777B">
        <w:t>00</w:t>
      </w:r>
      <w:r w:rsidR="00E7777B">
        <w:t>44</w:t>
      </w:r>
      <w:bookmarkStart w:id="1" w:name="_GoBack"/>
      <w:bookmarkEnd w:id="1"/>
    </w:p>
    <w:p w:rsidR="003976FA" w:rsidRPr="00E7777B" w:rsidRDefault="004C5757" w:rsidP="003976FA">
      <w:pPr>
        <w:pStyle w:val="ATHeading2"/>
      </w:pPr>
      <w:bookmarkStart w:id="2" w:name="title"/>
      <w:r w:rsidRPr="00E7777B">
        <w:rPr>
          <w:bCs/>
        </w:rPr>
        <w:t>Az uniós bűncselekmények listájának a gyűlöletbeszéddel és a gyűlölet-bűncselekményekkel való kibővítése</w:t>
      </w:r>
      <w:bookmarkEnd w:id="2"/>
    </w:p>
    <w:p w:rsidR="003976FA" w:rsidRPr="00E7777B" w:rsidRDefault="003976FA" w:rsidP="003976FA">
      <w:pPr>
        <w:rPr>
          <w:i/>
          <w:vanish/>
        </w:rPr>
      </w:pPr>
      <w:r w:rsidRPr="00E7777B">
        <w:rPr>
          <w:i/>
        </w:rPr>
        <w:fldChar w:fldCharType="begin"/>
      </w:r>
      <w:r w:rsidRPr="00E7777B">
        <w:rPr>
          <w:i/>
        </w:rPr>
        <w:instrText xml:space="preserve"> TC"(</w:instrText>
      </w:r>
      <w:bookmarkStart w:id="3" w:name="DocNumber"/>
      <w:r w:rsidRPr="00E7777B">
        <w:rPr>
          <w:i/>
        </w:rPr>
        <w:instrText>A9-0377/2023</w:instrText>
      </w:r>
      <w:bookmarkEnd w:id="3"/>
      <w:r w:rsidRPr="00E7777B">
        <w:rPr>
          <w:i/>
        </w:rPr>
        <w:instrText xml:space="preserve"> - Előadó: </w:instrText>
      </w:r>
      <w:proofErr w:type="spellStart"/>
      <w:r w:rsidRPr="00E7777B">
        <w:rPr>
          <w:i/>
        </w:rPr>
        <w:instrText>Maite</w:instrText>
      </w:r>
      <w:proofErr w:type="spellEnd"/>
      <w:r w:rsidRPr="00E7777B">
        <w:rPr>
          <w:i/>
        </w:rPr>
        <w:instrText xml:space="preserve"> </w:instrText>
      </w:r>
      <w:proofErr w:type="spellStart"/>
      <w:r w:rsidRPr="00E7777B">
        <w:rPr>
          <w:i/>
        </w:rPr>
        <w:instrText>Pagazaurtundúa</w:instrText>
      </w:r>
      <w:proofErr w:type="spellEnd"/>
      <w:r w:rsidRPr="00E7777B">
        <w:rPr>
          <w:i/>
        </w:rPr>
        <w:instrText xml:space="preserve">)"\l3 \n&gt; \* MERGEFORMAT </w:instrText>
      </w:r>
      <w:r w:rsidRPr="00E7777B">
        <w:rPr>
          <w:i/>
        </w:rPr>
        <w:fldChar w:fldCharType="end"/>
      </w:r>
    </w:p>
    <w:p w:rsidR="003976FA" w:rsidRPr="00E7777B" w:rsidRDefault="003976FA" w:rsidP="003976FA">
      <w:pPr>
        <w:rPr>
          <w:vanish/>
        </w:rPr>
      </w:pPr>
      <w:bookmarkStart w:id="4" w:name="Commission"/>
      <w:r w:rsidRPr="00E7777B">
        <w:rPr>
          <w:vanish/>
        </w:rPr>
        <w:t>Állampolgári Jogi, Bel- és Igazságügyi Bizottság</w:t>
      </w:r>
      <w:bookmarkEnd w:id="4"/>
    </w:p>
    <w:p w:rsidR="003976FA" w:rsidRPr="00E7777B" w:rsidRDefault="003976FA" w:rsidP="003976FA">
      <w:pPr>
        <w:rPr>
          <w:vanish/>
        </w:rPr>
      </w:pPr>
      <w:bookmarkStart w:id="5" w:name="PE"/>
      <w:r w:rsidRPr="00E7777B">
        <w:rPr>
          <w:vanish/>
        </w:rPr>
        <w:t>PE750.074</w:t>
      </w:r>
      <w:bookmarkEnd w:id="5"/>
    </w:p>
    <w:p w:rsidR="003976FA" w:rsidRPr="00E7777B" w:rsidRDefault="003976FA" w:rsidP="003976FA">
      <w:pPr>
        <w:pStyle w:val="ATHeading3"/>
      </w:pPr>
      <w:bookmarkStart w:id="6" w:name="Sujet"/>
      <w:r w:rsidRPr="00E7777B">
        <w:t>Az Európai Parlament 202</w:t>
      </w:r>
      <w:r w:rsidR="006318F7" w:rsidRPr="00E7777B">
        <w:t>4</w:t>
      </w:r>
      <w:r w:rsidRPr="00E7777B">
        <w:t xml:space="preserve">. </w:t>
      </w:r>
      <w:r w:rsidR="006318F7" w:rsidRPr="00E7777B">
        <w:t>január</w:t>
      </w:r>
      <w:r w:rsidRPr="00E7777B">
        <w:t xml:space="preserve"> </w:t>
      </w:r>
      <w:r w:rsidR="00526F82" w:rsidRPr="00E7777B">
        <w:t>18-</w:t>
      </w:r>
      <w:r w:rsidRPr="00E7777B">
        <w:t>i állásfoglalása az uniós bűncselekmények listájának a gyűlöletbeszéddel és a gyűlölet-bűncselekményekkel való kibővítéséről</w:t>
      </w:r>
      <w:bookmarkEnd w:id="6"/>
      <w:r w:rsidRPr="00E7777B">
        <w:t xml:space="preserve"> </w:t>
      </w:r>
      <w:bookmarkStart w:id="7" w:name="References"/>
      <w:r w:rsidRPr="00E7777B">
        <w:t>(2023/</w:t>
      </w:r>
      <w:proofErr w:type="gramStart"/>
      <w:r w:rsidRPr="00E7777B">
        <w:t>2068(</w:t>
      </w:r>
      <w:proofErr w:type="gramEnd"/>
      <w:r w:rsidRPr="00E7777B">
        <w:t>INI))</w:t>
      </w:r>
      <w:bookmarkEnd w:id="7"/>
    </w:p>
    <w:p w:rsidR="00F57F6B" w:rsidRPr="00E7777B" w:rsidRDefault="00F57F6B" w:rsidP="00F57F6B">
      <w:pPr>
        <w:pStyle w:val="EPComma"/>
      </w:pPr>
      <w:bookmarkStart w:id="8" w:name="TextBodyBegin"/>
      <w:bookmarkEnd w:id="8"/>
      <w:r w:rsidRPr="00E7777B">
        <w:rPr>
          <w:rStyle w:val="Italic"/>
        </w:rPr>
        <w:t>Az Európai Parlament,</w:t>
      </w:r>
    </w:p>
    <w:p w:rsidR="00F57F6B" w:rsidRPr="00E7777B" w:rsidRDefault="00F57F6B" w:rsidP="004C5757">
      <w:pPr>
        <w:pStyle w:val="NormalHanging12a"/>
        <w:widowControl/>
        <w:rPr>
          <w:szCs w:val="24"/>
        </w:rPr>
      </w:pPr>
      <w:r w:rsidRPr="00E7777B">
        <w:t>–</w:t>
      </w:r>
      <w:r w:rsidRPr="00E7777B">
        <w:tab/>
        <w:t>tekintettel az Európai Unió Alapjogi Chartájára (a továbbiakban: a Charta) és különösen annak 1</w:t>
      </w:r>
      <w:proofErr w:type="gramStart"/>
      <w:r w:rsidRPr="00E7777B">
        <w:t>.,</w:t>
      </w:r>
      <w:proofErr w:type="gramEnd"/>
      <w:r w:rsidRPr="00E7777B">
        <w:t xml:space="preserve"> 7., 20., 21., 22., 23., 25. és 26. cikkére,</w:t>
      </w:r>
    </w:p>
    <w:p w:rsidR="00F57F6B" w:rsidRPr="00E7777B" w:rsidRDefault="00F57F6B" w:rsidP="004C5757">
      <w:pPr>
        <w:pStyle w:val="NormalHanging12a"/>
        <w:widowControl/>
      </w:pPr>
      <w:r w:rsidRPr="00E7777B">
        <w:t>–</w:t>
      </w:r>
      <w:r w:rsidRPr="00E7777B">
        <w:tab/>
        <w:t>tekintettel az Európai Unióról szóló szerződésre (EUSZ), és különösen annak 2</w:t>
      </w:r>
      <w:proofErr w:type="gramStart"/>
      <w:r w:rsidRPr="00E7777B">
        <w:t>.,</w:t>
      </w:r>
      <w:proofErr w:type="gramEnd"/>
      <w:r w:rsidRPr="00E7777B">
        <w:t xml:space="preserve"> 3. és 6. cikkére,</w:t>
      </w:r>
    </w:p>
    <w:p w:rsidR="00F57F6B" w:rsidRPr="00E7777B" w:rsidRDefault="00F57F6B" w:rsidP="004C5757">
      <w:pPr>
        <w:pStyle w:val="NormalHanging12a"/>
        <w:widowControl/>
      </w:pPr>
      <w:r w:rsidRPr="00E7777B">
        <w:t>–</w:t>
      </w:r>
      <w:r w:rsidRPr="00E7777B">
        <w:tab/>
        <w:t xml:space="preserve">tekintettel az Európai Unió működéséről szóló szerződésre (EUMSZ) és különösen </w:t>
      </w:r>
      <w:proofErr w:type="gramStart"/>
      <w:r w:rsidRPr="00E7777B">
        <w:t>annak</w:t>
      </w:r>
      <w:proofErr w:type="gramEnd"/>
      <w:r w:rsidRPr="00E7777B">
        <w:t xml:space="preserve"> 19. cikkére és 83. cikke (1) bekezdésére,</w:t>
      </w:r>
    </w:p>
    <w:p w:rsidR="00F57F6B" w:rsidRPr="00E7777B" w:rsidRDefault="00F57F6B" w:rsidP="004C5757">
      <w:pPr>
        <w:pStyle w:val="NormalHanging12a"/>
        <w:widowControl/>
      </w:pPr>
      <w:r w:rsidRPr="00E7777B">
        <w:t>–</w:t>
      </w:r>
      <w:r w:rsidRPr="00E7777B">
        <w:tab/>
        <w:t>tekintettel az emberi jogok és alapvető szabadságok védelméről szóló egyezményre, valamint az Emberi Jogok Európai Bíróságának kapcsolódó ítélkezési gyakorlatára,</w:t>
      </w:r>
    </w:p>
    <w:p w:rsidR="00F57F6B" w:rsidRPr="00E7777B" w:rsidRDefault="00F57F6B" w:rsidP="004C5757">
      <w:pPr>
        <w:pStyle w:val="NormalHanging12a"/>
        <w:widowControl/>
      </w:pPr>
      <w:r w:rsidRPr="00E7777B">
        <w:t>–</w:t>
      </w:r>
      <w:r w:rsidRPr="00E7777B">
        <w:tab/>
        <w:t>tekintettel az Emberi Jogok Egyetemes Nyilatkozatára,</w:t>
      </w:r>
    </w:p>
    <w:p w:rsidR="00F57F6B" w:rsidRPr="00E7777B" w:rsidRDefault="00F57F6B" w:rsidP="004C5757">
      <w:pPr>
        <w:pStyle w:val="NormalHanging12a"/>
        <w:widowControl/>
      </w:pPr>
      <w:r w:rsidRPr="00E7777B">
        <w:t>–</w:t>
      </w:r>
      <w:r w:rsidRPr="00E7777B">
        <w:tab/>
        <w:t>tekintettel az Európai Unió Bíróságának (EUB) ítélkezési gyakorlatára,</w:t>
      </w:r>
    </w:p>
    <w:p w:rsidR="00F57F6B" w:rsidRPr="00E7777B" w:rsidRDefault="00F57F6B" w:rsidP="004C5757">
      <w:pPr>
        <w:pStyle w:val="NormalHanging12a"/>
        <w:widowControl/>
      </w:pPr>
      <w:r w:rsidRPr="00E7777B">
        <w:t>–</w:t>
      </w:r>
      <w:r w:rsidRPr="00E7777B">
        <w:tab/>
        <w:t>tekintettel az „Inkluzívabb és védelmezőbb Európa: az uniós bűncselekmények listájának kibővítése a gyűlöletbeszéddel és a gyűlölet-bűncselekményekkel” című, 2021. december 9-i bizottsági közleményre (</w:t>
      </w:r>
      <w:proofErr w:type="gramStart"/>
      <w:r w:rsidRPr="00E7777B">
        <w:t>COM(</w:t>
      </w:r>
      <w:proofErr w:type="gramEnd"/>
      <w:r w:rsidRPr="00E7777B">
        <w:t>2021)0777) és az ahhoz csatolt tanácsi határozatra irányuló javaslatra,</w:t>
      </w:r>
    </w:p>
    <w:p w:rsidR="00F57F6B" w:rsidRPr="00E7777B" w:rsidRDefault="00F57F6B" w:rsidP="004C5757">
      <w:pPr>
        <w:pStyle w:val="NormalHanging12a"/>
        <w:widowControl/>
      </w:pPr>
      <w:r w:rsidRPr="00E7777B">
        <w:t>–</w:t>
      </w:r>
      <w:r w:rsidRPr="00E7777B">
        <w:tab/>
        <w:t>tekintettel a rasszizmus és az idegengyűlölet egyes formái és megnyilvánulásai elleni, büntetőjogi eszközökkel történő küzdelemről szóló, 2008. november 28-i 2008/913/IB tanácsi kerethatározatra</w:t>
      </w:r>
      <w:r w:rsidRPr="00E7777B">
        <w:rPr>
          <w:rStyle w:val="FootnoteReference"/>
        </w:rPr>
        <w:footnoteReference w:id="1"/>
      </w:r>
      <w:r w:rsidRPr="00E7777B">
        <w:t>,</w:t>
      </w:r>
    </w:p>
    <w:p w:rsidR="00F57F6B" w:rsidRPr="00E7777B" w:rsidRDefault="00F57F6B" w:rsidP="004C5757">
      <w:pPr>
        <w:pStyle w:val="NormalHanging12a"/>
        <w:widowControl/>
      </w:pPr>
      <w:r w:rsidRPr="00E7777B">
        <w:lastRenderedPageBreak/>
        <w:t>–</w:t>
      </w:r>
      <w:r w:rsidRPr="00E7777B">
        <w:tab/>
        <w:t>tekintettel „Az egyenlőségközpontú Unió: a 2020–2025 közötti időszakra szóló nemi esélyegyenlőségi stratégia” című, 2020. március 5-i bizottsági közleményre (</w:t>
      </w:r>
      <w:proofErr w:type="gramStart"/>
      <w:r w:rsidRPr="00E7777B">
        <w:t>COM(</w:t>
      </w:r>
      <w:proofErr w:type="gramEnd"/>
      <w:r w:rsidRPr="00E7777B">
        <w:t>2020)0152),</w:t>
      </w:r>
    </w:p>
    <w:p w:rsidR="00F57F6B" w:rsidRPr="00E7777B" w:rsidRDefault="00F57F6B" w:rsidP="004C5757">
      <w:pPr>
        <w:pStyle w:val="NormalHanging12a"/>
        <w:widowControl/>
      </w:pPr>
      <w:r w:rsidRPr="00E7777B">
        <w:t>–</w:t>
      </w:r>
      <w:r w:rsidRPr="00E7777B">
        <w:tab/>
        <w:t>tekintettel az „Egyenlőségközpontú Unió: az EU rasszizmus elleni cselekvési terve a 2020–2025-ös időszakra” című, 2020. szeptember 18-i bizottsági közleményre (</w:t>
      </w:r>
      <w:proofErr w:type="gramStart"/>
      <w:r w:rsidRPr="00E7777B">
        <w:t>COM(</w:t>
      </w:r>
      <w:proofErr w:type="gramEnd"/>
      <w:r w:rsidRPr="00E7777B">
        <w:t>2020)0565),</w:t>
      </w:r>
    </w:p>
    <w:p w:rsidR="00F57F6B" w:rsidRPr="00E7777B" w:rsidRDefault="00F57F6B" w:rsidP="004C5757">
      <w:pPr>
        <w:pStyle w:val="NormalHanging12a"/>
        <w:widowControl/>
      </w:pPr>
      <w:r w:rsidRPr="00E7777B">
        <w:t>–</w:t>
      </w:r>
      <w:r w:rsidRPr="00E7777B">
        <w:tab/>
        <w:t xml:space="preserve">tekintettel az „Egyenlőségközpontú Unió: az LMBTIQ-személyek egyenlőségéről szóló stratégia (2020–2025)” című, 2020. november 12-i </w:t>
      </w:r>
      <w:r w:rsidR="00C7529A" w:rsidRPr="00E7777B">
        <w:t xml:space="preserve">bizottsági </w:t>
      </w:r>
      <w:r w:rsidRPr="00E7777B">
        <w:t>közleményre (</w:t>
      </w:r>
      <w:proofErr w:type="gramStart"/>
      <w:r w:rsidRPr="00E7777B">
        <w:t>COM(</w:t>
      </w:r>
      <w:proofErr w:type="gramEnd"/>
      <w:r w:rsidRPr="00E7777B">
        <w:t>2020)0698),</w:t>
      </w:r>
    </w:p>
    <w:p w:rsidR="00F57F6B" w:rsidRPr="00E7777B" w:rsidRDefault="00F57F6B" w:rsidP="004C5757">
      <w:pPr>
        <w:pStyle w:val="NormalHanging12a"/>
        <w:widowControl/>
      </w:pPr>
      <w:r w:rsidRPr="00E7777B">
        <w:t>–</w:t>
      </w:r>
      <w:r w:rsidRPr="00E7777B">
        <w:tab/>
        <w:t>tekintettel az „Egyenlőségközpontú Unió: Stratégia a fogyatékossággal élő személyek jogainak érvényre juttatásáért (2021–2030)” című, 2021. március 3-i bizottsági közleményre (</w:t>
      </w:r>
      <w:proofErr w:type="gramStart"/>
      <w:r w:rsidRPr="00E7777B">
        <w:t>COM(</w:t>
      </w:r>
      <w:proofErr w:type="gramEnd"/>
      <w:r w:rsidRPr="00E7777B">
        <w:t>2021)0101), valamint az EU és összes tagállama által ratifikált, a fogyatékossággal élő személyek jogairól szóló ENSZ-egyezményre,</w:t>
      </w:r>
    </w:p>
    <w:p w:rsidR="00F57F6B" w:rsidRPr="00E7777B" w:rsidRDefault="00F57F6B" w:rsidP="004C5757">
      <w:pPr>
        <w:pStyle w:val="NormalHanging12a"/>
        <w:widowControl/>
      </w:pPr>
      <w:r w:rsidRPr="00E7777B">
        <w:t>–</w:t>
      </w:r>
      <w:r w:rsidRPr="00E7777B">
        <w:tab/>
        <w:t>tekintettel „Az áldozatok jogairól szóló uniós stratégia (2020–2025)” című, 2020. június 24-i bizottsági közleményre (</w:t>
      </w:r>
      <w:proofErr w:type="gramStart"/>
      <w:r w:rsidRPr="00E7777B">
        <w:t>COM(</w:t>
      </w:r>
      <w:proofErr w:type="gramEnd"/>
      <w:r w:rsidRPr="00E7777B">
        <w:t>2020)0258),</w:t>
      </w:r>
    </w:p>
    <w:p w:rsidR="00F57F6B" w:rsidRPr="00E7777B" w:rsidRDefault="00F57F6B" w:rsidP="004C5757">
      <w:pPr>
        <w:pStyle w:val="NormalHanging12a"/>
        <w:widowControl/>
      </w:pPr>
      <w:r w:rsidRPr="00E7777B">
        <w:t>–</w:t>
      </w:r>
      <w:r w:rsidRPr="00E7777B">
        <w:tab/>
        <w:t>tekintettel az Európa Tanács Miniszteri Bizottságának a tagállamokhoz intézett, a gyűlöletbeszéd elleni küzdelemről szóló, 2022. május 20-i ajánlására (CM/</w:t>
      </w:r>
      <w:proofErr w:type="spellStart"/>
      <w:proofErr w:type="gramStart"/>
      <w:r w:rsidRPr="00E7777B">
        <w:t>Rec</w:t>
      </w:r>
      <w:proofErr w:type="spellEnd"/>
      <w:r w:rsidRPr="00E7777B">
        <w:t>(</w:t>
      </w:r>
      <w:proofErr w:type="gramEnd"/>
      <w:r w:rsidRPr="00E7777B">
        <w:t>2022)16),</w:t>
      </w:r>
    </w:p>
    <w:p w:rsidR="00F57F6B" w:rsidRPr="00E7777B" w:rsidRDefault="00F57F6B" w:rsidP="004C5757">
      <w:pPr>
        <w:pStyle w:val="NormalHanging12a"/>
        <w:widowControl/>
      </w:pPr>
      <w:r w:rsidRPr="00E7777B">
        <w:t>–</w:t>
      </w:r>
      <w:r w:rsidRPr="00E7777B">
        <w:tab/>
        <w:t>tekintettel az Európa Tanács Rasszizmus és Intolerancia Elleni Bizottságának (ECRI) a gyűlöletbeszéd elleni küzdelemről szóló, 2015. december 8-án elfogadott, 15. számú általános politikai ajánlására,</w:t>
      </w:r>
    </w:p>
    <w:p w:rsidR="00F57F6B" w:rsidRPr="00E7777B" w:rsidRDefault="00F57F6B" w:rsidP="004C5757">
      <w:pPr>
        <w:pStyle w:val="NormalHanging12a"/>
        <w:widowControl/>
        <w:rPr>
          <w:szCs w:val="24"/>
        </w:rPr>
      </w:pPr>
      <w:r w:rsidRPr="00E7777B">
        <w:t>–</w:t>
      </w:r>
      <w:r w:rsidRPr="00E7777B">
        <w:tab/>
        <w:t>tekintettel az Európa Tanács nemzeti kisebbségek védelméről szóló keretegyezményére és a Regionális vagy Kisebbségi Nyelvek Európai Kartájára,</w:t>
      </w:r>
    </w:p>
    <w:p w:rsidR="00F57F6B" w:rsidRPr="00E7777B" w:rsidRDefault="00F57F6B" w:rsidP="004C5757">
      <w:pPr>
        <w:pStyle w:val="NormalHanging12a"/>
        <w:widowControl/>
      </w:pPr>
      <w:r w:rsidRPr="00E7777B">
        <w:t>–</w:t>
      </w:r>
      <w:r w:rsidRPr="00E7777B">
        <w:tab/>
        <w:t>tekintettel az ECRI, a megkülönböztetésmentességgel, sokszínűséggel és társadalmi befogadással foglalkozó irányítóbizottság, a Parlamenti Közgyűlés, a Velencei Bizottság és az Európa Tanács más szerveinek ajánlásaira, jelentéseire és állásfoglalásaira,</w:t>
      </w:r>
    </w:p>
    <w:p w:rsidR="00F57F6B" w:rsidRPr="00E7777B" w:rsidRDefault="00F57F6B" w:rsidP="004C5757">
      <w:pPr>
        <w:pStyle w:val="NormalHanging12a"/>
        <w:widowControl/>
      </w:pPr>
      <w:r w:rsidRPr="00E7777B">
        <w:t>–</w:t>
      </w:r>
      <w:r w:rsidRPr="00E7777B">
        <w:tab/>
        <w:t>tekintettel a megkülönböztetésmentességgel, egyenlőséggel és sokféleséggel foglalkozó magas szintű bizottsági munkacsoportnak az egyenlőségre vonatkozó adatokkal foglalkozó alcsoportja által kidolgozott és 2021-ben közzétett, az egyenlőségre vonatkozó adatok gyűjtésének és felhasználásának javításáról szóló iránymutatásokra,</w:t>
      </w:r>
    </w:p>
    <w:p w:rsidR="00F57F6B" w:rsidRPr="00E7777B" w:rsidRDefault="00F57F6B" w:rsidP="004C5757">
      <w:pPr>
        <w:pStyle w:val="NormalHanging12a"/>
        <w:widowControl/>
      </w:pPr>
      <w:r w:rsidRPr="00E7777B">
        <w:t>–</w:t>
      </w:r>
      <w:r w:rsidRPr="00E7777B">
        <w:tab/>
        <w:t>tekintettel az ENSZ emberi jogok és alapvető szabadságok védelméről szóló emberi jogi szerződéseire és eszközeire, különösen az Emberi Jogok Egyetemes Nyilatkozatára, a Polgári és Politikai Jogok Nemzetközi Egyezségokmányára, a faji megkülönböztetés valamennyi formájának kiküszöböléséről szóló egyezményre, a nőkkel szemben alkalmazott hátrányos megkülönböztetések minden formájának kiküszöböléséről szóló egyezményre és a kisebbségi kérdésekkel foglalkozó éves ENSZ-fórum ajánlásaira,</w:t>
      </w:r>
    </w:p>
    <w:p w:rsidR="00F57F6B" w:rsidRPr="00E7777B" w:rsidRDefault="00F57F6B" w:rsidP="004C5757">
      <w:pPr>
        <w:pStyle w:val="NormalHanging12a"/>
        <w:widowControl/>
        <w:rPr>
          <w:szCs w:val="24"/>
        </w:rPr>
      </w:pPr>
      <w:r w:rsidRPr="00E7777B">
        <w:t>–</w:t>
      </w:r>
      <w:r w:rsidRPr="00E7777B">
        <w:tab/>
        <w:t>tekintettel az EBESZ Demokratikus Intézmények és Emberi Jogok Hivatala által minden évben november 16-án közzétett, gyűlölet-bűncselekményekre vonatkozó éves adatokra,</w:t>
      </w:r>
    </w:p>
    <w:p w:rsidR="00F57F6B" w:rsidRPr="00E7777B" w:rsidRDefault="00F57F6B" w:rsidP="004C5757">
      <w:pPr>
        <w:pStyle w:val="NormalHanging12a"/>
        <w:widowControl/>
      </w:pPr>
      <w:r w:rsidRPr="00E7777B">
        <w:lastRenderedPageBreak/>
        <w:t>–</w:t>
      </w:r>
      <w:r w:rsidRPr="00E7777B">
        <w:tab/>
        <w:t>tekintettel a médiaszabadság megerősítéséről szóló, 2020. november 25-i állásfoglalására: Az újságírók védelme Európában, a gyűlöletbeszéd, a dezinformáció és a platformok szerepe</w:t>
      </w:r>
      <w:r w:rsidRPr="00E7777B">
        <w:rPr>
          <w:rStyle w:val="FootnoteReference"/>
        </w:rPr>
        <w:footnoteReference w:id="2"/>
      </w:r>
      <w:r w:rsidRPr="00E7777B">
        <w:t>,</w:t>
      </w:r>
    </w:p>
    <w:p w:rsidR="00F57F6B" w:rsidRPr="00E7777B" w:rsidRDefault="00F57F6B" w:rsidP="004C5757">
      <w:pPr>
        <w:pStyle w:val="NormalHanging12a"/>
        <w:widowControl/>
      </w:pPr>
      <w:r w:rsidRPr="00E7777B">
        <w:t>–</w:t>
      </w:r>
      <w:r w:rsidRPr="00E7777B">
        <w:tab/>
        <w:t>tekintettel a nemi alapú erőszaknak az EUMSZ 83. cikke (1) bekezdésében felsorolt bűncselekmények új területeként való megállapításáról szóló, a Bizottságnak szóló ajánlásokat tartalmazó, 2021. szeptember 16-i állásfoglalásra</w:t>
      </w:r>
      <w:r w:rsidRPr="00E7777B">
        <w:rPr>
          <w:rStyle w:val="FootnoteReference"/>
        </w:rPr>
        <w:footnoteReference w:id="3"/>
      </w:r>
      <w:r w:rsidRPr="00E7777B">
        <w:t>,</w:t>
      </w:r>
    </w:p>
    <w:p w:rsidR="00F57F6B" w:rsidRPr="00E7777B" w:rsidRDefault="00F57F6B" w:rsidP="004C5757">
      <w:pPr>
        <w:pStyle w:val="NormalHanging12a"/>
        <w:widowControl/>
        <w:rPr>
          <w:szCs w:val="24"/>
        </w:rPr>
      </w:pPr>
      <w:r w:rsidRPr="00E7777B">
        <w:t>–</w:t>
      </w:r>
      <w:r w:rsidRPr="00E7777B">
        <w:tab/>
        <w:t>tekintettel az EU-ban élő kisebbségekre vonatkozó minimumszabályokról szóló, 2018. november 13-i állásfoglalására</w:t>
      </w:r>
      <w:r w:rsidRPr="00E7777B">
        <w:rPr>
          <w:rStyle w:val="FootnoteReference"/>
        </w:rPr>
        <w:footnoteReference w:id="4"/>
      </w:r>
      <w:r w:rsidRPr="00E7777B">
        <w:t>,</w:t>
      </w:r>
    </w:p>
    <w:p w:rsidR="00F57F6B" w:rsidRPr="00E7777B" w:rsidRDefault="00F57F6B" w:rsidP="004C5757">
      <w:pPr>
        <w:pStyle w:val="NormalHanging12a"/>
        <w:widowControl/>
      </w:pPr>
      <w:r w:rsidRPr="00E7777B">
        <w:t>–</w:t>
      </w:r>
      <w:r w:rsidRPr="00E7777B">
        <w:tab/>
        <w:t>tekintettel eljárási szabályzata 105. cikkének (5) bekezdésére,</w:t>
      </w:r>
    </w:p>
    <w:p w:rsidR="00F57F6B" w:rsidRPr="00E7777B" w:rsidRDefault="00F57F6B" w:rsidP="004C5757">
      <w:pPr>
        <w:pStyle w:val="Normal12Hanging"/>
        <w:widowControl/>
      </w:pPr>
      <w:r w:rsidRPr="00E7777B">
        <w:t>–</w:t>
      </w:r>
      <w:r w:rsidRPr="00E7777B">
        <w:tab/>
        <w:t>tekintettel a Nőjogi és Esélyegyenlőségi Bizottság véleményére,</w:t>
      </w:r>
    </w:p>
    <w:p w:rsidR="00F57F6B" w:rsidRPr="00E7777B" w:rsidRDefault="00F57F6B" w:rsidP="004C5757">
      <w:pPr>
        <w:pStyle w:val="NormalHanging12a"/>
        <w:widowControl/>
      </w:pPr>
      <w:r w:rsidRPr="00E7777B">
        <w:t>–</w:t>
      </w:r>
      <w:r w:rsidRPr="00E7777B">
        <w:tab/>
        <w:t>tekintettel az Állampolgári Jogi, Bel- és Igazságügyi Bizottság jelentésére (A9-0377/2023),</w:t>
      </w:r>
    </w:p>
    <w:p w:rsidR="00F57F6B" w:rsidRPr="00E7777B" w:rsidRDefault="00F57F6B" w:rsidP="004C5757">
      <w:pPr>
        <w:pStyle w:val="NormalHanging12a"/>
        <w:widowControl/>
        <w:rPr>
          <w:szCs w:val="24"/>
        </w:rPr>
      </w:pPr>
      <w:r w:rsidRPr="00E7777B">
        <w:t>A.</w:t>
      </w:r>
      <w:r w:rsidRPr="00E7777B">
        <w:tab/>
      </w:r>
      <w:proofErr w:type="gramStart"/>
      <w:r w:rsidRPr="00E7777B">
        <w:t xml:space="preserve">mivel az emberi jogok európai chartájának 21. cikke értelmében tilos bármilyen, nemen, fajon, bőrszínen, etnikai vagy társadalmi származáson, genetikai tulajdonságokon, nyelven, valláson vagy meggyőződésen, politikai vagy más </w:t>
      </w:r>
      <w:proofErr w:type="spellStart"/>
      <w:r w:rsidRPr="00E7777B">
        <w:t>nézeteken</w:t>
      </w:r>
      <w:proofErr w:type="spellEnd"/>
      <w:r w:rsidRPr="00E7777B">
        <w:t>, nemzeti kisebbséghez tartozáson, tulajdonon, születésen, fogyatékosságon, életkoron vagy szexuális irányultságon alapuló megkülönböztetés; mivel a Szerződések alkalmazási körében és az azokban foglalt különös rendelkezések sérelme nélkül szintén tilos az állampolgárság alapján történő minden megkülönböztetés; mivel az Európai Unió Bíróságának széleskörű értelmezését</w:t>
      </w:r>
      <w:proofErr w:type="gramEnd"/>
      <w:r w:rsidRPr="00E7777B">
        <w:t xml:space="preserve"> </w:t>
      </w:r>
      <w:proofErr w:type="gramStart"/>
      <w:r w:rsidRPr="00E7777B">
        <w:t>követve</w:t>
      </w:r>
      <w:proofErr w:type="gramEnd"/>
      <w:r w:rsidRPr="00E7777B">
        <w:t xml:space="preserve"> a „nem” fogalmát tágan kell értelmezni, hogy az magában foglalja a nemi identitással, a nemi önkifejezéssel és a nemi jelleggel kapcsolatos megkülönböztetés valamennyi formáját</w:t>
      </w:r>
      <w:r w:rsidRPr="00E7777B">
        <w:rPr>
          <w:vertAlign w:val="superscript"/>
        </w:rPr>
        <w:footnoteReference w:id="5"/>
      </w:r>
      <w:r w:rsidRPr="00E7777B">
        <w:t>;</w:t>
      </w:r>
    </w:p>
    <w:p w:rsidR="00F57F6B" w:rsidRPr="00E7777B" w:rsidRDefault="00F57F6B" w:rsidP="004C5757">
      <w:pPr>
        <w:pStyle w:val="NormalHanging12a"/>
        <w:widowControl/>
      </w:pPr>
      <w:proofErr w:type="gramStart"/>
      <w:r w:rsidRPr="00E7777B">
        <w:t>B.</w:t>
      </w:r>
      <w:r w:rsidRPr="00E7777B">
        <w:tab/>
        <w:t>mivel a gyűlölet és az intolerancia minden formája és megnyilvánulása, beleértve a gyűlöletbeszédet és a gyűlölet-bűncselekményeket is, összeegyeztethetetlen az emberi méltóság, a szabadság, a demokrácia, az egyenlőség, a jogállamiság és az emberi jogok – ideértve a kisebbségekhez tartozó személyek jogait – tiszteletben tartásának uniós értékeivel, amint azt az EUSZ 2. cikke rögzíti; mivel az Unió ezen alapvető értékeinek előmozdítása és védelme az uniós intézményektől, a tagállamoktól és az elfogultság, előítéletek és intolerancia ellen küzdő egyéb releváns szereplőktől, valamint a gyűlölet</w:t>
      </w:r>
      <w:proofErr w:type="gramEnd"/>
      <w:r w:rsidRPr="00E7777B">
        <w:t xml:space="preserve"> </w:t>
      </w:r>
      <w:proofErr w:type="gramStart"/>
      <w:r w:rsidRPr="00E7777B">
        <w:t>felszámolásától</w:t>
      </w:r>
      <w:proofErr w:type="gramEnd"/>
      <w:r w:rsidRPr="00E7777B">
        <w:t xml:space="preserve"> függ;</w:t>
      </w:r>
    </w:p>
    <w:p w:rsidR="00F57F6B" w:rsidRPr="00E7777B" w:rsidRDefault="00F57F6B" w:rsidP="004C5757">
      <w:pPr>
        <w:pStyle w:val="NormalHanging12a"/>
        <w:widowControl/>
        <w:rPr>
          <w:szCs w:val="24"/>
        </w:rPr>
      </w:pPr>
      <w:proofErr w:type="gramStart"/>
      <w:r w:rsidRPr="00E7777B">
        <w:t>C.</w:t>
      </w:r>
      <w:r w:rsidRPr="00E7777B">
        <w:tab/>
        <w:t xml:space="preserve">mivel a gyűlöletbeszéd és a gyűlölet-bűncselekmények összetett és többdimenziós jelenségek, amelyek messzemenő következményekkel járnak az emberi jogokra és a jogállamiságra nézve a demokratikus társadalmakban; mivel az idegengyűlölet, a </w:t>
      </w:r>
      <w:r w:rsidRPr="00E7777B">
        <w:lastRenderedPageBreak/>
        <w:t>rasszizmus, a nőgyűlölet, a homofóbia, a transzfóbia és az előítéletek egyéb formái, az intolerancia, a megkülönböztetés, többek között a politikai vagy egyéb véleményeken alapuló megkülönböztetés, valamint az egyes egyénekkel vagy társadalmi csoportokkal szembeni gyűlölet elleni küzdelem megköveteli, hogy az EU és tagállamai az érintett érdekelt felekkel,</w:t>
      </w:r>
      <w:proofErr w:type="gramEnd"/>
      <w:r w:rsidRPr="00E7777B">
        <w:t xml:space="preserve"> </w:t>
      </w:r>
      <w:proofErr w:type="gramStart"/>
      <w:r w:rsidRPr="00E7777B">
        <w:t>köztük</w:t>
      </w:r>
      <w:proofErr w:type="gramEnd"/>
      <w:r w:rsidRPr="00E7777B">
        <w:t xml:space="preserve"> a civil társadalommal szoros együttműködésben átfogó válaszlépéseket dolgozzanak ki; mivel a bűncselekménnyé nyilvánítás a gyűlöletbeszéd és a gyűlölet-bűncselekmények elleni küzdelem egyik eszköze;</w:t>
      </w:r>
    </w:p>
    <w:p w:rsidR="00F57F6B" w:rsidRPr="00E7777B" w:rsidRDefault="00F57F6B" w:rsidP="004C5757">
      <w:pPr>
        <w:pStyle w:val="NormalHanging12a"/>
        <w:widowControl/>
        <w:rPr>
          <w:szCs w:val="24"/>
        </w:rPr>
      </w:pPr>
      <w:proofErr w:type="gramStart"/>
      <w:r w:rsidRPr="00E7777B">
        <w:t>D.</w:t>
      </w:r>
      <w:r w:rsidRPr="00E7777B">
        <w:tab/>
        <w:t>mivel az online és az offline gyűlöletbeszéd és gyűlölet-bűncselekmények elleni küzdelem többdimenziós megközelítést és adott esetben eltérő fellépési eszközöket igényel, beleértve a büntetőjogot, a polgári és közigazgatási eljárásokat, valamint egyéb jelentős szakpolitikákat vagy szociális intézkedéseket; mivel a tagállamok már elkötelezték magukat amellett, hogy olyan jogszabályokat és intézkedéseket fogadnak el, amelyek büntetik a gyűlölet-bűncselekményeket, kezelik az alacsony bejelentési arányt, és kapacitásépítési tevékenységeket vezetnek be vagy fejlesztenek tovább a bűnüldöző szervek</w:t>
      </w:r>
      <w:proofErr w:type="gramEnd"/>
      <w:r w:rsidRPr="00E7777B">
        <w:t xml:space="preserve"> </w:t>
      </w:r>
      <w:proofErr w:type="gramStart"/>
      <w:r w:rsidRPr="00E7777B">
        <w:t>tagjai és az igazságügyi tisztviselők számára</w:t>
      </w:r>
      <w:r w:rsidRPr="00E7777B">
        <w:rPr>
          <w:vertAlign w:val="superscript"/>
        </w:rPr>
        <w:footnoteReference w:id="6"/>
      </w:r>
      <w:r w:rsidRPr="00E7777B">
        <w:t>; mivel a gyűlöletbeszéd és a gyűlölet-bűncselekmények elleni hatékony küzdelem érdekében alapvető fontosságú azok kiváltó okainak, különösen a sztereotípiáknak a kezelése; mivel e tekintetben kulcsfontosságúak a megelőző intézkedések, az oktatás – beleértve a digitális oktatást is –, az írástudás és a biztonságos digitális terek előmozdítását lehetővé tevő készségek, a képzés és a figyelemfelkeltés; mivel az EU-nak és a tagállamoknak elő kell mozdítaniuk a sokféleség és a párbeszéd szükségességének jobb megértését a demokrácia, az emberi jogok és</w:t>
      </w:r>
      <w:proofErr w:type="gramEnd"/>
      <w:r w:rsidRPr="00E7777B">
        <w:t xml:space="preserve"> a jogállamiság </w:t>
      </w:r>
      <w:proofErr w:type="gramStart"/>
      <w:r w:rsidRPr="00E7777B">
        <w:t>kontextusában</w:t>
      </w:r>
      <w:proofErr w:type="gramEnd"/>
      <w:r w:rsidRPr="00E7777B">
        <w:t>, tudatosítaniuk kell a közvéleményben a pluralizmus tiszteletben tartásának fontosságát, valamint le kell küzdeniük a negatív sablonos ábrázolást és megbélyegzést;</w:t>
      </w:r>
    </w:p>
    <w:p w:rsidR="00F57F6B" w:rsidRPr="00E7777B" w:rsidRDefault="00F57F6B" w:rsidP="004C5757">
      <w:pPr>
        <w:pStyle w:val="NormalHanging12a"/>
        <w:widowControl/>
        <w:rPr>
          <w:szCs w:val="24"/>
        </w:rPr>
      </w:pPr>
      <w:r w:rsidRPr="00E7777B">
        <w:t>E.</w:t>
      </w:r>
      <w:r w:rsidRPr="00E7777B">
        <w:tab/>
      </w:r>
      <w:proofErr w:type="gramStart"/>
      <w:r w:rsidRPr="00E7777B">
        <w:t>mivel</w:t>
      </w:r>
      <w:proofErr w:type="gramEnd"/>
      <w:r w:rsidRPr="00E7777B">
        <w:t xml:space="preserve"> a gyűlöletbeszéd és a gyűlölet-bűncselekmények különösen súlyos bűncselekményeknek minősülhetnek, amelyek nemcsak az egyes áldozatokat és közösségeiket érintik azáltal, hogy szenvedést okoznak nekik és korlátozzák alapvető jogaikat és szabadságaikat, hanem a társadalom egészét is azáltal, hogy aláássák az EU alapjait;</w:t>
      </w:r>
    </w:p>
    <w:p w:rsidR="00F57F6B" w:rsidRPr="00E7777B" w:rsidRDefault="00F57F6B" w:rsidP="004C5757">
      <w:pPr>
        <w:pStyle w:val="NormalHanging12a"/>
        <w:widowControl/>
        <w:rPr>
          <w:szCs w:val="24"/>
        </w:rPr>
      </w:pPr>
      <w:r w:rsidRPr="00E7777B">
        <w:t>F.</w:t>
      </w:r>
      <w:r w:rsidRPr="00E7777B">
        <w:tab/>
        <w:t xml:space="preserve">mivel nem minden gyűlöletbeszéd minősül bűncselekménynek, mindazonáltal hozzájárul a gyűlölet, az erőszak és az </w:t>
      </w:r>
      <w:proofErr w:type="gramStart"/>
      <w:r w:rsidRPr="00E7777B">
        <w:t>intolerancia</w:t>
      </w:r>
      <w:proofErr w:type="gramEnd"/>
      <w:r w:rsidRPr="00E7777B">
        <w:t xml:space="preserve"> megnyilvánulásainak normalizálásához;</w:t>
      </w:r>
    </w:p>
    <w:p w:rsidR="00F57F6B" w:rsidRPr="00E7777B" w:rsidRDefault="00F57F6B" w:rsidP="004C5757">
      <w:pPr>
        <w:pStyle w:val="NormalHanging12a"/>
        <w:widowControl/>
      </w:pPr>
      <w:r w:rsidRPr="00E7777B">
        <w:t>G.</w:t>
      </w:r>
      <w:r w:rsidRPr="00E7777B">
        <w:tab/>
      </w:r>
      <w:proofErr w:type="gramStart"/>
      <w:r w:rsidRPr="00E7777B">
        <w:t>mivel az elmúlt évtizedekben EU-szerte egyre nőtt a gyűlölet-bűncselekmények, illetve a megkülönböztetés és a gyűlöletbeszéd előfordulása</w:t>
      </w:r>
      <w:r w:rsidRPr="00E7777B">
        <w:rPr>
          <w:rStyle w:val="FootnoteReference"/>
        </w:rPr>
        <w:footnoteReference w:id="7"/>
      </w:r>
      <w:r w:rsidRPr="00E7777B">
        <w:t xml:space="preserve">, a rasszizmus, az antiszemitizmus, az </w:t>
      </w:r>
      <w:proofErr w:type="spellStart"/>
      <w:r w:rsidRPr="00E7777B">
        <w:t>iszlamofóbia</w:t>
      </w:r>
      <w:proofErr w:type="spellEnd"/>
      <w:r w:rsidRPr="00E7777B">
        <w:t xml:space="preserve">, az idegengyűlölet, homofóbia, transzfóbia és az intolerancia egyéb formái, valamint riasztó méreteket ölt az online és offline </w:t>
      </w:r>
      <w:r w:rsidRPr="00E7777B">
        <w:lastRenderedPageBreak/>
        <w:t>gyűlöletbeszéd és az uszítás; mivel a veszélyeztetett csoportokhoz tartozó személyek, például az LMBTIQ+-személyek, a faji alapon megkülönböztetett személyek, az etnikai, vallási vagy nyelvi kisebbségek, az őslakos népek</w:t>
      </w:r>
      <w:r w:rsidRPr="00E7777B">
        <w:rPr>
          <w:vertAlign w:val="superscript"/>
        </w:rPr>
        <w:footnoteReference w:id="8"/>
      </w:r>
      <w:r w:rsidR="00C7529A" w:rsidRPr="00E7777B">
        <w:rPr>
          <w:vertAlign w:val="superscript"/>
        </w:rPr>
        <w:t>,</w:t>
      </w:r>
      <w:r w:rsidRPr="00E7777B">
        <w:rPr>
          <w:rStyle w:val="FootnoteReference"/>
        </w:rPr>
        <w:footnoteReference w:id="9"/>
      </w:r>
      <w:r w:rsidRPr="00E7777B">
        <w:t>, a fogyatékossággal élők, a társadalmi-gazdasági szempontból</w:t>
      </w:r>
      <w:proofErr w:type="gramEnd"/>
      <w:r w:rsidRPr="00E7777B">
        <w:t xml:space="preserve"> </w:t>
      </w:r>
      <w:proofErr w:type="gramStart"/>
      <w:r w:rsidRPr="00E7777B">
        <w:t>hátrányos</w:t>
      </w:r>
      <w:proofErr w:type="gramEnd"/>
      <w:r w:rsidRPr="00E7777B">
        <w:t xml:space="preserve"> helyzetű személyek, a menedékkérők, a menekültek és a migránsok a gyűlöletbeszéd és a gyűlölet-bűncselekmények visszatérő célpontjai; mivel Európában jelentősen nőtt az LMBTIQ-ellenes gyűlölet-bűncselekmények és gyűlöletbeszéd előfordulása</w:t>
      </w:r>
      <w:r w:rsidRPr="00E7777B">
        <w:rPr>
          <w:vertAlign w:val="superscript"/>
        </w:rPr>
        <w:footnoteReference w:id="10"/>
      </w:r>
      <w:r w:rsidRPr="00E7777B">
        <w:t xml:space="preserve">, valamint a hátrányos megkülönböztetés és a nőgyűlölet; mivel a többszörös és </w:t>
      </w:r>
      <w:proofErr w:type="spellStart"/>
      <w:r w:rsidRPr="00E7777B">
        <w:t>interszekcionális</w:t>
      </w:r>
      <w:proofErr w:type="spellEnd"/>
      <w:r w:rsidRPr="00E7777B">
        <w:t xml:space="preserve"> megkülönböztetés a gyűlöletbeszéd és gyűlölet-bűncselekmények táptalaja; mivel a gyűlöletbeszéd célpontjai egyre inkább kiszorulnak a társadalomból;</w:t>
      </w:r>
    </w:p>
    <w:p w:rsidR="00F57F6B" w:rsidRPr="00E7777B" w:rsidRDefault="00F57F6B" w:rsidP="004C5757">
      <w:pPr>
        <w:pStyle w:val="NormalHanging12a"/>
        <w:widowControl/>
        <w:rPr>
          <w:szCs w:val="24"/>
        </w:rPr>
      </w:pPr>
      <w:r w:rsidRPr="00E7777B">
        <w:t>H.</w:t>
      </w:r>
      <w:r w:rsidRPr="00E7777B">
        <w:tab/>
        <w:t xml:space="preserve">mivel a hátrányos megkülönböztetés és a </w:t>
      </w:r>
      <w:proofErr w:type="gramStart"/>
      <w:r w:rsidRPr="00E7777B">
        <w:t>gyűlölet növekvő</w:t>
      </w:r>
      <w:proofErr w:type="gramEnd"/>
      <w:r w:rsidRPr="00E7777B">
        <w:t xml:space="preserve"> problémáját számos tagállamban súlyosbítják a szélsőséges és populista mozgalmak, valamint az online környezet és a közösségi média nagyító hatása, amely az újbóli áldozattá válásnak kedvez; mivel ez a növekedés veszélyes megosztottsághoz vezet a társadalom egészében, és veszélyezteti a demokráciát;</w:t>
      </w:r>
    </w:p>
    <w:p w:rsidR="00F57F6B" w:rsidRPr="00E7777B" w:rsidRDefault="00F57F6B" w:rsidP="004C5757">
      <w:pPr>
        <w:pStyle w:val="NormalHanging12a"/>
        <w:widowControl/>
        <w:rPr>
          <w:szCs w:val="24"/>
        </w:rPr>
      </w:pPr>
      <w:r w:rsidRPr="00E7777B">
        <w:t>I.</w:t>
      </w:r>
      <w:r w:rsidRPr="00E7777B">
        <w:tab/>
        <w:t>mivel az EU-ban a gyűlöletbeszédnek és a gyűlöletből fakadó cselekményeknek továbbra is bizonyíthatóan alacsony a bejelentési aránya</w:t>
      </w:r>
      <w:r w:rsidRPr="00E7777B">
        <w:rPr>
          <w:vertAlign w:val="superscript"/>
        </w:rPr>
        <w:footnoteReference w:id="11"/>
      </w:r>
      <w:r w:rsidRPr="00E7777B">
        <w:t xml:space="preserve">, ami megnehezíti a </w:t>
      </w:r>
      <w:proofErr w:type="gramStart"/>
      <w:r w:rsidRPr="00E7777B">
        <w:t>probléma</w:t>
      </w:r>
      <w:proofErr w:type="gramEnd"/>
      <w:r w:rsidRPr="00E7777B">
        <w:t xml:space="preserve"> mértékének </w:t>
      </w:r>
      <w:proofErr w:type="spellStart"/>
      <w:r w:rsidRPr="00E7777B">
        <w:t>számszerűsítését</w:t>
      </w:r>
      <w:proofErr w:type="spellEnd"/>
      <w:r w:rsidRPr="00E7777B">
        <w:t>;</w:t>
      </w:r>
    </w:p>
    <w:p w:rsidR="00F57F6B" w:rsidRPr="00E7777B" w:rsidRDefault="00F57F6B" w:rsidP="004C5757">
      <w:pPr>
        <w:pStyle w:val="NormalHanging12a"/>
        <w:widowControl/>
        <w:rPr>
          <w:szCs w:val="24"/>
        </w:rPr>
      </w:pPr>
      <w:r w:rsidRPr="00E7777B">
        <w:t>J.</w:t>
      </w:r>
      <w:r w:rsidRPr="00E7777B">
        <w:tab/>
      </w:r>
      <w:proofErr w:type="gramStart"/>
      <w:r w:rsidRPr="00E7777B">
        <w:t>mivel</w:t>
      </w:r>
      <w:proofErr w:type="gramEnd"/>
      <w:r w:rsidRPr="00E7777B">
        <w:t xml:space="preserve"> a média és az újságírók alapvető szerepet játszanak a társadalom tájékoztatásában és a demokratikus folyamatok elősegítésében;</w:t>
      </w:r>
    </w:p>
    <w:p w:rsidR="00F57F6B" w:rsidRPr="00E7777B" w:rsidRDefault="00F57F6B" w:rsidP="004C5757">
      <w:pPr>
        <w:pStyle w:val="NormalHanging12a"/>
        <w:widowControl/>
        <w:rPr>
          <w:szCs w:val="24"/>
        </w:rPr>
      </w:pPr>
      <w:r w:rsidRPr="00E7777B">
        <w:t>K.</w:t>
      </w:r>
      <w:r w:rsidRPr="00E7777B">
        <w:tab/>
      </w:r>
      <w:proofErr w:type="gramStart"/>
      <w:r w:rsidRPr="00E7777B">
        <w:t xml:space="preserve">mivel a politikai diskurzust egyre inkább a gyűlöletbeszéd </w:t>
      </w:r>
      <w:proofErr w:type="spellStart"/>
      <w:r w:rsidRPr="00E7777B">
        <w:t>jellemzi</w:t>
      </w:r>
      <w:proofErr w:type="spellEnd"/>
      <w:r w:rsidRPr="00E7777B">
        <w:t>; mivel a választási kampányok különösen táptalajként szolgálnak a gyűlöletbeszédnek és a gyűlöletre uszításnak, ami nemcsak a politikai szférára gyakorol hatást, hanem a társadalom egészének működésére is, és elmélyíti a politikai polarizációt; mivel a közéleti szerepet betöltő nők elleni gyűlöletbeszéd riasztó méreteket ölt; mivel a politikai vezetőknek jelentős szerepük és felelősségük van a gyűlöletbeszéd és az intolerancia elleni küzdelemben; mivel jó példával kell elöl járniuk, és nyilvánosan el kell ítélniük a gyűlöletből</w:t>
      </w:r>
      <w:proofErr w:type="gramEnd"/>
      <w:r w:rsidRPr="00E7777B">
        <w:t xml:space="preserve"> </w:t>
      </w:r>
      <w:proofErr w:type="gramStart"/>
      <w:r w:rsidRPr="00E7777B">
        <w:t>fakadó</w:t>
      </w:r>
      <w:proofErr w:type="gramEnd"/>
      <w:r w:rsidRPr="00E7777B">
        <w:t xml:space="preserve"> cselekményeket;</w:t>
      </w:r>
    </w:p>
    <w:p w:rsidR="00F57F6B" w:rsidRPr="00E7777B" w:rsidRDefault="00F57F6B" w:rsidP="004C5757">
      <w:pPr>
        <w:pStyle w:val="NormalHanging12a"/>
        <w:widowControl/>
        <w:rPr>
          <w:szCs w:val="24"/>
        </w:rPr>
      </w:pPr>
      <w:r w:rsidRPr="00E7777B">
        <w:t>L.</w:t>
      </w:r>
      <w:r w:rsidRPr="00E7777B">
        <w:tab/>
        <w:t xml:space="preserve">mivel a kiskorúak különösen kiszolgáltatott áldozatai a gyűlöletbeszédnek és a gyűlölet-bűncselekményeknek, többek között az iskolákban vagy online, az internetes </w:t>
      </w:r>
      <w:r w:rsidRPr="00E7777B">
        <w:lastRenderedPageBreak/>
        <w:t xml:space="preserve">megfélemlítés révén; mivel az ilyen támadások veszélyeztetik testi és lelki épségüket, valamint hatással vannak fejlődésükre és </w:t>
      </w:r>
      <w:proofErr w:type="gramStart"/>
      <w:r w:rsidRPr="00E7777B">
        <w:t>mentális</w:t>
      </w:r>
      <w:proofErr w:type="gramEnd"/>
      <w:r w:rsidRPr="00E7777B">
        <w:t xml:space="preserve"> egészségükre; mivel ezért különös figyelmet kell fordítani rájuk;</w:t>
      </w:r>
    </w:p>
    <w:p w:rsidR="00F57F6B" w:rsidRPr="00E7777B" w:rsidRDefault="00F57F6B" w:rsidP="004C5757">
      <w:pPr>
        <w:pStyle w:val="NormalHanging12a"/>
        <w:widowControl/>
        <w:rPr>
          <w:szCs w:val="24"/>
        </w:rPr>
      </w:pPr>
      <w:r w:rsidRPr="00E7777B">
        <w:t>M.</w:t>
      </w:r>
      <w:r w:rsidRPr="00E7777B">
        <w:tab/>
        <w:t xml:space="preserve">mivel a tagállamok büntetőjogaikban nem azonos módon kezelik a gyűlöletbeszédet és a gyűlölet-bűncselekményeket, és emiatt bizonyos csoportok az Unió egyes részein nem részesülnek megfelelő védelemben; mivel ez megnehezíti a gyűlöletbeszéd és a gyűlölet-bűncselekmények elleni küzdelem közös európai megközelítésének meghatározását; mivel a jogi védelem hiánya </w:t>
      </w:r>
      <w:proofErr w:type="gramStart"/>
      <w:r w:rsidRPr="00E7777B">
        <w:t>katasztrofális</w:t>
      </w:r>
      <w:proofErr w:type="gramEnd"/>
      <w:r w:rsidRPr="00E7777B">
        <w:t xml:space="preserve"> következményekkel járhat az áldozatokra nézve;</w:t>
      </w:r>
    </w:p>
    <w:p w:rsidR="00F57F6B" w:rsidRPr="00E7777B" w:rsidRDefault="00F57F6B" w:rsidP="004C5757">
      <w:pPr>
        <w:pStyle w:val="NormalHanging12a"/>
        <w:widowControl/>
        <w:rPr>
          <w:szCs w:val="24"/>
        </w:rPr>
      </w:pPr>
      <w:r w:rsidRPr="00E7777B">
        <w:t>N.</w:t>
      </w:r>
      <w:r w:rsidRPr="00E7777B">
        <w:tab/>
      </w:r>
      <w:proofErr w:type="gramStart"/>
      <w:r w:rsidRPr="00E7777B">
        <w:t>mivel a jelenlegi uniós keretrendszer csak a fajon, bőrszínen, valláson, származáson és nemzeti vagy etnikai hovatartozáson alapuló gyűlöletbeszédre és gyűlölet-bűncselekményekre terjed ki; mivel uniós szinten jelenleg nincs átfogó közös jogi meghatározása a gyűlöletbeszédnek és a gyűlölet-bűncselekményeknek; mivel egyértelműen szükség van arra, hogy hatékonyan foglalkozzunk az olyan gyűlöletbeszéddel és gyűlölet-bűncselekményekkel is, amelyek például a nemen, szexuális irányultságon, társadalmi nemen, nemi identitáson, nemi önkifejezésen, nemi jellegen, életkoron, fogyatékosságon vagy bármely</w:t>
      </w:r>
      <w:proofErr w:type="gramEnd"/>
      <w:r w:rsidRPr="00E7777B">
        <w:t xml:space="preserve"> – különösen a Charta 21. cikke szerint védelmet élvező – más alapvető jellemzőn, illetve az ilyen jellemzők kombinációján alapulnak; mivel az EU-nak meg kell védenie a társadalom leginkább veszélyeztetett helyzetben lévő tagjait; mivel az áldozatok védelmére gyakorolt negatív hatás elkerülése érdekében különös figyelmet kell fordítani a gyűlöletbeszédnek és a gyűlölet-bűncselekményeknek leginkább kitett személyek, csoportok vagy közösségek azonosítására;</w:t>
      </w:r>
    </w:p>
    <w:p w:rsidR="00F57F6B" w:rsidRPr="00E7777B" w:rsidRDefault="00F57F6B" w:rsidP="004C5757">
      <w:pPr>
        <w:pStyle w:val="NormalHanging12a"/>
        <w:widowControl/>
        <w:rPr>
          <w:szCs w:val="24"/>
        </w:rPr>
      </w:pPr>
      <w:r w:rsidRPr="00E7777B">
        <w:t>O.</w:t>
      </w:r>
      <w:r w:rsidRPr="00E7777B">
        <w:tab/>
        <w:t>mivel az EUMSZ 83. cikkének (1) bekezdése egyértelmű követelményeket állapít meg a bűncselekmények új területeinek a határokon átnyúló uniós bűncselekmények listájára való felvételére vonatkozóan; mivel az online gyűlöletbeszéd határokon átnyúló dimenziója egyértelmű; mivel a digitális átállás rávilágít e jelenség európai szintű kezelésének szükségességére; mivel a gyűlöletbeszéd és a gyűlölet-bűncselekmények elleni küzdelmet közös alapokra és uniós szintre kell helyezni; mivel az EU felelőssége, hogy cselekedjen;</w:t>
      </w:r>
    </w:p>
    <w:p w:rsidR="00F57F6B" w:rsidRPr="00E7777B" w:rsidRDefault="00F57F6B" w:rsidP="004C5757">
      <w:pPr>
        <w:pStyle w:val="NormalHanging12a"/>
        <w:widowControl/>
        <w:rPr>
          <w:szCs w:val="24"/>
        </w:rPr>
      </w:pPr>
      <w:proofErr w:type="gramStart"/>
      <w:r w:rsidRPr="00E7777B">
        <w:t>P.</w:t>
      </w:r>
      <w:r w:rsidRPr="00E7777B">
        <w:tab/>
        <w:t xml:space="preserve">mivel az uniós büntetőjog gyűlöletbeszédre és gyűlölet-bűncselekményekre adott válaszlépésének határozottnak és arányosnak kell lennie, valamint azt a célnak megfelelően kell kialakítani annak érdekében, hogy kellően védje az áldozatot és megfelelő hangsúlyt adjon a demokrácia </w:t>
      </w:r>
      <w:proofErr w:type="spellStart"/>
      <w:r w:rsidRPr="00E7777B">
        <w:t>sarokköveit</w:t>
      </w:r>
      <w:proofErr w:type="spellEnd"/>
      <w:r w:rsidRPr="00E7777B">
        <w:t xml:space="preserve"> jelentő véleménynyilvánítás szabadságának és az információszabadságnak; mivel az EU-nak garantálnia kell, hogy a tagállamok illetékes hatóságai a gyűlöletbeszéd megelőzése és visszaszorítása érdekében ne élhessenek vissza a véleménynyilvánítás szabadságának korlátozásával a kisebbségek elhallgattatása vagy</w:t>
      </w:r>
      <w:proofErr w:type="gramEnd"/>
      <w:r w:rsidRPr="00E7777B">
        <w:t xml:space="preserve"> </w:t>
      </w:r>
      <w:proofErr w:type="gramStart"/>
      <w:r w:rsidRPr="00E7777B">
        <w:t>a</w:t>
      </w:r>
      <w:proofErr w:type="gramEnd"/>
      <w:r w:rsidRPr="00E7777B">
        <w:t xml:space="preserve"> kritikus hangok elfojtása céljából; mivel az Emberi Jogok Európai Bíróságának a véleménynyilvánítás szabadságával kapcsolatos ítéleteit tiszteletben kell tartani a gyűlöletbeszéd elleni védelem kiépítésekor;</w:t>
      </w:r>
    </w:p>
    <w:p w:rsidR="00F57F6B" w:rsidRPr="00E7777B" w:rsidRDefault="00F57F6B" w:rsidP="004C5757">
      <w:pPr>
        <w:pStyle w:val="NormalHanging12a"/>
        <w:widowControl/>
        <w:rPr>
          <w:szCs w:val="24"/>
        </w:rPr>
      </w:pPr>
      <w:r w:rsidRPr="00E7777B">
        <w:t>Q.</w:t>
      </w:r>
      <w:r w:rsidRPr="00E7777B">
        <w:tab/>
        <w:t xml:space="preserve">mivel a gyűlöletbeszéd és a gyűlölet-bűncselekmények elleni küzdelem során védelmet élvező alapvető jogok mindenekelőtt az emberi méltóság és a megkülönböztetés tilalmának elve; mivel ennek a védelemnek egyetemesnek kell lennie; mivel a fajon, nemzeti származáson, szexuális irányultságon, valláson, ideológián, életkoron, véleményen vagy bármely más személyes, fizikai vagy szociális állapoton vagy </w:t>
      </w:r>
      <w:r w:rsidRPr="00E7777B">
        <w:lastRenderedPageBreak/>
        <w:t xml:space="preserve">körülményen alapuló </w:t>
      </w:r>
      <w:proofErr w:type="gramStart"/>
      <w:r w:rsidRPr="00E7777B">
        <w:t>intolerancia</w:t>
      </w:r>
      <w:proofErr w:type="gramEnd"/>
      <w:r w:rsidRPr="00E7777B">
        <w:t xml:space="preserve"> elleni védelem – függetlenül annak kifejezési formájától – nem korlátozódhat bizonyos indokokra vagy motivációkra;</w:t>
      </w:r>
    </w:p>
    <w:p w:rsidR="00F57F6B" w:rsidRPr="00E7777B" w:rsidRDefault="00F57F6B" w:rsidP="004C5757">
      <w:pPr>
        <w:pStyle w:val="NormalHanging12a"/>
        <w:widowControl/>
        <w:rPr>
          <w:szCs w:val="24"/>
        </w:rPr>
      </w:pPr>
      <w:r w:rsidRPr="00E7777B">
        <w:t>R.</w:t>
      </w:r>
      <w:r w:rsidRPr="00E7777B">
        <w:tab/>
      </w:r>
      <w:proofErr w:type="gramStart"/>
      <w:r w:rsidRPr="00E7777B">
        <w:t>mivel</w:t>
      </w:r>
      <w:proofErr w:type="gramEnd"/>
      <w:r w:rsidRPr="00E7777B">
        <w:t xml:space="preserve"> a társadalmi dinamikában bekövetkező változások következtében új motivációk születhetnek a gyűlöletbeszéd és a gyűlölet-bűncselekmények tekintetében, amelyekkel egy közös uniós keretben kell foglalkozni, ezért szükséges kibővíteni az EUMSZ uniós bűncselekmények listáját meghatározó 83. cikkének (1) bekezdését;</w:t>
      </w:r>
    </w:p>
    <w:p w:rsidR="00F57F6B" w:rsidRPr="00E7777B" w:rsidRDefault="00F57F6B" w:rsidP="004C5757">
      <w:pPr>
        <w:pStyle w:val="NormalHanging12a"/>
        <w:widowControl/>
      </w:pPr>
      <w:r w:rsidRPr="00E7777B">
        <w:t>S.</w:t>
      </w:r>
      <w:r w:rsidRPr="00E7777B">
        <w:tab/>
      </w:r>
      <w:proofErr w:type="gramStart"/>
      <w:r w:rsidRPr="00E7777B">
        <w:t>mivel 2021-ben a Bizottság közleményt nyújtott be „Inkluzívabb és védelmezőbb Európa: az uniós bűncselekmények listájának kibővítése a gyűlöletbeszéddel és a gyűlölet-bűncselekményekkel” címmel, azzal a céllal, hogy a gyűlölet-bűncselekményeket és a gyűlöletbeszédet felvegyék azon bűncselekmények listájára, amelyeken a Parlament és a Tanács az EUMSZ 83. cikkének (1) bekezdésében előírtak szerint az összes uniós tagállamban alkalmazandó minimumszabályokat állapíthat meg a bűncselekmények és szankciók meghatározására vonatkozóan; mivel a Tanácsnak e tekintetben határozatot kell elfogadnia;</w:t>
      </w:r>
      <w:proofErr w:type="gramEnd"/>
    </w:p>
    <w:p w:rsidR="00F57F6B" w:rsidRPr="00E7777B" w:rsidRDefault="00F57F6B" w:rsidP="004C5757">
      <w:pPr>
        <w:pStyle w:val="NormalHanging12a"/>
        <w:widowControl/>
        <w:rPr>
          <w:szCs w:val="24"/>
        </w:rPr>
      </w:pPr>
      <w:r w:rsidRPr="00E7777B">
        <w:t>T.</w:t>
      </w:r>
      <w:r w:rsidRPr="00E7777B">
        <w:tab/>
      </w:r>
      <w:proofErr w:type="gramStart"/>
      <w:r w:rsidRPr="00E7777B">
        <w:t>mivel ez a tanácsi határozat lenne az első lépés a szükséges jogalap megteremtéséhez, hogy második lépésként elfogadhassák a gyűlöletbeszéd és a gyűlölet-bűncselekmények elleni uniós szintű küzdelem közös jogi keretét; mivel egy ilyen közös jogi keretre sürgősen szükség van a bűncselekmények és szankciók meghatározására vonatkozó minimumszabályok megállapítása, és ezáltal a gyűlöletbeszéd és a gyűlöletbűncselekmények elleni közös európai alapon történő fellépés érdekében, hogy a gyűlölet-bűncselekmények és a gyűlöletbeszéd potenciális áldozatai számára az egész Unióban következetes védelmet lehessen</w:t>
      </w:r>
      <w:proofErr w:type="gramEnd"/>
      <w:r w:rsidRPr="00E7777B">
        <w:t xml:space="preserve"> </w:t>
      </w:r>
      <w:proofErr w:type="gramStart"/>
      <w:r w:rsidRPr="00E7777B">
        <w:t>biztosítani</w:t>
      </w:r>
      <w:proofErr w:type="gramEnd"/>
      <w:r w:rsidRPr="00E7777B">
        <w:t>;</w:t>
      </w:r>
    </w:p>
    <w:p w:rsidR="00F57F6B" w:rsidRPr="00E7777B" w:rsidRDefault="00F57F6B" w:rsidP="004C5757">
      <w:pPr>
        <w:pStyle w:val="NormalHanging12a"/>
        <w:widowControl/>
      </w:pPr>
      <w:r w:rsidRPr="00E7777B">
        <w:t>U.</w:t>
      </w:r>
      <w:r w:rsidRPr="00E7777B">
        <w:tab/>
        <w:t xml:space="preserve">mivel a Tanács még nem hozott határozatot; mivel egyes tagállamok megakadályozták a konkrét előrelépést ebben az </w:t>
      </w:r>
      <w:proofErr w:type="gramStart"/>
      <w:r w:rsidRPr="00E7777B">
        <w:t>ügyben</w:t>
      </w:r>
      <w:proofErr w:type="gramEnd"/>
      <w:r w:rsidRPr="00E7777B">
        <w:t xml:space="preserve"> a Tanácsban;</w:t>
      </w:r>
    </w:p>
    <w:p w:rsidR="00F57F6B" w:rsidRPr="00E7777B" w:rsidRDefault="00F57F6B" w:rsidP="004C5757">
      <w:pPr>
        <w:pStyle w:val="NormalHanging12a"/>
        <w:widowControl/>
        <w:rPr>
          <w:szCs w:val="24"/>
        </w:rPr>
      </w:pPr>
      <w:r w:rsidRPr="00E7777B">
        <w:t>V.</w:t>
      </w:r>
      <w:r w:rsidRPr="00E7777B">
        <w:tab/>
        <w:t xml:space="preserve">mivel az EUMSZ 83. cikkének (1) bekezdése előírja, hogy a Tanács </w:t>
      </w:r>
      <w:proofErr w:type="gramStart"/>
      <w:r w:rsidRPr="00E7777B">
        <w:t>egyhangúlag</w:t>
      </w:r>
      <w:proofErr w:type="gramEnd"/>
      <w:r w:rsidRPr="00E7777B">
        <w:t xml:space="preserve"> határoz az „egyéb bűncselekményi területek” megállapítása tekintetében; mivel ez a követelmény hátrányosnak bizonyult a gyűlöletbeszéd és a gyűlölet-bűncselekmények elleni uniós szintű küzdelemben való szükséges közös előrelépés szempontjából;</w:t>
      </w:r>
    </w:p>
    <w:p w:rsidR="00F57F6B" w:rsidRPr="00E7777B" w:rsidRDefault="00F57F6B" w:rsidP="004C5757">
      <w:pPr>
        <w:pStyle w:val="NormalHanging12a"/>
        <w:widowControl/>
        <w:rPr>
          <w:szCs w:val="24"/>
        </w:rPr>
      </w:pPr>
      <w:r w:rsidRPr="00E7777B">
        <w:t>1.</w:t>
      </w:r>
      <w:r w:rsidRPr="00E7777B">
        <w:tab/>
        <w:t>sürgeti a Tanácsot, hogy fogadjon el határozatot a gyűlöletbeszédnek és a gyűlölet-bűncselekménynek az EUMSZ 83. cikkének (1) bekezdése szerinti listán szereplő bűncselekmények közé történő felvételéről, hogy a Bizottság kezdeményezhesse az eljárás második szakaszát;</w:t>
      </w:r>
    </w:p>
    <w:p w:rsidR="00F57F6B" w:rsidRPr="00E7777B" w:rsidRDefault="00F57F6B" w:rsidP="004C5757">
      <w:pPr>
        <w:pStyle w:val="NormalHanging12a"/>
        <w:widowControl/>
        <w:rPr>
          <w:szCs w:val="24"/>
        </w:rPr>
      </w:pPr>
      <w:r w:rsidRPr="00E7777B">
        <w:t>2.</w:t>
      </w:r>
      <w:r w:rsidRPr="00E7777B">
        <w:tab/>
        <w:t>emlékeztet arra, hogy a tagállamok büntetőjogi szabályozása eltérő módon kezeli a gyűlöletbeszédet és a gyűlölet-bűncselekményeket, és hogy a meglévő harmonizált minimumszabályok csak abban az esetben alkalmazhatóak, ha az ilyen csoporttal vagy egyénnel szembeni bűncselekményeket faji alapon vagy bőrszín, vallás és nemzeti vagy etnikai származás alapján követik el, ami megnehezíti a gyűlölet elleni hatékony küzdelemre irányuló sikeres közös stratégia végrehajtását;</w:t>
      </w:r>
    </w:p>
    <w:p w:rsidR="00F57F6B" w:rsidRPr="00E7777B" w:rsidRDefault="00F57F6B" w:rsidP="004C5757">
      <w:pPr>
        <w:pStyle w:val="NormalHanging12a"/>
        <w:widowControl/>
        <w:rPr>
          <w:szCs w:val="24"/>
        </w:rPr>
      </w:pPr>
      <w:r w:rsidRPr="00E7777B">
        <w:t>3.</w:t>
      </w:r>
      <w:r w:rsidRPr="00E7777B">
        <w:tab/>
        <w:t>rendkívül sajnálatosnak tartja, hogy a bizottsági közlemény közzététele óta csaknem két év telt el, és hogy a Tanács nem tett előrelépést ezen a téren, miközben egyéb célok érdekében gyorsan ki tudta bővíteni az uniós bűncselekmények listáját; sajnálatának ad hangot e tétlenség miatt a gyűlöletbeszéd és a gyűlölet-bűncselekmények számának növekedése fényében;</w:t>
      </w:r>
    </w:p>
    <w:p w:rsidR="00F57F6B" w:rsidRPr="00E7777B" w:rsidRDefault="00F57F6B" w:rsidP="004C5757">
      <w:pPr>
        <w:pStyle w:val="NormalHanging12a"/>
        <w:widowControl/>
      </w:pPr>
      <w:r w:rsidRPr="00E7777B">
        <w:lastRenderedPageBreak/>
        <w:t>4.</w:t>
      </w:r>
      <w:r w:rsidRPr="00E7777B">
        <w:tab/>
        <w:t xml:space="preserve">felkéri a tagállamokat, hogy felelősségteljesen és </w:t>
      </w:r>
      <w:proofErr w:type="gramStart"/>
      <w:r w:rsidRPr="00E7777B">
        <w:t>konstruktívan</w:t>
      </w:r>
      <w:proofErr w:type="gramEnd"/>
      <w:r w:rsidRPr="00E7777B">
        <w:t xml:space="preserve"> működjenek együtt a Tanácson belüli tárgyalások folytatása érdekében, hogy még a jelenlegi parlamenti ciklus vége előtt tanácsi határozatot fogadjanak el;</w:t>
      </w:r>
    </w:p>
    <w:p w:rsidR="00F57F6B" w:rsidRPr="00E7777B" w:rsidRDefault="00F57F6B" w:rsidP="004C5757">
      <w:pPr>
        <w:pStyle w:val="NormalHanging12a"/>
        <w:widowControl/>
        <w:rPr>
          <w:szCs w:val="24"/>
        </w:rPr>
      </w:pPr>
      <w:r w:rsidRPr="00E7777B">
        <w:t>5.</w:t>
      </w:r>
      <w:r w:rsidRPr="00E7777B">
        <w:tab/>
      </w:r>
      <w:proofErr w:type="spellStart"/>
      <w:r w:rsidRPr="00E7777B">
        <w:t>ösztönzi</w:t>
      </w:r>
      <w:proofErr w:type="spellEnd"/>
      <w:r w:rsidRPr="00E7777B">
        <w:t xml:space="preserve"> a tagállamokat, hogy támogassák, de legalább ne ellenezzék a határozattervezet elfogadását;</w:t>
      </w:r>
    </w:p>
    <w:p w:rsidR="00F57F6B" w:rsidRPr="00E7777B" w:rsidRDefault="00F57F6B" w:rsidP="004C5757">
      <w:pPr>
        <w:pStyle w:val="NormalHanging12a"/>
        <w:widowControl/>
      </w:pPr>
      <w:r w:rsidRPr="00E7777B">
        <w:t>6.</w:t>
      </w:r>
      <w:r w:rsidRPr="00E7777B">
        <w:tab/>
        <w:t>felszólítja az Európai Unió Tanácsának jelenlegi és jövőbeli elnökségeit, hogy napirendjük összeállításakor és a célkitűzések meghatározásakor kezeljék prioritásként a Bizottság javaslatát;</w:t>
      </w:r>
    </w:p>
    <w:p w:rsidR="00F57F6B" w:rsidRPr="00E7777B" w:rsidRDefault="00F57F6B" w:rsidP="004C5757">
      <w:pPr>
        <w:pStyle w:val="NormalHanging12a"/>
        <w:widowControl/>
        <w:rPr>
          <w:szCs w:val="24"/>
        </w:rPr>
      </w:pPr>
      <w:r w:rsidRPr="00E7777B">
        <w:t>7.</w:t>
      </w:r>
      <w:r w:rsidRPr="00E7777B">
        <w:tab/>
        <w:t xml:space="preserve">javasolja az EUMSZ 83. cikkének módosítását annak érdekében, hogy az a jelenleg megkövetelt egyhangúság helyett a megerősített minősített többséghez legyen kötve; kéri, hogy e tekintetben aktiválják az áthidaló </w:t>
      </w:r>
      <w:proofErr w:type="gramStart"/>
      <w:r w:rsidRPr="00E7777B">
        <w:t>klauzulát</w:t>
      </w:r>
      <w:proofErr w:type="gramEnd"/>
      <w:r w:rsidRPr="00E7777B">
        <w:t>;</w:t>
      </w:r>
    </w:p>
    <w:p w:rsidR="00F57F6B" w:rsidRPr="00E7777B" w:rsidRDefault="00F57F6B" w:rsidP="004C5757">
      <w:pPr>
        <w:pStyle w:val="NormalHanging12a"/>
        <w:widowControl/>
      </w:pPr>
      <w:r w:rsidRPr="00E7777B">
        <w:t>8.</w:t>
      </w:r>
      <w:r w:rsidRPr="00E7777B">
        <w:tab/>
        <w:t xml:space="preserve">hangsúlyozza, hogy a gyűlöletbeszéddel és gyűlölet-bűncselekményekkel kapcsolatos bűncselekmények és szankciók meghatározására vonatkozó minimumszabályokat megállapító jövőbeli uniós jogszabályoknak védeniük kell az emberi méltóságot, törekedniük kell a károkozás megelőzésére, az egyenlőség biztosítására, valamint a gyűlölet és az </w:t>
      </w:r>
      <w:proofErr w:type="gramStart"/>
      <w:r w:rsidRPr="00E7777B">
        <w:t>intolerancia</w:t>
      </w:r>
      <w:proofErr w:type="gramEnd"/>
      <w:r w:rsidRPr="00E7777B">
        <w:t xml:space="preserve"> elleni küzdelemre, függetlenül az indítéktól;</w:t>
      </w:r>
    </w:p>
    <w:p w:rsidR="00F57F6B" w:rsidRPr="00E7777B" w:rsidRDefault="00F57F6B" w:rsidP="004C5757">
      <w:pPr>
        <w:pStyle w:val="NormalHanging12a"/>
        <w:widowControl/>
        <w:rPr>
          <w:szCs w:val="24"/>
        </w:rPr>
      </w:pPr>
      <w:r w:rsidRPr="00E7777B">
        <w:t>9.</w:t>
      </w:r>
      <w:r w:rsidRPr="00E7777B">
        <w:tab/>
        <w:t>emlékeztet arra, hogy a védelemnek egyetemesnek kell lennie, különös tekintettel a célpontnak számító személyekre, valamint a veszélyeztetett csoportokra és közösségekre;</w:t>
      </w:r>
    </w:p>
    <w:p w:rsidR="00F57F6B" w:rsidRPr="00E7777B" w:rsidRDefault="00F57F6B" w:rsidP="004C5757">
      <w:pPr>
        <w:pStyle w:val="NormalHanging12a"/>
        <w:widowControl/>
        <w:rPr>
          <w:szCs w:val="24"/>
        </w:rPr>
      </w:pPr>
      <w:r w:rsidRPr="00E7777B">
        <w:t>10.</w:t>
      </w:r>
      <w:r w:rsidRPr="00E7777B">
        <w:tab/>
        <w:t>emlékeztet arra, hogy a véleménynyilvánítás szabadsága a demokratikus társadalmak alapvető értéke, amelyet nem szabad indokolatlanul korlátozni; emlékeztet továbbá arra, hogy a gyűlöletbeszédre és a gyűlölet-bűncselekményekre vonatkozó jogszabályoknak a szükségesség és az arányosság elvén kell alapulniuk; hangsúlyozza, hogy a véleménynyilvánítás szabadságát a törvény szerint és a Charta 11. cikkével összhangban kell gyakorolni, és azt nem szabad a gyűlöletbeszéd és gyűlölet-bűncselekmények védelmére használni;</w:t>
      </w:r>
    </w:p>
    <w:p w:rsidR="00F57F6B" w:rsidRPr="00E7777B" w:rsidRDefault="00F57F6B" w:rsidP="004C5757">
      <w:pPr>
        <w:pStyle w:val="NormalHanging12a"/>
        <w:widowControl/>
        <w:rPr>
          <w:szCs w:val="24"/>
        </w:rPr>
      </w:pPr>
      <w:r w:rsidRPr="00E7777B">
        <w:t>11.</w:t>
      </w:r>
      <w:r w:rsidRPr="00E7777B">
        <w:tab/>
        <w:t xml:space="preserve">kéri a Bizottságot, hogy a gyűlöletbeszéd, valamint az új és változó társadalmi dinamika által motivált gyűlölet-bűncselekmények elleni hatékony küzdelem érdekében fontolja meg egy olyan nyitott megközelítés alkalmazását, amely a </w:t>
      </w:r>
      <w:proofErr w:type="gramStart"/>
      <w:r w:rsidRPr="00E7777B">
        <w:t>diszkrimináció</w:t>
      </w:r>
      <w:proofErr w:type="gramEnd"/>
      <w:r w:rsidRPr="00E7777B">
        <w:t xml:space="preserve"> indokait nem korlátozza egy zárt listára;</w:t>
      </w:r>
    </w:p>
    <w:p w:rsidR="00F57F6B" w:rsidRPr="00E7777B" w:rsidRDefault="00F57F6B" w:rsidP="004C5757">
      <w:pPr>
        <w:pStyle w:val="NormalHanging12a"/>
        <w:widowControl/>
      </w:pPr>
      <w:r w:rsidRPr="00E7777B">
        <w:t>12.</w:t>
      </w:r>
      <w:r w:rsidRPr="00E7777B">
        <w:tab/>
        <w:t xml:space="preserve">hangsúlyozza, hogy az internettel való visszaélés és a közösségimédia-platformok </w:t>
      </w:r>
      <w:proofErr w:type="spellStart"/>
      <w:r w:rsidRPr="00E7777B">
        <w:t>mikrotargetált</w:t>
      </w:r>
      <w:proofErr w:type="spellEnd"/>
      <w:r w:rsidRPr="00E7777B">
        <w:t xml:space="preserve"> hirdetéseken alapuló üzleti modellje hozzájárulnak a gyűlöletbeszéd terjesztéséhez és felerősítéséhez, a megkülönböztetés és az erőszak szításához, és növelik az újbóli áldozattá válás kockázatát; felkéri a Bizottságot és a tagállamokat, hogy biztosítsák a jelenlegi jogszabályok, például az (EU) 2022/2065 rendelet</w:t>
      </w:r>
      <w:r w:rsidRPr="00E7777B">
        <w:rPr>
          <w:rStyle w:val="FootnoteReference"/>
        </w:rPr>
        <w:footnoteReference w:id="12"/>
      </w:r>
      <w:r w:rsidRPr="00E7777B">
        <w:t xml:space="preserve"> megfelelő végrehajtását, és használjanak fel minden rendelkezésükre álló eszközt az online gyűlöletbeszéd terjesztésének megakadályozására;</w:t>
      </w:r>
    </w:p>
    <w:p w:rsidR="00F57F6B" w:rsidRPr="00E7777B" w:rsidRDefault="00F57F6B" w:rsidP="004C5757">
      <w:pPr>
        <w:pStyle w:val="NormalHanging12a"/>
        <w:widowControl/>
        <w:rPr>
          <w:szCs w:val="24"/>
        </w:rPr>
      </w:pPr>
      <w:r w:rsidRPr="00E7777B">
        <w:t>13.</w:t>
      </w:r>
      <w:r w:rsidRPr="00E7777B">
        <w:tab/>
        <w:t xml:space="preserve">emlékeztet a közigazgatási szervek felelősségére a gyűlöletbeszéd és a gyűlölet-bűncselekmények megelőzése, kivizsgálása, büntetőeljárás alá vonása és bejelentése </w:t>
      </w:r>
      <w:r w:rsidRPr="00E7777B">
        <w:lastRenderedPageBreak/>
        <w:t xml:space="preserve">terén, és hogy ennek során figyelembe kell venniük a gyűlöletre utaló tényeket; hangsúlyozza, hogy a jövőbeli uniós jogszabályoknak támogatniuk </w:t>
      </w:r>
      <w:proofErr w:type="gramStart"/>
      <w:r w:rsidRPr="00E7777B">
        <w:t>kell</w:t>
      </w:r>
      <w:proofErr w:type="gramEnd"/>
      <w:r w:rsidRPr="00E7777B">
        <w:t xml:space="preserve"> és elő kell mozdítaniuk a civil társadalommal, az egyenlőséggel foglalkozó szervekkel és a nemzeti emberi jogi intézményekkel való szoros együttműködést;</w:t>
      </w:r>
    </w:p>
    <w:p w:rsidR="00F57F6B" w:rsidRPr="00E7777B" w:rsidRDefault="00F57F6B" w:rsidP="004C5757">
      <w:pPr>
        <w:pStyle w:val="NormalHanging12a"/>
        <w:widowControl/>
      </w:pPr>
      <w:r w:rsidRPr="00E7777B">
        <w:t>14.</w:t>
      </w:r>
      <w:r w:rsidRPr="00E7777B">
        <w:tab/>
        <w:t xml:space="preserve">felhívja a Bizottságot és a tagállamokat, hogy fordítsanak különös figyelmet a kiskorúakra – beleértve a veszélyeztetett csoportok tagjait –, hogy különleges védelmet biztosítsanak számukra a gyűlöletbeszéddel és a gyűlölet-bűncselekményekkel, többek között az iskolai bántalmazással és az internetes megfélemlítéssel szemben, hogy megelőzzék az ilyen cselekmények előfordulását, és minimalizálják azok kiskorúak fejlődésére és </w:t>
      </w:r>
      <w:proofErr w:type="gramStart"/>
      <w:r w:rsidRPr="00E7777B">
        <w:t>mentális</w:t>
      </w:r>
      <w:proofErr w:type="gramEnd"/>
      <w:r w:rsidRPr="00E7777B">
        <w:t xml:space="preserve"> egészségére gyakorolt hatását;</w:t>
      </w:r>
    </w:p>
    <w:p w:rsidR="00F57F6B" w:rsidRPr="00E7777B" w:rsidRDefault="00F57F6B" w:rsidP="004C5757">
      <w:pPr>
        <w:pStyle w:val="NormalHanging12a"/>
        <w:widowControl/>
        <w:rPr>
          <w:szCs w:val="24"/>
        </w:rPr>
      </w:pPr>
      <w:proofErr w:type="gramStart"/>
      <w:r w:rsidRPr="00E7777B">
        <w:t>15.</w:t>
      </w:r>
      <w:r w:rsidRPr="00E7777B">
        <w:tab/>
        <w:t xml:space="preserve">felkéri a Bizottságot annak biztosítására, hogy az áldozatok, és különösen az EU-szerte veszélyeztetett helyzetben lévő csoportok hatékony védelme érdekében szilárd uniós jogi védelmi keretet vezessen be; hangsúlyozza, hogy </w:t>
      </w:r>
      <w:proofErr w:type="spellStart"/>
      <w:r w:rsidRPr="00E7777B">
        <w:t>interszekcionális</w:t>
      </w:r>
      <w:proofErr w:type="spellEnd"/>
      <w:r w:rsidRPr="00E7777B">
        <w:t xml:space="preserve"> megközelítés alkalmazására, valamint átfogó intézkedések elfogadására van szükség, beleértve képzések nyújtását az áldozatokkal valószínűleg kapcsolatba kerülő szakemberek számára, valamint a védelmet, a független igazságszolgáltatáshoz való biztonságos hozzáférést, a speciális támogató szolgáltatásokat és az áldozatok jóvátételét biztosító intézkedéseket;</w:t>
      </w:r>
      <w:proofErr w:type="gramEnd"/>
      <w:r w:rsidRPr="00E7777B">
        <w:t xml:space="preserve"> </w:t>
      </w:r>
      <w:proofErr w:type="gramStart"/>
      <w:r w:rsidRPr="00E7777B">
        <w:t>hangsúlyozza</w:t>
      </w:r>
      <w:proofErr w:type="gramEnd"/>
      <w:r w:rsidRPr="00E7777B">
        <w:t xml:space="preserve">, hogy az áldozatoknak képesnek kell lenniük arra, hogy a velük történteket </w:t>
      </w:r>
      <w:proofErr w:type="spellStart"/>
      <w:r w:rsidRPr="00E7777B">
        <w:t>bejelentsék</w:t>
      </w:r>
      <w:proofErr w:type="spellEnd"/>
      <w:r w:rsidRPr="00E7777B">
        <w:t xml:space="preserve"> az illetékes hatóságoknak, és védelemben részesüljenek; emlékeztet arra, hogy az áldozatok jogi védelmének biztosítása olyan biztonságos környezetet teremtene, amely hozzájárulna a gyűlöletbeszéd és a gyűlölet-bűncselekmények dokumentálásához szükséges gyakoribb jelentéstételhez;</w:t>
      </w:r>
    </w:p>
    <w:p w:rsidR="00F57F6B" w:rsidRPr="00E7777B" w:rsidRDefault="00F57F6B" w:rsidP="004C5757">
      <w:pPr>
        <w:pStyle w:val="NormalHanging12a"/>
        <w:widowControl/>
        <w:rPr>
          <w:szCs w:val="24"/>
        </w:rPr>
      </w:pPr>
      <w:proofErr w:type="gramStart"/>
      <w:r w:rsidRPr="00E7777B">
        <w:t>16.</w:t>
      </w:r>
      <w:r w:rsidRPr="00E7777B">
        <w:tab/>
        <w:t xml:space="preserve">felszólítja a Bizottságot és a tagállamokat, hogy az illetékes uniós szervekekel és ügynökségekkel együttműködve, a vonatkozó nemzeti jogi keretekkel és az uniós adatvédelmi jogszabályokkal összhangban hozzanak létre megfelelő adatgyűjtési rendszereket a gyűlöletcselekményekre, köztük a gyűlölet-bűncselekményekre vonatkozó megbízható, összehasonlítható, lebontott és </w:t>
      </w:r>
      <w:proofErr w:type="spellStart"/>
      <w:r w:rsidRPr="00E7777B">
        <w:t>anonimizált</w:t>
      </w:r>
      <w:proofErr w:type="spellEnd"/>
      <w:r w:rsidRPr="00E7777B">
        <w:t xml:space="preserve"> adatok gyűjtésére, valamint megfelelő ellenőrzési mechanizmusokat az összegyűjtött adatok általános elérhetőségének, összehasonlíthatóságának és minőségének javítás érdekében, valamint annak értékelésére, hogy a jogszabályok</w:t>
      </w:r>
      <w:proofErr w:type="gramEnd"/>
      <w:r w:rsidRPr="00E7777B">
        <w:t xml:space="preserve"> </w:t>
      </w:r>
      <w:proofErr w:type="gramStart"/>
      <w:r w:rsidRPr="00E7777B">
        <w:t>és</w:t>
      </w:r>
      <w:proofErr w:type="gramEnd"/>
      <w:r w:rsidRPr="00E7777B">
        <w:t xml:space="preserve"> szakpolitikák milyen hatást gyakorolnak a gyűlöletbeszéd és a gyűlölet-bűncselekmények elleni küzdelemre;</w:t>
      </w:r>
    </w:p>
    <w:p w:rsidR="00F57F6B" w:rsidRPr="0010730A" w:rsidRDefault="00F57F6B" w:rsidP="00E7777B">
      <w:pPr>
        <w:pStyle w:val="NormalHanging12a"/>
        <w:widowControl/>
      </w:pPr>
      <w:r w:rsidRPr="00E7777B">
        <w:t>17.</w:t>
      </w:r>
      <w:r w:rsidRPr="00E7777B">
        <w:tab/>
        <w:t>utasítja elnökét, hogy továbbítsa ezt az állásfoglalást a Tanácsnak és a Bizottságnak.</w:t>
      </w:r>
    </w:p>
    <w:sectPr w:rsidR="00F57F6B" w:rsidRPr="0010730A" w:rsidSect="001073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6FA" w:rsidRPr="0010730A" w:rsidRDefault="003976FA">
      <w:r w:rsidRPr="0010730A">
        <w:separator/>
      </w:r>
    </w:p>
  </w:endnote>
  <w:endnote w:type="continuationSeparator" w:id="0">
    <w:p w:rsidR="003976FA" w:rsidRPr="0010730A" w:rsidRDefault="003976FA">
      <w:r w:rsidRPr="001073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3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3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3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6FA" w:rsidRPr="0010730A" w:rsidRDefault="003976FA">
      <w:r w:rsidRPr="0010730A">
        <w:separator/>
      </w:r>
    </w:p>
  </w:footnote>
  <w:footnote w:type="continuationSeparator" w:id="0">
    <w:p w:rsidR="003976FA" w:rsidRPr="0010730A" w:rsidRDefault="003976FA">
      <w:r w:rsidRPr="0010730A">
        <w:continuationSeparator/>
      </w:r>
    </w:p>
  </w:footnote>
  <w:footnote w:id="1">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HL L 328., 2008.12.6</w:t>
      </w:r>
      <w:proofErr w:type="gramStart"/>
      <w:r w:rsidRPr="0010730A">
        <w:rPr>
          <w:sz w:val="24"/>
          <w:lang w:val="hu-HU"/>
        </w:rPr>
        <w:t>.,</w:t>
      </w:r>
      <w:proofErr w:type="gramEnd"/>
      <w:r w:rsidRPr="0010730A">
        <w:rPr>
          <w:sz w:val="24"/>
          <w:lang w:val="hu-HU"/>
        </w:rPr>
        <w:t xml:space="preserve"> 55. o.</w:t>
      </w:r>
    </w:p>
  </w:footnote>
  <w:footnote w:id="2">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HL C 425., 2021.10.20</w:t>
      </w:r>
      <w:proofErr w:type="gramStart"/>
      <w:r w:rsidRPr="0010730A">
        <w:rPr>
          <w:sz w:val="24"/>
          <w:lang w:val="hu-HU"/>
        </w:rPr>
        <w:t>.,</w:t>
      </w:r>
      <w:proofErr w:type="gramEnd"/>
      <w:r w:rsidRPr="0010730A">
        <w:rPr>
          <w:sz w:val="24"/>
          <w:lang w:val="hu-HU"/>
        </w:rPr>
        <w:t xml:space="preserve"> 28. o.</w:t>
      </w:r>
    </w:p>
  </w:footnote>
  <w:footnote w:id="3">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HL C 117., 2022.3.11</w:t>
      </w:r>
      <w:proofErr w:type="gramStart"/>
      <w:r w:rsidRPr="0010730A">
        <w:rPr>
          <w:sz w:val="24"/>
          <w:lang w:val="hu-HU"/>
        </w:rPr>
        <w:t>.,</w:t>
      </w:r>
      <w:proofErr w:type="gramEnd"/>
      <w:r w:rsidRPr="0010730A">
        <w:rPr>
          <w:sz w:val="24"/>
          <w:lang w:val="hu-HU"/>
        </w:rPr>
        <w:t xml:space="preserve"> 88. o.</w:t>
      </w:r>
    </w:p>
  </w:footnote>
  <w:footnote w:id="4">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HL C 363., 2020.10.28</w:t>
      </w:r>
      <w:proofErr w:type="gramStart"/>
      <w:r w:rsidRPr="0010730A">
        <w:rPr>
          <w:sz w:val="24"/>
          <w:lang w:val="hu-HU"/>
        </w:rPr>
        <w:t>.,</w:t>
      </w:r>
      <w:proofErr w:type="gramEnd"/>
      <w:r w:rsidRPr="0010730A">
        <w:rPr>
          <w:sz w:val="24"/>
          <w:lang w:val="hu-HU"/>
        </w:rPr>
        <w:t xml:space="preserve"> 13. o.</w:t>
      </w:r>
    </w:p>
  </w:footnote>
  <w:footnote w:id="5">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 xml:space="preserve">A Bíróság 1996. április 30-i ítélete, P kontra S és </w:t>
      </w:r>
      <w:proofErr w:type="spellStart"/>
      <w:r w:rsidRPr="0010730A">
        <w:rPr>
          <w:sz w:val="24"/>
          <w:lang w:val="hu-HU"/>
        </w:rPr>
        <w:t>Cornwall</w:t>
      </w:r>
      <w:proofErr w:type="spellEnd"/>
      <w:r w:rsidRPr="0010730A">
        <w:rPr>
          <w:sz w:val="24"/>
          <w:lang w:val="hu-HU"/>
        </w:rPr>
        <w:t xml:space="preserve"> </w:t>
      </w:r>
      <w:proofErr w:type="spellStart"/>
      <w:r w:rsidRPr="0010730A">
        <w:rPr>
          <w:sz w:val="24"/>
          <w:lang w:val="hu-HU"/>
        </w:rPr>
        <w:t>County</w:t>
      </w:r>
      <w:proofErr w:type="spellEnd"/>
      <w:r w:rsidRPr="0010730A">
        <w:rPr>
          <w:sz w:val="24"/>
          <w:lang w:val="hu-HU"/>
        </w:rPr>
        <w:t xml:space="preserve"> </w:t>
      </w:r>
      <w:proofErr w:type="spellStart"/>
      <w:r w:rsidRPr="0010730A">
        <w:rPr>
          <w:sz w:val="24"/>
          <w:lang w:val="hu-HU"/>
        </w:rPr>
        <w:t>Council</w:t>
      </w:r>
      <w:proofErr w:type="spellEnd"/>
      <w:r w:rsidRPr="0010730A">
        <w:rPr>
          <w:sz w:val="24"/>
          <w:lang w:val="hu-HU"/>
        </w:rPr>
        <w:t>, C-13/94, ECLI</w:t>
      </w:r>
      <w:proofErr w:type="gramStart"/>
      <w:r w:rsidRPr="0010730A">
        <w:rPr>
          <w:sz w:val="24"/>
          <w:lang w:val="hu-HU"/>
        </w:rPr>
        <w:t>:EU</w:t>
      </w:r>
      <w:proofErr w:type="gramEnd"/>
      <w:r w:rsidRPr="0010730A">
        <w:rPr>
          <w:sz w:val="24"/>
          <w:lang w:val="hu-HU"/>
        </w:rPr>
        <w:t xml:space="preserve">:C:1996:170; a Bíróság 2004. január 7-i ítélete, K. </w:t>
      </w:r>
      <w:proofErr w:type="gramStart"/>
      <w:r w:rsidRPr="0010730A">
        <w:rPr>
          <w:sz w:val="24"/>
          <w:lang w:val="hu-HU"/>
        </w:rPr>
        <w:t xml:space="preserve">B. kontra Nemzeti Egészségügyi Szolgálat Nyugdíjügynökség és az egészségügyi miniszter, C-117/01, ECLI:EU:C:2004:7; a Bíróság 2006. április 27-i ítélete, </w:t>
      </w:r>
      <w:proofErr w:type="spellStart"/>
      <w:r w:rsidRPr="0010730A">
        <w:rPr>
          <w:sz w:val="24"/>
          <w:lang w:val="hu-HU"/>
        </w:rPr>
        <w:t>Sarah</w:t>
      </w:r>
      <w:proofErr w:type="spellEnd"/>
      <w:r w:rsidRPr="0010730A">
        <w:rPr>
          <w:sz w:val="24"/>
          <w:lang w:val="hu-HU"/>
        </w:rPr>
        <w:t xml:space="preserve"> Margaret Richards kontra munka- és nyugdíjügyi miniszter, C-423/04, ECLI:EU:C:2006:256;a Bíróság 2018. június 26-i ítélete, M. B. kontra munka- és nyugdíjügyi miniszter, C-451/16, ECLI:EU:C:2018:492.</w:t>
      </w:r>
      <w:proofErr w:type="gramEnd"/>
    </w:p>
  </w:footnote>
  <w:footnote w:id="6">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Az EBESZ Demokratikus Intézmények és Emberi Jogok Hivatalának a gyűlölet-bűncselekményekre vonatkozó éves adatai.</w:t>
      </w:r>
    </w:p>
  </w:footnote>
  <w:footnote w:id="7">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proofErr w:type="gramStart"/>
      <w:r w:rsidRPr="0010730A">
        <w:rPr>
          <w:sz w:val="24"/>
          <w:lang w:val="hu-HU"/>
        </w:rPr>
        <w:t>Lásd például az ECRI tevékenységéről szóló, a 2019. január 1. és december 31. közötti időszakra vonatkozó éves jelentést és az ECRI tevékenységéről szóló, a 2020. január 1. és december 31. közötti időszakra vonatkozó éves jelentést, valamint az Európai Parlament Állampolgári Jogi és Alkotmányügyi Tematikus Főosztálya megbízásából készült „</w:t>
      </w:r>
      <w:proofErr w:type="spellStart"/>
      <w:r w:rsidRPr="0010730A">
        <w:rPr>
          <w:sz w:val="24"/>
          <w:lang w:val="hu-HU"/>
        </w:rPr>
        <w:t>Hate</w:t>
      </w:r>
      <w:proofErr w:type="spellEnd"/>
      <w:r w:rsidRPr="0010730A">
        <w:rPr>
          <w:sz w:val="24"/>
          <w:lang w:val="hu-HU"/>
        </w:rPr>
        <w:t xml:space="preserve"> </w:t>
      </w:r>
      <w:proofErr w:type="spellStart"/>
      <w:r w:rsidRPr="0010730A">
        <w:rPr>
          <w:sz w:val="24"/>
          <w:lang w:val="hu-HU"/>
        </w:rPr>
        <w:t>speech</w:t>
      </w:r>
      <w:proofErr w:type="spellEnd"/>
      <w:r w:rsidRPr="0010730A">
        <w:rPr>
          <w:sz w:val="24"/>
          <w:lang w:val="hu-HU"/>
        </w:rPr>
        <w:t xml:space="preserve"> and </w:t>
      </w:r>
      <w:proofErr w:type="spellStart"/>
      <w:r w:rsidRPr="0010730A">
        <w:rPr>
          <w:sz w:val="24"/>
          <w:lang w:val="hu-HU"/>
        </w:rPr>
        <w:t>hate</w:t>
      </w:r>
      <w:proofErr w:type="spellEnd"/>
      <w:r w:rsidRPr="0010730A">
        <w:rPr>
          <w:sz w:val="24"/>
          <w:lang w:val="hu-HU"/>
        </w:rPr>
        <w:t xml:space="preserve"> </w:t>
      </w:r>
      <w:proofErr w:type="spellStart"/>
      <w:r w:rsidRPr="0010730A">
        <w:rPr>
          <w:sz w:val="24"/>
          <w:lang w:val="hu-HU"/>
        </w:rPr>
        <w:t>crime</w:t>
      </w:r>
      <w:proofErr w:type="spellEnd"/>
      <w:r w:rsidRPr="0010730A">
        <w:rPr>
          <w:sz w:val="24"/>
          <w:lang w:val="hu-HU"/>
        </w:rPr>
        <w:t xml:space="preserve"> in </w:t>
      </w:r>
      <w:proofErr w:type="spellStart"/>
      <w:r w:rsidRPr="0010730A">
        <w:rPr>
          <w:sz w:val="24"/>
          <w:lang w:val="hu-HU"/>
        </w:rPr>
        <w:t>the</w:t>
      </w:r>
      <w:proofErr w:type="spellEnd"/>
      <w:r w:rsidRPr="0010730A">
        <w:rPr>
          <w:sz w:val="24"/>
          <w:lang w:val="hu-HU"/>
        </w:rPr>
        <w:t xml:space="preserve"> EU and </w:t>
      </w:r>
      <w:proofErr w:type="spellStart"/>
      <w:r w:rsidRPr="0010730A">
        <w:rPr>
          <w:sz w:val="24"/>
          <w:lang w:val="hu-HU"/>
        </w:rPr>
        <w:t>the</w:t>
      </w:r>
      <w:proofErr w:type="spellEnd"/>
      <w:r w:rsidRPr="0010730A">
        <w:rPr>
          <w:sz w:val="24"/>
          <w:lang w:val="hu-HU"/>
        </w:rPr>
        <w:t xml:space="preserve"> </w:t>
      </w:r>
      <w:proofErr w:type="spellStart"/>
      <w:r w:rsidRPr="0010730A">
        <w:rPr>
          <w:sz w:val="24"/>
          <w:lang w:val="hu-HU"/>
        </w:rPr>
        <w:t>evaluation</w:t>
      </w:r>
      <w:proofErr w:type="spellEnd"/>
      <w:r w:rsidRPr="0010730A">
        <w:rPr>
          <w:sz w:val="24"/>
          <w:lang w:val="hu-HU"/>
        </w:rPr>
        <w:t xml:space="preserve"> of online </w:t>
      </w:r>
      <w:proofErr w:type="spellStart"/>
      <w:r w:rsidRPr="0010730A">
        <w:rPr>
          <w:sz w:val="24"/>
          <w:lang w:val="hu-HU"/>
        </w:rPr>
        <w:t>content</w:t>
      </w:r>
      <w:proofErr w:type="spellEnd"/>
      <w:r w:rsidRPr="0010730A">
        <w:rPr>
          <w:sz w:val="24"/>
          <w:lang w:val="hu-HU"/>
        </w:rPr>
        <w:t xml:space="preserve"> </w:t>
      </w:r>
      <w:proofErr w:type="spellStart"/>
      <w:r w:rsidRPr="0010730A">
        <w:rPr>
          <w:sz w:val="24"/>
          <w:lang w:val="hu-HU"/>
        </w:rPr>
        <w:t>regulation</w:t>
      </w:r>
      <w:proofErr w:type="spellEnd"/>
      <w:r w:rsidRPr="0010730A">
        <w:rPr>
          <w:sz w:val="24"/>
          <w:lang w:val="hu-HU"/>
        </w:rPr>
        <w:t xml:space="preserve"> </w:t>
      </w:r>
      <w:proofErr w:type="spellStart"/>
      <w:r w:rsidRPr="0010730A">
        <w:rPr>
          <w:sz w:val="24"/>
          <w:lang w:val="hu-HU"/>
        </w:rPr>
        <w:t>approaches</w:t>
      </w:r>
      <w:proofErr w:type="spellEnd"/>
      <w:r w:rsidRPr="0010730A">
        <w:rPr>
          <w:sz w:val="24"/>
          <w:lang w:val="hu-HU"/>
        </w:rPr>
        <w:t>” (Gyűlöletbeszéd és gyűlölet-bűncselekmények az EU-ban és az online tartalmak szabályozására irányuló megközelítések értékelése) című, 2020 júliusában kiadott tanulmányt.</w:t>
      </w:r>
      <w:proofErr w:type="gramEnd"/>
    </w:p>
  </w:footnote>
  <w:footnote w:id="8">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proofErr w:type="spellStart"/>
      <w:r w:rsidRPr="0010730A">
        <w:rPr>
          <w:sz w:val="24"/>
          <w:lang w:val="hu-HU"/>
        </w:rPr>
        <w:t>Lingaas</w:t>
      </w:r>
      <w:proofErr w:type="spellEnd"/>
      <w:r w:rsidRPr="0010730A">
        <w:rPr>
          <w:sz w:val="24"/>
          <w:lang w:val="hu-HU"/>
        </w:rPr>
        <w:t>, C., „</w:t>
      </w:r>
      <w:proofErr w:type="spellStart"/>
      <w:r w:rsidRPr="0010730A">
        <w:fldChar w:fldCharType="begin"/>
      </w:r>
      <w:r w:rsidRPr="0010730A">
        <w:rPr>
          <w:sz w:val="24"/>
          <w:lang w:val="hu-HU"/>
        </w:rPr>
        <w:instrText xml:space="preserve"> HYPERLINK "https://www.idunn.no/doi/10.18261/issn.2387-3299-2021-02-02" </w:instrText>
      </w:r>
      <w:r w:rsidRPr="0010730A">
        <w:fldChar w:fldCharType="separate"/>
      </w:r>
      <w:r w:rsidRPr="0010730A">
        <w:rPr>
          <w:rStyle w:val="Hyperlink"/>
          <w:sz w:val="24"/>
          <w:lang w:val="hu-HU"/>
        </w:rPr>
        <w:t>Hate</w:t>
      </w:r>
      <w:proofErr w:type="spellEnd"/>
      <w:r w:rsidRPr="0010730A">
        <w:rPr>
          <w:rStyle w:val="Hyperlink"/>
          <w:sz w:val="24"/>
          <w:lang w:val="hu-HU"/>
        </w:rPr>
        <w:t xml:space="preserve"> </w:t>
      </w:r>
      <w:proofErr w:type="spellStart"/>
      <w:r w:rsidRPr="0010730A">
        <w:rPr>
          <w:rStyle w:val="Hyperlink"/>
          <w:sz w:val="24"/>
          <w:lang w:val="hu-HU"/>
        </w:rPr>
        <w:t>Speech</w:t>
      </w:r>
      <w:proofErr w:type="spellEnd"/>
      <w:r w:rsidRPr="0010730A">
        <w:rPr>
          <w:rStyle w:val="Hyperlink"/>
          <w:sz w:val="24"/>
          <w:lang w:val="hu-HU"/>
        </w:rPr>
        <w:t xml:space="preserve"> and </w:t>
      </w:r>
      <w:proofErr w:type="spellStart"/>
      <w:r w:rsidRPr="0010730A">
        <w:rPr>
          <w:rStyle w:val="Hyperlink"/>
          <w:sz w:val="24"/>
          <w:lang w:val="hu-HU"/>
        </w:rPr>
        <w:t>Racialised</w:t>
      </w:r>
      <w:proofErr w:type="spellEnd"/>
      <w:r w:rsidRPr="0010730A">
        <w:rPr>
          <w:rStyle w:val="Hyperlink"/>
          <w:sz w:val="24"/>
          <w:lang w:val="hu-HU"/>
        </w:rPr>
        <w:t xml:space="preserve"> </w:t>
      </w:r>
      <w:proofErr w:type="spellStart"/>
      <w:r w:rsidRPr="0010730A">
        <w:rPr>
          <w:rStyle w:val="Hyperlink"/>
          <w:sz w:val="24"/>
          <w:lang w:val="hu-HU"/>
        </w:rPr>
        <w:t>Discrimination</w:t>
      </w:r>
      <w:proofErr w:type="spellEnd"/>
      <w:r w:rsidRPr="0010730A">
        <w:rPr>
          <w:rStyle w:val="Hyperlink"/>
          <w:sz w:val="24"/>
          <w:lang w:val="hu-HU"/>
        </w:rPr>
        <w:t xml:space="preserve"> of </w:t>
      </w:r>
      <w:proofErr w:type="spellStart"/>
      <w:r w:rsidRPr="0010730A">
        <w:rPr>
          <w:rStyle w:val="Hyperlink"/>
          <w:sz w:val="24"/>
          <w:lang w:val="hu-HU"/>
        </w:rPr>
        <w:t>the</w:t>
      </w:r>
      <w:proofErr w:type="spellEnd"/>
      <w:r w:rsidRPr="0010730A">
        <w:rPr>
          <w:rStyle w:val="Hyperlink"/>
          <w:sz w:val="24"/>
          <w:lang w:val="hu-HU"/>
        </w:rPr>
        <w:t xml:space="preserve"> </w:t>
      </w:r>
      <w:proofErr w:type="spellStart"/>
      <w:r w:rsidRPr="0010730A">
        <w:rPr>
          <w:rStyle w:val="Hyperlink"/>
          <w:sz w:val="24"/>
          <w:lang w:val="hu-HU"/>
        </w:rPr>
        <w:t>Norwegian</w:t>
      </w:r>
      <w:proofErr w:type="spellEnd"/>
      <w:r w:rsidRPr="0010730A">
        <w:rPr>
          <w:rStyle w:val="Hyperlink"/>
          <w:sz w:val="24"/>
          <w:lang w:val="hu-HU"/>
        </w:rPr>
        <w:t xml:space="preserve"> </w:t>
      </w:r>
      <w:proofErr w:type="spellStart"/>
      <w:r w:rsidRPr="0010730A">
        <w:rPr>
          <w:rStyle w:val="Hyperlink"/>
          <w:sz w:val="24"/>
          <w:lang w:val="hu-HU"/>
        </w:rPr>
        <w:t>Sámi</w:t>
      </w:r>
      <w:proofErr w:type="spellEnd"/>
      <w:r w:rsidRPr="0010730A">
        <w:rPr>
          <w:rStyle w:val="Hyperlink"/>
          <w:sz w:val="24"/>
          <w:lang w:val="hu-HU"/>
        </w:rPr>
        <w:t xml:space="preserve">: </w:t>
      </w:r>
      <w:proofErr w:type="spellStart"/>
      <w:r w:rsidRPr="0010730A">
        <w:rPr>
          <w:rStyle w:val="Hyperlink"/>
          <w:sz w:val="24"/>
          <w:lang w:val="hu-HU"/>
        </w:rPr>
        <w:t>Legal</w:t>
      </w:r>
      <w:proofErr w:type="spellEnd"/>
      <w:r w:rsidRPr="0010730A">
        <w:rPr>
          <w:rStyle w:val="Hyperlink"/>
          <w:sz w:val="24"/>
          <w:lang w:val="hu-HU"/>
        </w:rPr>
        <w:t xml:space="preserve"> </w:t>
      </w:r>
      <w:proofErr w:type="spellStart"/>
      <w:r w:rsidRPr="0010730A">
        <w:rPr>
          <w:rStyle w:val="Hyperlink"/>
          <w:sz w:val="24"/>
          <w:lang w:val="hu-HU"/>
        </w:rPr>
        <w:t>Responses</w:t>
      </w:r>
      <w:proofErr w:type="spellEnd"/>
      <w:r w:rsidRPr="0010730A">
        <w:rPr>
          <w:rStyle w:val="Hyperlink"/>
          <w:sz w:val="24"/>
          <w:lang w:val="hu-HU"/>
        </w:rPr>
        <w:t xml:space="preserve"> and </w:t>
      </w:r>
      <w:proofErr w:type="spellStart"/>
      <w:r w:rsidRPr="0010730A">
        <w:rPr>
          <w:rStyle w:val="Hyperlink"/>
          <w:sz w:val="24"/>
          <w:lang w:val="hu-HU"/>
        </w:rPr>
        <w:t>Responsibility</w:t>
      </w:r>
      <w:proofErr w:type="spellEnd"/>
      <w:r w:rsidRPr="0010730A">
        <w:rPr>
          <w:rStyle w:val="Hyperlink"/>
          <w:sz w:val="24"/>
          <w:lang w:val="hu-HU"/>
        </w:rPr>
        <w:fldChar w:fldCharType="end"/>
      </w:r>
      <w:r w:rsidRPr="0010730A">
        <w:rPr>
          <w:sz w:val="24"/>
          <w:lang w:val="hu-HU"/>
        </w:rPr>
        <w:t xml:space="preserve">” (Gyűlöletbeszéd és a norvégiai számik faji alapú megkülönböztetése: jogi válaszlépések és felelősség), </w:t>
      </w:r>
      <w:r w:rsidRPr="0010730A">
        <w:rPr>
          <w:i/>
          <w:sz w:val="24"/>
          <w:lang w:val="hu-HU"/>
        </w:rPr>
        <w:t xml:space="preserve">Oslo Law </w:t>
      </w:r>
      <w:proofErr w:type="spellStart"/>
      <w:r w:rsidRPr="0010730A">
        <w:rPr>
          <w:i/>
          <w:sz w:val="24"/>
          <w:lang w:val="hu-HU"/>
        </w:rPr>
        <w:t>Review</w:t>
      </w:r>
      <w:proofErr w:type="spellEnd"/>
      <w:r w:rsidRPr="0010730A">
        <w:rPr>
          <w:sz w:val="24"/>
          <w:lang w:val="hu-HU"/>
        </w:rPr>
        <w:t xml:space="preserve">, </w:t>
      </w:r>
      <w:proofErr w:type="spellStart"/>
      <w:r w:rsidRPr="0010730A">
        <w:rPr>
          <w:sz w:val="24"/>
          <w:lang w:val="hu-HU"/>
        </w:rPr>
        <w:t>Vol</w:t>
      </w:r>
      <w:proofErr w:type="spellEnd"/>
      <w:r w:rsidRPr="0010730A">
        <w:rPr>
          <w:sz w:val="24"/>
          <w:lang w:val="hu-HU"/>
        </w:rPr>
        <w:t xml:space="preserve">. 8, </w:t>
      </w:r>
      <w:proofErr w:type="gramStart"/>
      <w:r w:rsidRPr="0010730A">
        <w:rPr>
          <w:sz w:val="24"/>
          <w:lang w:val="hu-HU"/>
        </w:rPr>
        <w:t>No</w:t>
      </w:r>
      <w:proofErr w:type="gramEnd"/>
      <w:r w:rsidRPr="0010730A">
        <w:rPr>
          <w:sz w:val="24"/>
          <w:lang w:val="hu-HU"/>
        </w:rPr>
        <w:t xml:space="preserve"> 2, 2021, pp. 88-107. </w:t>
      </w:r>
    </w:p>
  </w:footnote>
  <w:footnote w:id="9">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 xml:space="preserve">Civil </w:t>
      </w:r>
      <w:proofErr w:type="spellStart"/>
      <w:r w:rsidRPr="0010730A">
        <w:rPr>
          <w:sz w:val="24"/>
          <w:lang w:val="hu-HU"/>
        </w:rPr>
        <w:t>Rights</w:t>
      </w:r>
      <w:proofErr w:type="spellEnd"/>
      <w:r w:rsidRPr="0010730A">
        <w:rPr>
          <w:sz w:val="24"/>
          <w:lang w:val="hu-HU"/>
        </w:rPr>
        <w:t xml:space="preserve"> </w:t>
      </w:r>
      <w:proofErr w:type="spellStart"/>
      <w:r w:rsidRPr="0010730A">
        <w:rPr>
          <w:sz w:val="24"/>
          <w:lang w:val="hu-HU"/>
        </w:rPr>
        <w:t>Defenders</w:t>
      </w:r>
      <w:proofErr w:type="spellEnd"/>
      <w:r w:rsidRPr="0010730A">
        <w:rPr>
          <w:sz w:val="24"/>
          <w:lang w:val="hu-HU"/>
        </w:rPr>
        <w:t>, „</w:t>
      </w:r>
      <w:proofErr w:type="spellStart"/>
      <w:r w:rsidRPr="0010730A">
        <w:fldChar w:fldCharType="begin"/>
      </w:r>
      <w:r w:rsidRPr="0010730A">
        <w:rPr>
          <w:sz w:val="24"/>
          <w:lang w:val="hu-HU"/>
        </w:rPr>
        <w:instrText xml:space="preserve"> HYPERLINK "https://crd.org/wp-content/uploads/2019/08/Civil-Rights-Defenders-Joint-UPR-Submission-Sweden-2020.pdf" </w:instrText>
      </w:r>
      <w:r w:rsidRPr="0010730A">
        <w:fldChar w:fldCharType="separate"/>
      </w:r>
      <w:r w:rsidRPr="0010730A">
        <w:rPr>
          <w:rStyle w:val="Hyperlink"/>
          <w:sz w:val="24"/>
          <w:lang w:val="hu-HU"/>
        </w:rPr>
        <w:t>Joint</w:t>
      </w:r>
      <w:proofErr w:type="spellEnd"/>
      <w:r w:rsidRPr="0010730A">
        <w:rPr>
          <w:rStyle w:val="Hyperlink"/>
          <w:sz w:val="24"/>
          <w:lang w:val="hu-HU"/>
        </w:rPr>
        <w:t xml:space="preserve"> </w:t>
      </w:r>
      <w:proofErr w:type="spellStart"/>
      <w:r w:rsidRPr="0010730A">
        <w:rPr>
          <w:rStyle w:val="Hyperlink"/>
          <w:sz w:val="24"/>
          <w:lang w:val="hu-HU"/>
        </w:rPr>
        <w:t>submission</w:t>
      </w:r>
      <w:proofErr w:type="spellEnd"/>
      <w:r w:rsidRPr="0010730A">
        <w:rPr>
          <w:rStyle w:val="Hyperlink"/>
          <w:sz w:val="24"/>
          <w:lang w:val="hu-HU"/>
        </w:rPr>
        <w:t xml:space="preserve"> </w:t>
      </w:r>
      <w:proofErr w:type="spellStart"/>
      <w:r w:rsidRPr="0010730A">
        <w:rPr>
          <w:rStyle w:val="Hyperlink"/>
          <w:sz w:val="24"/>
          <w:lang w:val="hu-HU"/>
        </w:rPr>
        <w:t>to</w:t>
      </w:r>
      <w:proofErr w:type="spellEnd"/>
      <w:r w:rsidRPr="0010730A">
        <w:rPr>
          <w:rStyle w:val="Hyperlink"/>
          <w:sz w:val="24"/>
          <w:lang w:val="hu-HU"/>
        </w:rPr>
        <w:t xml:space="preserve"> </w:t>
      </w:r>
      <w:proofErr w:type="spellStart"/>
      <w:r w:rsidRPr="0010730A">
        <w:rPr>
          <w:rStyle w:val="Hyperlink"/>
          <w:sz w:val="24"/>
          <w:lang w:val="hu-HU"/>
        </w:rPr>
        <w:t>the</w:t>
      </w:r>
      <w:proofErr w:type="spellEnd"/>
      <w:r w:rsidRPr="0010730A">
        <w:rPr>
          <w:rStyle w:val="Hyperlink"/>
          <w:sz w:val="24"/>
          <w:lang w:val="hu-HU"/>
        </w:rPr>
        <w:t xml:space="preserve"> UN </w:t>
      </w:r>
      <w:proofErr w:type="spellStart"/>
      <w:r w:rsidRPr="0010730A">
        <w:rPr>
          <w:rStyle w:val="Hyperlink"/>
          <w:sz w:val="24"/>
          <w:lang w:val="hu-HU"/>
        </w:rPr>
        <w:t>Universal</w:t>
      </w:r>
      <w:proofErr w:type="spellEnd"/>
      <w:r w:rsidRPr="0010730A">
        <w:rPr>
          <w:rStyle w:val="Hyperlink"/>
          <w:sz w:val="24"/>
          <w:lang w:val="hu-HU"/>
        </w:rPr>
        <w:t xml:space="preserve"> </w:t>
      </w:r>
      <w:proofErr w:type="spellStart"/>
      <w:r w:rsidRPr="0010730A">
        <w:rPr>
          <w:rStyle w:val="Hyperlink"/>
          <w:sz w:val="24"/>
          <w:lang w:val="hu-HU"/>
        </w:rPr>
        <w:t>periodic</w:t>
      </w:r>
      <w:proofErr w:type="spellEnd"/>
      <w:r w:rsidRPr="0010730A">
        <w:rPr>
          <w:rStyle w:val="Hyperlink"/>
          <w:sz w:val="24"/>
          <w:lang w:val="hu-HU"/>
        </w:rPr>
        <w:t xml:space="preserve"> </w:t>
      </w:r>
      <w:proofErr w:type="spellStart"/>
      <w:r w:rsidRPr="0010730A">
        <w:rPr>
          <w:rStyle w:val="Hyperlink"/>
          <w:sz w:val="24"/>
          <w:lang w:val="hu-HU"/>
        </w:rPr>
        <w:t>Review</w:t>
      </w:r>
      <w:proofErr w:type="spellEnd"/>
      <w:r w:rsidRPr="0010730A">
        <w:rPr>
          <w:rStyle w:val="Hyperlink"/>
          <w:sz w:val="24"/>
          <w:lang w:val="hu-HU"/>
        </w:rPr>
        <w:t xml:space="preserve"> of </w:t>
      </w:r>
      <w:proofErr w:type="spellStart"/>
      <w:r w:rsidRPr="0010730A">
        <w:rPr>
          <w:rStyle w:val="Hyperlink"/>
          <w:sz w:val="24"/>
          <w:lang w:val="hu-HU"/>
        </w:rPr>
        <w:t>Sweden</w:t>
      </w:r>
      <w:proofErr w:type="spellEnd"/>
      <w:r w:rsidRPr="0010730A">
        <w:rPr>
          <w:rStyle w:val="Hyperlink"/>
          <w:sz w:val="24"/>
          <w:lang w:val="hu-HU"/>
        </w:rPr>
        <w:t xml:space="preserve"> –35th Session of </w:t>
      </w:r>
      <w:proofErr w:type="spellStart"/>
      <w:r w:rsidRPr="0010730A">
        <w:rPr>
          <w:rStyle w:val="Hyperlink"/>
          <w:sz w:val="24"/>
          <w:lang w:val="hu-HU"/>
        </w:rPr>
        <w:t>the</w:t>
      </w:r>
      <w:proofErr w:type="spellEnd"/>
      <w:r w:rsidRPr="0010730A">
        <w:rPr>
          <w:rStyle w:val="Hyperlink"/>
          <w:sz w:val="24"/>
          <w:lang w:val="hu-HU"/>
        </w:rPr>
        <w:t xml:space="preserve"> UPR </w:t>
      </w:r>
      <w:proofErr w:type="spellStart"/>
      <w:r w:rsidRPr="0010730A">
        <w:rPr>
          <w:rStyle w:val="Hyperlink"/>
          <w:sz w:val="24"/>
          <w:lang w:val="hu-HU"/>
        </w:rPr>
        <w:t>Working</w:t>
      </w:r>
      <w:proofErr w:type="spellEnd"/>
      <w:r w:rsidRPr="0010730A">
        <w:rPr>
          <w:rStyle w:val="Hyperlink"/>
          <w:sz w:val="24"/>
          <w:lang w:val="hu-HU"/>
        </w:rPr>
        <w:t xml:space="preserve"> Group of </w:t>
      </w:r>
      <w:proofErr w:type="spellStart"/>
      <w:r w:rsidRPr="0010730A">
        <w:rPr>
          <w:rStyle w:val="Hyperlink"/>
          <w:sz w:val="24"/>
          <w:lang w:val="hu-HU"/>
        </w:rPr>
        <w:t>the</w:t>
      </w:r>
      <w:proofErr w:type="spellEnd"/>
      <w:r w:rsidRPr="0010730A">
        <w:rPr>
          <w:rStyle w:val="Hyperlink"/>
          <w:sz w:val="24"/>
          <w:lang w:val="hu-HU"/>
        </w:rPr>
        <w:t xml:space="preserve"> Human </w:t>
      </w:r>
      <w:proofErr w:type="spellStart"/>
      <w:r w:rsidRPr="0010730A">
        <w:rPr>
          <w:rStyle w:val="Hyperlink"/>
          <w:sz w:val="24"/>
          <w:lang w:val="hu-HU"/>
        </w:rPr>
        <w:t>Rights</w:t>
      </w:r>
      <w:proofErr w:type="spellEnd"/>
      <w:r w:rsidRPr="0010730A">
        <w:rPr>
          <w:rStyle w:val="Hyperlink"/>
          <w:sz w:val="24"/>
          <w:lang w:val="hu-HU"/>
        </w:rPr>
        <w:t xml:space="preserve"> </w:t>
      </w:r>
      <w:proofErr w:type="spellStart"/>
      <w:r w:rsidRPr="0010730A">
        <w:rPr>
          <w:rStyle w:val="Hyperlink"/>
          <w:sz w:val="24"/>
          <w:lang w:val="hu-HU"/>
        </w:rPr>
        <w:t>Council</w:t>
      </w:r>
      <w:proofErr w:type="spellEnd"/>
      <w:r w:rsidRPr="0010730A">
        <w:rPr>
          <w:rStyle w:val="Hyperlink"/>
          <w:sz w:val="24"/>
          <w:lang w:val="hu-HU"/>
        </w:rPr>
        <w:t xml:space="preserve"> – </w:t>
      </w:r>
      <w:proofErr w:type="spellStart"/>
      <w:r w:rsidRPr="0010730A">
        <w:rPr>
          <w:rStyle w:val="Hyperlink"/>
          <w:sz w:val="24"/>
          <w:lang w:val="hu-HU"/>
        </w:rPr>
        <w:t>January</w:t>
      </w:r>
      <w:proofErr w:type="spellEnd"/>
      <w:r w:rsidRPr="0010730A">
        <w:rPr>
          <w:rStyle w:val="Hyperlink"/>
          <w:sz w:val="24"/>
          <w:lang w:val="hu-HU"/>
        </w:rPr>
        <w:t xml:space="preserve"> 2020</w:t>
      </w:r>
      <w:r w:rsidRPr="0010730A">
        <w:rPr>
          <w:rStyle w:val="Hyperlink"/>
          <w:sz w:val="24"/>
          <w:lang w:val="hu-HU"/>
        </w:rPr>
        <w:fldChar w:fldCharType="end"/>
      </w:r>
      <w:r w:rsidRPr="0010730A">
        <w:rPr>
          <w:sz w:val="24"/>
          <w:lang w:val="hu-HU"/>
        </w:rPr>
        <w:t>” (Közös beadvány Svédország ENSZ által végzett egyetemes időszakos felülvizsgálatához – az Emberi Jogi Tanács UPR munkacsoportjának 35. ülése – 2020. január), 2019.</w:t>
      </w:r>
    </w:p>
  </w:footnote>
  <w:footnote w:id="10">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 xml:space="preserve">ILGA Europe, „2023 </w:t>
      </w:r>
      <w:proofErr w:type="spellStart"/>
      <w:r w:rsidRPr="0010730A">
        <w:rPr>
          <w:sz w:val="24"/>
          <w:lang w:val="hu-HU"/>
        </w:rPr>
        <w:t>Annual</w:t>
      </w:r>
      <w:proofErr w:type="spellEnd"/>
      <w:r w:rsidRPr="0010730A">
        <w:rPr>
          <w:sz w:val="24"/>
          <w:lang w:val="hu-HU"/>
        </w:rPr>
        <w:t xml:space="preserve"> </w:t>
      </w:r>
      <w:proofErr w:type="spellStart"/>
      <w:r w:rsidRPr="0010730A">
        <w:rPr>
          <w:sz w:val="24"/>
          <w:lang w:val="hu-HU"/>
        </w:rPr>
        <w:t>Review</w:t>
      </w:r>
      <w:proofErr w:type="spellEnd"/>
      <w:r w:rsidRPr="0010730A">
        <w:rPr>
          <w:sz w:val="24"/>
          <w:lang w:val="hu-HU"/>
        </w:rPr>
        <w:t xml:space="preserve"> of </w:t>
      </w:r>
      <w:proofErr w:type="spellStart"/>
      <w:r w:rsidRPr="0010730A">
        <w:rPr>
          <w:sz w:val="24"/>
          <w:lang w:val="hu-HU"/>
        </w:rPr>
        <w:t>the</w:t>
      </w:r>
      <w:proofErr w:type="spellEnd"/>
      <w:r w:rsidRPr="0010730A">
        <w:rPr>
          <w:sz w:val="24"/>
          <w:lang w:val="hu-HU"/>
        </w:rPr>
        <w:t xml:space="preserve"> Human </w:t>
      </w:r>
      <w:proofErr w:type="spellStart"/>
      <w:r w:rsidRPr="0010730A">
        <w:rPr>
          <w:sz w:val="24"/>
          <w:lang w:val="hu-HU"/>
        </w:rPr>
        <w:t>Rights</w:t>
      </w:r>
      <w:proofErr w:type="spellEnd"/>
      <w:r w:rsidRPr="0010730A">
        <w:rPr>
          <w:sz w:val="24"/>
          <w:lang w:val="hu-HU"/>
        </w:rPr>
        <w:t xml:space="preserve"> </w:t>
      </w:r>
      <w:proofErr w:type="spellStart"/>
      <w:r w:rsidRPr="0010730A">
        <w:rPr>
          <w:sz w:val="24"/>
          <w:lang w:val="hu-HU"/>
        </w:rPr>
        <w:t>Situation</w:t>
      </w:r>
      <w:proofErr w:type="spellEnd"/>
      <w:r w:rsidRPr="0010730A">
        <w:rPr>
          <w:sz w:val="24"/>
          <w:lang w:val="hu-HU"/>
        </w:rPr>
        <w:t xml:space="preserve"> of </w:t>
      </w:r>
      <w:proofErr w:type="spellStart"/>
      <w:r w:rsidRPr="0010730A">
        <w:rPr>
          <w:sz w:val="24"/>
          <w:lang w:val="hu-HU"/>
        </w:rPr>
        <w:t>Lesbian</w:t>
      </w:r>
      <w:proofErr w:type="spellEnd"/>
      <w:r w:rsidRPr="0010730A">
        <w:rPr>
          <w:sz w:val="24"/>
          <w:lang w:val="hu-HU"/>
        </w:rPr>
        <w:t xml:space="preserve">, Gay, </w:t>
      </w:r>
      <w:proofErr w:type="spellStart"/>
      <w:r w:rsidRPr="0010730A">
        <w:rPr>
          <w:sz w:val="24"/>
          <w:lang w:val="hu-HU"/>
        </w:rPr>
        <w:t>Bisexual</w:t>
      </w:r>
      <w:proofErr w:type="spellEnd"/>
      <w:r w:rsidRPr="0010730A">
        <w:rPr>
          <w:sz w:val="24"/>
          <w:lang w:val="hu-HU"/>
        </w:rPr>
        <w:t xml:space="preserve">, </w:t>
      </w:r>
      <w:proofErr w:type="spellStart"/>
      <w:r w:rsidRPr="0010730A">
        <w:rPr>
          <w:sz w:val="24"/>
          <w:lang w:val="hu-HU"/>
        </w:rPr>
        <w:t>Transs</w:t>
      </w:r>
      <w:proofErr w:type="spellEnd"/>
      <w:r w:rsidRPr="0010730A">
        <w:rPr>
          <w:sz w:val="24"/>
          <w:lang w:val="hu-HU"/>
        </w:rPr>
        <w:t xml:space="preserve"> and </w:t>
      </w:r>
      <w:proofErr w:type="spellStart"/>
      <w:r w:rsidRPr="0010730A">
        <w:rPr>
          <w:sz w:val="24"/>
          <w:lang w:val="hu-HU"/>
        </w:rPr>
        <w:t>Intersex</w:t>
      </w:r>
      <w:proofErr w:type="spellEnd"/>
      <w:r w:rsidRPr="0010730A">
        <w:rPr>
          <w:sz w:val="24"/>
          <w:lang w:val="hu-HU"/>
        </w:rPr>
        <w:t xml:space="preserve"> </w:t>
      </w:r>
      <w:proofErr w:type="spellStart"/>
      <w:r w:rsidRPr="0010730A">
        <w:rPr>
          <w:sz w:val="24"/>
          <w:lang w:val="hu-HU"/>
        </w:rPr>
        <w:t>People</w:t>
      </w:r>
      <w:proofErr w:type="spellEnd"/>
      <w:r w:rsidRPr="0010730A">
        <w:rPr>
          <w:sz w:val="24"/>
          <w:lang w:val="hu-HU"/>
        </w:rPr>
        <w:t xml:space="preserve"> in Europe and </w:t>
      </w:r>
      <w:proofErr w:type="spellStart"/>
      <w:r w:rsidRPr="0010730A">
        <w:rPr>
          <w:sz w:val="24"/>
          <w:lang w:val="hu-HU"/>
        </w:rPr>
        <w:t>Central</w:t>
      </w:r>
      <w:proofErr w:type="spellEnd"/>
      <w:r w:rsidRPr="0010730A">
        <w:rPr>
          <w:sz w:val="24"/>
          <w:lang w:val="hu-HU"/>
        </w:rPr>
        <w:t xml:space="preserve"> </w:t>
      </w:r>
      <w:proofErr w:type="spellStart"/>
      <w:r w:rsidRPr="0010730A">
        <w:rPr>
          <w:sz w:val="24"/>
          <w:lang w:val="hu-HU"/>
        </w:rPr>
        <w:t>Asia</w:t>
      </w:r>
      <w:proofErr w:type="spellEnd"/>
      <w:r w:rsidRPr="0010730A">
        <w:rPr>
          <w:sz w:val="24"/>
          <w:lang w:val="hu-HU"/>
        </w:rPr>
        <w:t>” (A leszbikus, meleg, biszexuális, transznemű és interszexuális személyek emberi jogi helyzetének 2023. évi éves felülvizsgálata Európában és Közép-Ázsiában), 2023. február.</w:t>
      </w:r>
    </w:p>
  </w:footnote>
  <w:footnote w:id="11">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Az Európai Unió Alapjogi Ügynöksége, „</w:t>
      </w:r>
      <w:proofErr w:type="spellStart"/>
      <w:r w:rsidRPr="0010730A">
        <w:fldChar w:fldCharType="begin"/>
      </w:r>
      <w:r w:rsidRPr="0010730A">
        <w:rPr>
          <w:sz w:val="24"/>
          <w:lang w:val="hu-HU"/>
        </w:rPr>
        <w:instrText xml:space="preserve"> HYPERLINK "https://fra.europa.eu/sites/default/files/fra_uploads/fra-2021-hate-crime-reporting_en.pdf" </w:instrText>
      </w:r>
      <w:r w:rsidRPr="0010730A">
        <w:fldChar w:fldCharType="separate"/>
      </w:r>
      <w:r w:rsidRPr="0010730A">
        <w:rPr>
          <w:rStyle w:val="Hyperlink"/>
          <w:sz w:val="24"/>
          <w:lang w:val="hu-HU"/>
        </w:rPr>
        <w:t>Encouraging</w:t>
      </w:r>
      <w:proofErr w:type="spellEnd"/>
      <w:r w:rsidRPr="0010730A">
        <w:rPr>
          <w:rStyle w:val="Hyperlink"/>
          <w:sz w:val="24"/>
          <w:lang w:val="hu-HU"/>
        </w:rPr>
        <w:t xml:space="preserve"> </w:t>
      </w:r>
      <w:proofErr w:type="spellStart"/>
      <w:r w:rsidRPr="0010730A">
        <w:rPr>
          <w:rStyle w:val="Hyperlink"/>
          <w:sz w:val="24"/>
          <w:lang w:val="hu-HU"/>
        </w:rPr>
        <w:t>hate</w:t>
      </w:r>
      <w:proofErr w:type="spellEnd"/>
      <w:r w:rsidRPr="0010730A">
        <w:rPr>
          <w:rStyle w:val="Hyperlink"/>
          <w:sz w:val="24"/>
          <w:lang w:val="hu-HU"/>
        </w:rPr>
        <w:t xml:space="preserve"> </w:t>
      </w:r>
      <w:proofErr w:type="spellStart"/>
      <w:r w:rsidRPr="0010730A">
        <w:rPr>
          <w:rStyle w:val="Hyperlink"/>
          <w:sz w:val="24"/>
          <w:lang w:val="hu-HU"/>
        </w:rPr>
        <w:t>crime</w:t>
      </w:r>
      <w:proofErr w:type="spellEnd"/>
      <w:r w:rsidRPr="0010730A">
        <w:rPr>
          <w:rStyle w:val="Hyperlink"/>
          <w:sz w:val="24"/>
          <w:lang w:val="hu-HU"/>
        </w:rPr>
        <w:t xml:space="preserve"> </w:t>
      </w:r>
      <w:proofErr w:type="spellStart"/>
      <w:r w:rsidRPr="0010730A">
        <w:rPr>
          <w:rStyle w:val="Hyperlink"/>
          <w:sz w:val="24"/>
          <w:lang w:val="hu-HU"/>
        </w:rPr>
        <w:t>reporting</w:t>
      </w:r>
      <w:proofErr w:type="spellEnd"/>
      <w:r w:rsidRPr="0010730A">
        <w:rPr>
          <w:rStyle w:val="Hyperlink"/>
          <w:sz w:val="24"/>
          <w:lang w:val="hu-HU"/>
        </w:rPr>
        <w:t xml:space="preserve"> – The </w:t>
      </w:r>
      <w:proofErr w:type="spellStart"/>
      <w:r w:rsidRPr="0010730A">
        <w:rPr>
          <w:rStyle w:val="Hyperlink"/>
          <w:sz w:val="24"/>
          <w:lang w:val="hu-HU"/>
        </w:rPr>
        <w:t>role</w:t>
      </w:r>
      <w:proofErr w:type="spellEnd"/>
      <w:r w:rsidRPr="0010730A">
        <w:rPr>
          <w:rStyle w:val="Hyperlink"/>
          <w:sz w:val="24"/>
          <w:lang w:val="hu-HU"/>
        </w:rPr>
        <w:t xml:space="preserve"> of </w:t>
      </w:r>
      <w:proofErr w:type="spellStart"/>
      <w:r w:rsidRPr="0010730A">
        <w:rPr>
          <w:rStyle w:val="Hyperlink"/>
          <w:sz w:val="24"/>
          <w:lang w:val="hu-HU"/>
        </w:rPr>
        <w:t>law</w:t>
      </w:r>
      <w:proofErr w:type="spellEnd"/>
      <w:r w:rsidRPr="0010730A">
        <w:rPr>
          <w:rStyle w:val="Hyperlink"/>
          <w:sz w:val="24"/>
          <w:lang w:val="hu-HU"/>
        </w:rPr>
        <w:t xml:space="preserve"> </w:t>
      </w:r>
      <w:proofErr w:type="spellStart"/>
      <w:r w:rsidRPr="0010730A">
        <w:rPr>
          <w:rStyle w:val="Hyperlink"/>
          <w:sz w:val="24"/>
          <w:lang w:val="hu-HU"/>
        </w:rPr>
        <w:t>enforcement</w:t>
      </w:r>
      <w:proofErr w:type="spellEnd"/>
      <w:r w:rsidRPr="0010730A">
        <w:rPr>
          <w:rStyle w:val="Hyperlink"/>
          <w:sz w:val="24"/>
          <w:lang w:val="hu-HU"/>
        </w:rPr>
        <w:t xml:space="preserve"> and </w:t>
      </w:r>
      <w:proofErr w:type="spellStart"/>
      <w:r w:rsidRPr="0010730A">
        <w:rPr>
          <w:rStyle w:val="Hyperlink"/>
          <w:sz w:val="24"/>
          <w:lang w:val="hu-HU"/>
        </w:rPr>
        <w:t>other</w:t>
      </w:r>
      <w:proofErr w:type="spellEnd"/>
      <w:r w:rsidRPr="0010730A">
        <w:rPr>
          <w:rStyle w:val="Hyperlink"/>
          <w:sz w:val="24"/>
          <w:lang w:val="hu-HU"/>
        </w:rPr>
        <w:t xml:space="preserve"> </w:t>
      </w:r>
      <w:proofErr w:type="spellStart"/>
      <w:r w:rsidRPr="0010730A">
        <w:rPr>
          <w:rStyle w:val="Hyperlink"/>
          <w:sz w:val="24"/>
          <w:lang w:val="hu-HU"/>
        </w:rPr>
        <w:t>authorities</w:t>
      </w:r>
      <w:proofErr w:type="spellEnd"/>
      <w:r w:rsidRPr="0010730A">
        <w:rPr>
          <w:rStyle w:val="Hyperlink"/>
          <w:sz w:val="24"/>
          <w:lang w:val="hu-HU"/>
        </w:rPr>
        <w:fldChar w:fldCharType="end"/>
      </w:r>
      <w:r w:rsidRPr="0010730A">
        <w:rPr>
          <w:sz w:val="24"/>
          <w:lang w:val="hu-HU"/>
        </w:rPr>
        <w:t xml:space="preserve">” (A gyűlölet-bűncselekmények bejelentésének ösztönzése – </w:t>
      </w:r>
      <w:proofErr w:type="gramStart"/>
      <w:r w:rsidRPr="0010730A">
        <w:rPr>
          <w:sz w:val="24"/>
          <w:lang w:val="hu-HU"/>
        </w:rPr>
        <w:t>A</w:t>
      </w:r>
      <w:proofErr w:type="gramEnd"/>
      <w:r w:rsidRPr="0010730A">
        <w:rPr>
          <w:sz w:val="24"/>
          <w:lang w:val="hu-HU"/>
        </w:rPr>
        <w:t xml:space="preserve"> bűnüldöző hatóságok és más hatóságok szerepe), 2021.</w:t>
      </w:r>
    </w:p>
  </w:footnote>
  <w:footnote w:id="12">
    <w:p w:rsidR="00F57F6B" w:rsidRPr="0010730A" w:rsidRDefault="00F57F6B" w:rsidP="0010730A">
      <w:pPr>
        <w:pStyle w:val="FootnoteText"/>
        <w:ind w:left="567" w:hanging="567"/>
        <w:rPr>
          <w:sz w:val="24"/>
          <w:lang w:val="hu-HU"/>
        </w:rPr>
      </w:pPr>
      <w:r w:rsidRPr="0010730A">
        <w:rPr>
          <w:rStyle w:val="FootnoteReference"/>
          <w:sz w:val="24"/>
          <w:lang w:val="hu-HU"/>
        </w:rPr>
        <w:footnoteRef/>
      </w:r>
      <w:r w:rsidR="0010730A" w:rsidRPr="0010730A">
        <w:rPr>
          <w:sz w:val="24"/>
          <w:lang w:val="hu-HU"/>
        </w:rPr>
        <w:t xml:space="preserve"> </w:t>
      </w:r>
      <w:r w:rsidR="0010730A" w:rsidRPr="0010730A">
        <w:rPr>
          <w:sz w:val="24"/>
          <w:lang w:val="hu-HU"/>
        </w:rPr>
        <w:tab/>
      </w:r>
      <w:r w:rsidRPr="0010730A">
        <w:rPr>
          <w:sz w:val="24"/>
          <w:lang w:val="hu-HU"/>
        </w:rPr>
        <w:t>Az Európai Parlament és a Tanács (EU) 2022/2065 rendelete (2022. október 19.) a digitális szolgáltatások egységes piacáról és a 2000/31/EK irányelv módosításáról (digitális szolgáltatásokról szóló rendelet) (HL L 277., 2022.10.27</w:t>
      </w:r>
      <w:proofErr w:type="gramStart"/>
      <w:r w:rsidRPr="0010730A">
        <w:rPr>
          <w:sz w:val="24"/>
          <w:lang w:val="hu-HU"/>
        </w:rPr>
        <w:t>.,</w:t>
      </w:r>
      <w:proofErr w:type="gramEnd"/>
      <w:r w:rsidRPr="0010730A">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3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3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3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HU"/>
    <w:docVar w:name="dvnumam" w:val="0"/>
    <w:docVar w:name="dvpe" w:val="750.074"/>
    <w:docVar w:name="dvrapporteur" w:val="Előadó: "/>
    <w:docVar w:name="dvtitre" w:val="Az Európai Parlament 2023.  ...-i állásfoglalása az uniós bűncselekmények listájának a gyűlöletbeszéddel és a gyűlölet-bűncselekményekkel való kibővítéséről(2023/2068(INI))"/>
  </w:docVars>
  <w:rsids>
    <w:rsidRoot w:val="003976FA"/>
    <w:rsid w:val="00002272"/>
    <w:rsid w:val="00064002"/>
    <w:rsid w:val="000677B9"/>
    <w:rsid w:val="000831BA"/>
    <w:rsid w:val="000A42CC"/>
    <w:rsid w:val="000E7DD9"/>
    <w:rsid w:val="0010095E"/>
    <w:rsid w:val="0010730A"/>
    <w:rsid w:val="00125B37"/>
    <w:rsid w:val="00187494"/>
    <w:rsid w:val="001F32AE"/>
    <w:rsid w:val="002322F4"/>
    <w:rsid w:val="002767FF"/>
    <w:rsid w:val="002B18FE"/>
    <w:rsid w:val="002B5493"/>
    <w:rsid w:val="00343214"/>
    <w:rsid w:val="00361C00"/>
    <w:rsid w:val="00395FA1"/>
    <w:rsid w:val="003976FA"/>
    <w:rsid w:val="003E15D4"/>
    <w:rsid w:val="00411CCE"/>
    <w:rsid w:val="0041666E"/>
    <w:rsid w:val="00421060"/>
    <w:rsid w:val="00471C19"/>
    <w:rsid w:val="004867E3"/>
    <w:rsid w:val="00494A28"/>
    <w:rsid w:val="004C0004"/>
    <w:rsid w:val="004C5757"/>
    <w:rsid w:val="004C5D52"/>
    <w:rsid w:val="004E68B1"/>
    <w:rsid w:val="0050519A"/>
    <w:rsid w:val="005072A1"/>
    <w:rsid w:val="00514517"/>
    <w:rsid w:val="00526F82"/>
    <w:rsid w:val="00545827"/>
    <w:rsid w:val="00560270"/>
    <w:rsid w:val="005C2568"/>
    <w:rsid w:val="006037C0"/>
    <w:rsid w:val="006318F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F6A"/>
    <w:rsid w:val="009E0F6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29A"/>
    <w:rsid w:val="00C941CB"/>
    <w:rsid w:val="00CC2357"/>
    <w:rsid w:val="00CF071A"/>
    <w:rsid w:val="00D058B8"/>
    <w:rsid w:val="00D56C11"/>
    <w:rsid w:val="00D834A0"/>
    <w:rsid w:val="00D872DF"/>
    <w:rsid w:val="00D91E21"/>
    <w:rsid w:val="00DA7FCD"/>
    <w:rsid w:val="00E365E1"/>
    <w:rsid w:val="00E7777B"/>
    <w:rsid w:val="00E820A4"/>
    <w:rsid w:val="00EB006A"/>
    <w:rsid w:val="00EB4772"/>
    <w:rsid w:val="00ED169E"/>
    <w:rsid w:val="00ED4235"/>
    <w:rsid w:val="00F04346"/>
    <w:rsid w:val="00F075DC"/>
    <w:rsid w:val="00F149E9"/>
    <w:rsid w:val="00F5134D"/>
    <w:rsid w:val="00F57F6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98416"/>
  <w15:chartTrackingRefBased/>
  <w15:docId w15:val="{9D90DDDF-C2D3-40AA-A51B-E7E13754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7F6B"/>
    <w:pPr>
      <w:spacing w:after="240"/>
      <w:ind w:left="567" w:hanging="567"/>
    </w:pPr>
  </w:style>
  <w:style w:type="paragraph" w:customStyle="1" w:styleId="EPComma">
    <w:name w:val="EPComma"/>
    <w:basedOn w:val="Normal"/>
    <w:rsid w:val="00F57F6B"/>
    <w:pPr>
      <w:spacing w:before="480" w:after="240"/>
    </w:pPr>
  </w:style>
  <w:style w:type="character" w:customStyle="1" w:styleId="Italic">
    <w:name w:val="Italic"/>
    <w:uiPriority w:val="1"/>
    <w:rsid w:val="00F57F6B"/>
    <w:rPr>
      <w:i/>
      <w:iCs w:val="0"/>
    </w:rPr>
  </w:style>
  <w:style w:type="character" w:customStyle="1" w:styleId="NormalHanging12aChar">
    <w:name w:val="NormalHanging12a Char"/>
    <w:basedOn w:val="DefaultParagraphFont"/>
    <w:link w:val="NormalHanging12a"/>
    <w:rsid w:val="00F57F6B"/>
    <w:rPr>
      <w:sz w:val="24"/>
      <w:lang w:val="hu-HU"/>
    </w:rPr>
  </w:style>
  <w:style w:type="paragraph" w:customStyle="1" w:styleId="Normal12Hanging">
    <w:name w:val="Normal12Hanging"/>
    <w:basedOn w:val="Normal"/>
    <w:rsid w:val="00F57F6B"/>
    <w:pPr>
      <w:spacing w:after="240"/>
      <w:ind w:left="567" w:hanging="567"/>
    </w:pPr>
  </w:style>
  <w:style w:type="character" w:styleId="Hyperlink">
    <w:name w:val="Hyperlink"/>
    <w:basedOn w:val="DefaultParagraphFont"/>
    <w:rsid w:val="00F57F6B"/>
    <w:rPr>
      <w:color w:val="0563C1" w:themeColor="hyperlink"/>
      <w:u w:val="single"/>
    </w:rPr>
  </w:style>
  <w:style w:type="paragraph" w:styleId="BalloonText">
    <w:name w:val="Balloon Text"/>
    <w:basedOn w:val="Normal"/>
    <w:link w:val="BalloonTextChar"/>
    <w:rsid w:val="006318F7"/>
    <w:rPr>
      <w:rFonts w:ascii="Segoe UI" w:hAnsi="Segoe UI" w:cs="Segoe UI"/>
      <w:sz w:val="18"/>
      <w:szCs w:val="18"/>
    </w:rPr>
  </w:style>
  <w:style w:type="character" w:customStyle="1" w:styleId="BalloonTextChar">
    <w:name w:val="Balloon Text Char"/>
    <w:basedOn w:val="DefaultParagraphFont"/>
    <w:link w:val="BalloonText"/>
    <w:rsid w:val="006318F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8854C-F72C-429A-A581-6BF39F456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2848</Words>
  <Characters>21114</Characters>
  <Application>Microsoft Office Word</Application>
  <DocSecurity>0</DocSecurity>
  <Lines>844</Lines>
  <Paragraphs>665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2024-01-18T12:23:00Z</dcterms:created>
  <dcterms:modified xsi:type="dcterms:W3CDTF">2024-01-18T12:23:00Z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A9-0377/2023</vt:lpwstr>
  </property>
  <property fmtid="{D5CDD505-2E9C-101B-9397-08002B2CF9AE}" pid="4" name="&lt;Type&gt;">
    <vt:lpwstr>RR</vt:lpwstr>
  </property>
</Properties>
</file>