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6246" w:rsidTr="0010095E">
        <w:trPr>
          <w:trHeight w:hRule="exact" w:val="1418"/>
        </w:trPr>
        <w:tc>
          <w:tcPr>
            <w:tcW w:w="6804" w:type="dxa"/>
            <w:shd w:val="clear" w:color="auto" w:fill="auto"/>
            <w:vAlign w:val="center"/>
          </w:tcPr>
          <w:p w:rsidR="00751A4A" w:rsidRPr="00AB6246" w:rsidRDefault="00F35EA1" w:rsidP="0010095E">
            <w:pPr>
              <w:pStyle w:val="EPName"/>
            </w:pPr>
            <w:bookmarkStart w:id="0" w:name="_GoBack"/>
            <w:bookmarkEnd w:id="0"/>
            <w:r w:rsidRPr="00AB6246">
              <w:t>Eiropas Parlaments</w:t>
            </w:r>
          </w:p>
          <w:p w:rsidR="00751A4A" w:rsidRPr="00AB6246" w:rsidRDefault="00817416" w:rsidP="00756632">
            <w:pPr>
              <w:pStyle w:val="EPTerm"/>
              <w:rPr>
                <w:rStyle w:val="HideTWBExt"/>
                <w:noProof w:val="0"/>
                <w:vanish w:val="0"/>
                <w:color w:val="auto"/>
              </w:rPr>
            </w:pPr>
            <w:r w:rsidRPr="00AB6246">
              <w:t>2019-2024</w:t>
            </w:r>
          </w:p>
        </w:tc>
        <w:tc>
          <w:tcPr>
            <w:tcW w:w="2268" w:type="dxa"/>
            <w:shd w:val="clear" w:color="auto" w:fill="auto"/>
          </w:tcPr>
          <w:p w:rsidR="00751A4A" w:rsidRPr="00AB6246" w:rsidRDefault="00187494" w:rsidP="0010095E">
            <w:pPr>
              <w:pStyle w:val="EPLogo"/>
            </w:pPr>
            <w:r w:rsidRPr="00AB62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6246" w:rsidRDefault="00D058B8" w:rsidP="004C5D52">
      <w:pPr>
        <w:pStyle w:val="LineTop"/>
      </w:pPr>
    </w:p>
    <w:p w:rsidR="00680577" w:rsidRPr="00AB6246" w:rsidRDefault="00F35EA1" w:rsidP="00680577">
      <w:pPr>
        <w:pStyle w:val="EPBodyTA1"/>
      </w:pPr>
      <w:r w:rsidRPr="00AB6246">
        <w:t>PIEŅEMTIE TEKSTI</w:t>
      </w:r>
    </w:p>
    <w:p w:rsidR="00D058B8" w:rsidRPr="00AB6246" w:rsidRDefault="00D058B8" w:rsidP="00D058B8">
      <w:pPr>
        <w:pStyle w:val="LineBottom"/>
      </w:pPr>
    </w:p>
    <w:p w:rsidR="00F35EA1" w:rsidRPr="00AB6246" w:rsidRDefault="00F35EA1" w:rsidP="00F35EA1">
      <w:pPr>
        <w:pStyle w:val="ATHeading1"/>
      </w:pPr>
      <w:bookmarkStart w:id="1" w:name="TANumber"/>
      <w:r w:rsidRPr="00AB6246">
        <w:t>P9_TA(2024)00</w:t>
      </w:r>
      <w:bookmarkEnd w:id="1"/>
      <w:r w:rsidR="00AB6246" w:rsidRPr="00AB6246">
        <w:t>44</w:t>
      </w:r>
    </w:p>
    <w:p w:rsidR="00F35EA1" w:rsidRPr="00AB6246" w:rsidRDefault="00F35EA1" w:rsidP="00F35EA1">
      <w:pPr>
        <w:pStyle w:val="ATHeading2"/>
      </w:pPr>
      <w:bookmarkStart w:id="2" w:name="title"/>
      <w:r w:rsidRPr="00AB6246">
        <w:t>ES noziegumu jomu saraksta paplašināšana, tajā iekļaujot naida runu un naida noziegumu</w:t>
      </w:r>
      <w:bookmarkEnd w:id="2"/>
    </w:p>
    <w:p w:rsidR="00F35EA1" w:rsidRPr="00AB6246" w:rsidRDefault="00F35EA1" w:rsidP="00F35EA1">
      <w:pPr>
        <w:rPr>
          <w:i/>
          <w:vanish/>
        </w:rPr>
      </w:pPr>
      <w:r w:rsidRPr="00AB6246">
        <w:rPr>
          <w:i/>
        </w:rPr>
        <w:fldChar w:fldCharType="begin"/>
      </w:r>
      <w:r w:rsidRPr="00AB6246">
        <w:rPr>
          <w:i/>
        </w:rPr>
        <w:instrText xml:space="preserve"> TC"(</w:instrText>
      </w:r>
      <w:bookmarkStart w:id="3" w:name="DocNumber"/>
      <w:r w:rsidRPr="00AB6246">
        <w:rPr>
          <w:i/>
        </w:rPr>
        <w:instrText>A9-0377/2023</w:instrText>
      </w:r>
      <w:bookmarkEnd w:id="3"/>
      <w:r w:rsidRPr="00AB6246">
        <w:rPr>
          <w:i/>
        </w:rPr>
        <w:instrText xml:space="preserve"> - Referente: </w:instrText>
      </w:r>
      <w:proofErr w:type="spellStart"/>
      <w:r w:rsidRPr="00AB6246">
        <w:rPr>
          <w:i/>
        </w:rPr>
        <w:instrText>Maite</w:instrText>
      </w:r>
      <w:proofErr w:type="spellEnd"/>
      <w:r w:rsidRPr="00AB6246">
        <w:rPr>
          <w:i/>
        </w:rPr>
        <w:instrText xml:space="preserve"> </w:instrText>
      </w:r>
      <w:proofErr w:type="spellStart"/>
      <w:r w:rsidRPr="00AB6246">
        <w:rPr>
          <w:i/>
        </w:rPr>
        <w:instrText>Pagazaurtundúa</w:instrText>
      </w:r>
      <w:proofErr w:type="spellEnd"/>
      <w:r w:rsidRPr="00AB6246">
        <w:rPr>
          <w:i/>
        </w:rPr>
        <w:instrText xml:space="preserve">)"\l3 \n&gt; \* MERGEFORMAT </w:instrText>
      </w:r>
      <w:r w:rsidRPr="00AB6246">
        <w:rPr>
          <w:i/>
        </w:rPr>
        <w:fldChar w:fldCharType="end"/>
      </w:r>
    </w:p>
    <w:p w:rsidR="00F35EA1" w:rsidRPr="00AB6246" w:rsidRDefault="00F35EA1" w:rsidP="00F35EA1">
      <w:pPr>
        <w:rPr>
          <w:vanish/>
        </w:rPr>
      </w:pPr>
      <w:bookmarkStart w:id="4" w:name="Commission"/>
      <w:r w:rsidRPr="00AB6246">
        <w:rPr>
          <w:vanish/>
        </w:rPr>
        <w:t xml:space="preserve">Pilsoņu brīvību, tieslietu un </w:t>
      </w:r>
      <w:proofErr w:type="spellStart"/>
      <w:r w:rsidRPr="00AB6246">
        <w:rPr>
          <w:vanish/>
        </w:rPr>
        <w:t>iekšlietu</w:t>
      </w:r>
      <w:proofErr w:type="spellEnd"/>
      <w:r w:rsidRPr="00AB6246">
        <w:rPr>
          <w:vanish/>
        </w:rPr>
        <w:t xml:space="preserve"> komiteja</w:t>
      </w:r>
      <w:bookmarkEnd w:id="4"/>
    </w:p>
    <w:p w:rsidR="00F35EA1" w:rsidRPr="00AB6246" w:rsidRDefault="00F35EA1" w:rsidP="00F35EA1">
      <w:pPr>
        <w:rPr>
          <w:vanish/>
        </w:rPr>
      </w:pPr>
      <w:bookmarkStart w:id="5" w:name="PE"/>
      <w:r w:rsidRPr="00AB6246">
        <w:rPr>
          <w:vanish/>
        </w:rPr>
        <w:t>PE750.074</w:t>
      </w:r>
      <w:bookmarkEnd w:id="5"/>
    </w:p>
    <w:p w:rsidR="00F36271" w:rsidRPr="00AB6246" w:rsidRDefault="00F35EA1" w:rsidP="00FD409A">
      <w:pPr>
        <w:pStyle w:val="ATHeading3"/>
      </w:pPr>
      <w:bookmarkStart w:id="6" w:name="Sujet"/>
      <w:r w:rsidRPr="00AB6246">
        <w:t xml:space="preserve">Eiropas Parlamenta 2024. gada </w:t>
      </w:r>
      <w:r w:rsidR="00FD409A" w:rsidRPr="00AB6246">
        <w:t>18</w:t>
      </w:r>
      <w:r w:rsidRPr="00AB6246">
        <w:t xml:space="preserve">. </w:t>
      </w:r>
      <w:r w:rsidR="00FD409A" w:rsidRPr="00AB6246">
        <w:t>janvāra</w:t>
      </w:r>
      <w:r w:rsidRPr="00AB6246">
        <w:t xml:space="preserve"> rezolūcija par ES noziegumu jomu saraksta paplašināšanu, tajā iekļaujot naida runu un naida noziegumu</w:t>
      </w:r>
      <w:bookmarkEnd w:id="6"/>
      <w:r w:rsidRPr="00AB6246">
        <w:t xml:space="preserve"> </w:t>
      </w:r>
      <w:bookmarkStart w:id="7" w:name="References"/>
      <w:r w:rsidRPr="00AB6246">
        <w:t>(2023/2068(INI))</w:t>
      </w:r>
      <w:bookmarkStart w:id="8" w:name="TextBodyBegin"/>
      <w:bookmarkEnd w:id="7"/>
      <w:bookmarkEnd w:id="8"/>
    </w:p>
    <w:p w:rsidR="00F36271" w:rsidRPr="00AB6246" w:rsidRDefault="00F36271" w:rsidP="00F36271">
      <w:pPr>
        <w:pStyle w:val="EPComma"/>
      </w:pPr>
      <w:r w:rsidRPr="00AB6246">
        <w:rPr>
          <w:rStyle w:val="Italic"/>
        </w:rPr>
        <w:t>Eiropas Parlaments</w:t>
      </w:r>
      <w:r w:rsidRPr="00AB6246">
        <w:t>,</w:t>
      </w:r>
    </w:p>
    <w:p w:rsidR="00F36271" w:rsidRPr="00AB6246" w:rsidRDefault="00F36271" w:rsidP="00F36271">
      <w:pPr>
        <w:pStyle w:val="NormalHanging12a"/>
        <w:rPr>
          <w:szCs w:val="24"/>
        </w:rPr>
      </w:pPr>
      <w:r w:rsidRPr="00AB6246">
        <w:t>–</w:t>
      </w:r>
      <w:r w:rsidRPr="00AB6246">
        <w:tab/>
        <w:t xml:space="preserve">ņemot vērā Eiropas Savienības </w:t>
      </w:r>
      <w:proofErr w:type="spellStart"/>
      <w:r w:rsidRPr="00AB6246">
        <w:t>Pamattiesību</w:t>
      </w:r>
      <w:proofErr w:type="spellEnd"/>
      <w:r w:rsidRPr="00AB6246">
        <w:t xml:space="preserve"> hartu (“Harta”) un jo īpaši tās 1., 7., 20., 21., 22., 23., 25. un 26. pantu,</w:t>
      </w:r>
    </w:p>
    <w:p w:rsidR="00F36271" w:rsidRPr="00AB6246" w:rsidRDefault="00F36271" w:rsidP="00F36271">
      <w:pPr>
        <w:pStyle w:val="NormalHanging12a"/>
      </w:pPr>
      <w:r w:rsidRPr="00AB6246">
        <w:t>–</w:t>
      </w:r>
      <w:r w:rsidRPr="00AB6246">
        <w:tab/>
        <w:t>ņemot vērā Līgumu par Eiropas Savienību (LES) un jo īpaši tā 2., 3. un 6. pantu,</w:t>
      </w:r>
    </w:p>
    <w:p w:rsidR="00F36271" w:rsidRPr="00AB6246" w:rsidRDefault="00F36271" w:rsidP="00F36271">
      <w:pPr>
        <w:pStyle w:val="NormalHanging12a"/>
      </w:pPr>
      <w:r w:rsidRPr="00AB6246">
        <w:t>–</w:t>
      </w:r>
      <w:r w:rsidRPr="00AB6246">
        <w:tab/>
        <w:t>ņemot vērā Līgumu par Eiropas Savienības darbību (LESD) un jo īpaši tā 19. pantu un 83. panta 1. punktu,</w:t>
      </w:r>
    </w:p>
    <w:p w:rsidR="00F36271" w:rsidRPr="00AB6246" w:rsidRDefault="00F36271" w:rsidP="00F36271">
      <w:pPr>
        <w:pStyle w:val="NormalHanging12a"/>
      </w:pPr>
      <w:r w:rsidRPr="00AB6246">
        <w:t>–</w:t>
      </w:r>
      <w:r w:rsidRPr="00AB6246">
        <w:tab/>
        <w:t>ņemot vērā Eiropas Cilvēktiesību konvenciju un saistīto Eiropas Cilvēktiesību tiesas judikatūru,</w:t>
      </w:r>
    </w:p>
    <w:p w:rsidR="00F36271" w:rsidRPr="00AB6246" w:rsidRDefault="00F36271" w:rsidP="00F36271">
      <w:pPr>
        <w:pStyle w:val="NormalHanging12a"/>
      </w:pPr>
      <w:r w:rsidRPr="00AB6246">
        <w:t>–</w:t>
      </w:r>
      <w:r w:rsidRPr="00AB6246">
        <w:tab/>
        <w:t>ņemot vērā Vispārējo cilvēktiesību deklarāciju,</w:t>
      </w:r>
    </w:p>
    <w:p w:rsidR="00F36271" w:rsidRPr="00AB6246" w:rsidRDefault="00F36271" w:rsidP="00F36271">
      <w:pPr>
        <w:pStyle w:val="NormalHanging12a"/>
      </w:pPr>
      <w:r w:rsidRPr="00AB6246">
        <w:t>–</w:t>
      </w:r>
      <w:r w:rsidRPr="00AB6246">
        <w:tab/>
        <w:t>ņemot vērā Eiropas Savienības Tiesas (EST) judikatūru,</w:t>
      </w:r>
    </w:p>
    <w:p w:rsidR="00F36271" w:rsidRPr="00AB6246" w:rsidRDefault="00F36271" w:rsidP="00F36271">
      <w:pPr>
        <w:pStyle w:val="NormalHanging12a"/>
      </w:pPr>
      <w:r w:rsidRPr="00AB6246">
        <w:t>–</w:t>
      </w:r>
      <w:r w:rsidRPr="00AB6246">
        <w:tab/>
        <w:t>ņemot vērā Komisijas 2021. gada 9. decembra paziņojumu “Iekļaujošāka un aizsargājošāka Eiropa: ES noziegumu jomu saraksta paplašināšana, tajā iekļaujot naida runu un naida noziegumu” (COM(2021)0777) un tam pievienoto priekšlikumu Padomes lēmumam,</w:t>
      </w:r>
    </w:p>
    <w:p w:rsidR="00F36271" w:rsidRPr="00AB6246" w:rsidRDefault="00F36271" w:rsidP="00F36271">
      <w:pPr>
        <w:pStyle w:val="NormalHanging12a"/>
      </w:pPr>
      <w:r w:rsidRPr="00AB6246">
        <w:t>–</w:t>
      </w:r>
      <w:r w:rsidRPr="00AB6246">
        <w:tab/>
        <w:t>ņemot vērā Padomes 2008. gada 28. novembra Pamatlēmumu 2008/913/TI par krimināltiesību izmantošanu cīņā pret noteiktiem rasisma un ksenofobijas veidiem un izpausmēm</w:t>
      </w:r>
      <w:r w:rsidRPr="00AB6246">
        <w:rPr>
          <w:rStyle w:val="FootnoteReference"/>
        </w:rPr>
        <w:footnoteReference w:id="1"/>
      </w:r>
      <w:r w:rsidRPr="00AB6246">
        <w:t>,</w:t>
      </w:r>
    </w:p>
    <w:p w:rsidR="00F36271" w:rsidRPr="00AB6246" w:rsidRDefault="00F36271" w:rsidP="00F36271">
      <w:pPr>
        <w:pStyle w:val="NormalHanging12a"/>
      </w:pPr>
      <w:r w:rsidRPr="00AB6246">
        <w:t>–</w:t>
      </w:r>
      <w:r w:rsidRPr="00AB6246">
        <w:tab/>
        <w:t>ņemot vērā Komisijas 2020. gada 5. marta paziņojumu “Savienība, kurā valda līdztiesība: dzimumu līdztiesības stratēģija 2020.–2025. gadam” (COM(2020)0152),</w:t>
      </w:r>
    </w:p>
    <w:p w:rsidR="00F36271" w:rsidRPr="00AB6246" w:rsidRDefault="00F36271" w:rsidP="00F36271">
      <w:pPr>
        <w:pStyle w:val="NormalHanging12a"/>
      </w:pPr>
      <w:r w:rsidRPr="00AB6246">
        <w:lastRenderedPageBreak/>
        <w:t>–</w:t>
      </w:r>
      <w:r w:rsidRPr="00AB6246">
        <w:tab/>
        <w:t>ņemot vērā Komisijas 2020. gada 18. septembra paziņojumu “Savienība, kurā valda līdztiesība: ES rasisma apkarošanas rīcības plāns 2020.–2025. gadam” (COM(2020)0565),</w:t>
      </w:r>
    </w:p>
    <w:p w:rsidR="00F36271" w:rsidRPr="00AB6246" w:rsidRDefault="00F36271" w:rsidP="00F36271">
      <w:pPr>
        <w:pStyle w:val="NormalHanging12a"/>
      </w:pPr>
      <w:r w:rsidRPr="00AB6246">
        <w:t>–</w:t>
      </w:r>
      <w:r w:rsidRPr="00AB6246">
        <w:tab/>
        <w:t>ņemot vērā Komisijas 2020. gada 12. novembra paziņojumu “Savienība, kurā valda līdztiesība: LGBTIK līdztiesības stratēģija 2020.–2025. gadam” (COM(2020)0698),</w:t>
      </w:r>
    </w:p>
    <w:p w:rsidR="00F36271" w:rsidRPr="00AB6246" w:rsidRDefault="00F36271" w:rsidP="00F36271">
      <w:pPr>
        <w:pStyle w:val="NormalHanging12a"/>
      </w:pPr>
      <w:r w:rsidRPr="00AB6246">
        <w:t>–</w:t>
      </w:r>
      <w:r w:rsidRPr="00AB6246">
        <w:tab/>
        <w:t>ņemot vērā Komisijas 2021. gada 3. marta paziņojumu “Savienība, kurā valda līdztiesība: personu ar invaliditāti tiesību stratēģija 2021.–2030. gadam” (COM(2021)0101) un Apvienoto Nāciju Organizācijas Konvenciju par personu ar invaliditāti tiesībām, ko ratificējusi ES un visas tās dalībvalstis,</w:t>
      </w:r>
    </w:p>
    <w:p w:rsidR="00F36271" w:rsidRPr="00AB6246" w:rsidRDefault="00F36271" w:rsidP="00F36271">
      <w:pPr>
        <w:pStyle w:val="NormalHanging12a"/>
      </w:pPr>
      <w:r w:rsidRPr="00AB6246">
        <w:t>–</w:t>
      </w:r>
      <w:r w:rsidRPr="00AB6246">
        <w:tab/>
        <w:t>ņemot vērā Komisijas 2020. gada 24. jūnija paziņojumu “ES stratēģija par cietušo tiesībām (2020.–2025. gads)” (COM(2020)0258),</w:t>
      </w:r>
    </w:p>
    <w:p w:rsidR="00F36271" w:rsidRPr="00AB6246" w:rsidRDefault="00F36271" w:rsidP="00F36271">
      <w:pPr>
        <w:pStyle w:val="NormalHanging12a"/>
      </w:pPr>
      <w:r w:rsidRPr="00AB6246">
        <w:t>–</w:t>
      </w:r>
      <w:r w:rsidRPr="00AB6246">
        <w:tab/>
        <w:t>ņemot vērā Eiropas Padomes Ministru komitejas 2022. gada 20. maija ieteikumu dalībvalstīm par naida runas apkarošanu (CM/Rec(2022)16),</w:t>
      </w:r>
    </w:p>
    <w:p w:rsidR="00F36271" w:rsidRPr="00AB6246" w:rsidRDefault="00F36271" w:rsidP="00F36271">
      <w:pPr>
        <w:pStyle w:val="NormalHanging12a"/>
      </w:pPr>
      <w:r w:rsidRPr="00AB6246">
        <w:t>–</w:t>
      </w:r>
      <w:r w:rsidRPr="00AB6246">
        <w:tab/>
        <w:t>ņemot vērā 2015. gada 8. decembrī pieņemto Eiropas Padomes Komisijas pret rasismu un neiecietību (</w:t>
      </w:r>
      <w:r w:rsidRPr="00AB6246">
        <w:rPr>
          <w:i/>
          <w:iCs/>
        </w:rPr>
        <w:t>ECRI</w:t>
      </w:r>
      <w:r w:rsidRPr="00AB6246">
        <w:t>) Vispārējo politikas ieteikumu Nr. 15 par naida runas apkarošanu,</w:t>
      </w:r>
    </w:p>
    <w:p w:rsidR="00F36271" w:rsidRPr="00AB6246" w:rsidRDefault="00F36271" w:rsidP="00F36271">
      <w:pPr>
        <w:pStyle w:val="NormalHanging12a"/>
        <w:rPr>
          <w:szCs w:val="24"/>
        </w:rPr>
      </w:pPr>
      <w:r w:rsidRPr="00AB6246">
        <w:t>–</w:t>
      </w:r>
      <w:r w:rsidRPr="00AB6246">
        <w:tab/>
        <w:t>ņemot vērā Eiropas Padomes Vispārējo konvenciju par nacionālo minoritāšu aizsardzību un Eiropas reģionālo vai minoritāšu valodu hartu,</w:t>
      </w:r>
    </w:p>
    <w:p w:rsidR="00F36271" w:rsidRPr="00AB6246" w:rsidRDefault="00F36271" w:rsidP="00F36271">
      <w:pPr>
        <w:pStyle w:val="NormalHanging12a"/>
      </w:pPr>
      <w:r w:rsidRPr="00AB6246">
        <w:t>–</w:t>
      </w:r>
      <w:r w:rsidRPr="00AB6246">
        <w:tab/>
        <w:t xml:space="preserve">ņemot vērā </w:t>
      </w:r>
      <w:r w:rsidRPr="00AB6246">
        <w:rPr>
          <w:i/>
          <w:iCs/>
        </w:rPr>
        <w:t>ECRI</w:t>
      </w:r>
      <w:r w:rsidRPr="00AB6246">
        <w:t>, Diskriminācijas novēršanas, daudzveidības un iekļaušanas koordinācijas komitejas, Parlamentārās asamblejas, Venēcijas komisijas un citu Eiropas Padomes struktūru ieteikumus, ziņojumus un rezolūcijas,</w:t>
      </w:r>
    </w:p>
    <w:p w:rsidR="00F36271" w:rsidRPr="00AB6246" w:rsidRDefault="00F36271" w:rsidP="00F36271">
      <w:pPr>
        <w:pStyle w:val="NormalHanging12a"/>
      </w:pPr>
      <w:r w:rsidRPr="00AB6246">
        <w:t>–</w:t>
      </w:r>
      <w:r w:rsidRPr="00AB6246">
        <w:tab/>
        <w:t>ņemot vērā Komisijas Augsta līmeņa grupas nediskriminēšanas, līdztiesības un dažādības jautājumos 2021. gadā publicētās vadlīnijas par līdztiesības datu vākšanas un izmantošanas uzlabošanu,</w:t>
      </w:r>
    </w:p>
    <w:p w:rsidR="00F36271" w:rsidRPr="00AB6246" w:rsidRDefault="00F36271" w:rsidP="00F36271">
      <w:pPr>
        <w:pStyle w:val="NormalHanging12a"/>
      </w:pPr>
      <w:r w:rsidRPr="00AB6246">
        <w:t>–</w:t>
      </w:r>
      <w:r w:rsidRPr="00AB6246">
        <w:tab/>
        <w:t xml:space="preserve">ņemot vērā ANO cilvēktiesību līgumus un ANO instrumentus cilvēktiesību un pamatbrīvību aizsardzības jomā, jo īpaši Vispārējo cilvēktiesību deklarāciju, Starptautisko </w:t>
      </w:r>
      <w:proofErr w:type="spellStart"/>
      <w:r w:rsidRPr="00AB6246">
        <w:t>paktu</w:t>
      </w:r>
      <w:proofErr w:type="spellEnd"/>
      <w:r w:rsidRPr="00AB6246">
        <w:t xml:space="preserve"> par pilsoniskajām un politiskajām tiesībām, Konvenciju par jebkuras rasu diskriminācijas izskaušanu un Konvenciju par jebkuras sieviešu diskriminācijas izskaušanu, kā arī ANO Minoritāšu jautājumu foruma ieteikumus,</w:t>
      </w:r>
    </w:p>
    <w:p w:rsidR="00F36271" w:rsidRPr="00AB6246" w:rsidRDefault="00F36271" w:rsidP="00F36271">
      <w:pPr>
        <w:pStyle w:val="NormalHanging12a"/>
        <w:rPr>
          <w:szCs w:val="24"/>
        </w:rPr>
      </w:pPr>
      <w:r w:rsidRPr="00AB6246">
        <w:t>–</w:t>
      </w:r>
      <w:r w:rsidRPr="00AB6246">
        <w:tab/>
        <w:t>ņemot vērā ikgadējos datus par naida noziegumiem, ko EDSO Demokrātisku iestāžu un cilvēktiesību birojs katru gadu publicē 16. novembrī,</w:t>
      </w:r>
    </w:p>
    <w:p w:rsidR="00F36271" w:rsidRPr="00AB6246" w:rsidRDefault="00F36271" w:rsidP="00F36271">
      <w:pPr>
        <w:pStyle w:val="NormalHanging12a"/>
      </w:pPr>
      <w:r w:rsidRPr="00AB6246">
        <w:t>–</w:t>
      </w:r>
      <w:r w:rsidRPr="00AB6246">
        <w:tab/>
        <w:t>ņemot vērā 2020. gada 25. novembra rezolūciju par mediju brīvības stiprināšanu: žurnālistu aizsardzība Eiropā, naida runa, dezinformācija un platformu nozīme</w:t>
      </w:r>
      <w:r w:rsidRPr="00AB6246">
        <w:rPr>
          <w:rStyle w:val="FootnoteReference"/>
        </w:rPr>
        <w:footnoteReference w:id="2"/>
      </w:r>
      <w:r w:rsidRPr="00AB6246">
        <w:t>,</w:t>
      </w:r>
    </w:p>
    <w:p w:rsidR="00F36271" w:rsidRPr="00AB6246" w:rsidRDefault="00F36271" w:rsidP="00F36271">
      <w:pPr>
        <w:pStyle w:val="NormalHanging12a"/>
      </w:pPr>
      <w:r w:rsidRPr="00AB6246">
        <w:t>–</w:t>
      </w:r>
      <w:r w:rsidRPr="00AB6246">
        <w:tab/>
        <w:t xml:space="preserve">ņemot vērā 2021. gada 16. septembra rezolūciju ar ieteikumiem Komisijai par to, lai </w:t>
      </w:r>
      <w:proofErr w:type="spellStart"/>
      <w:r w:rsidRPr="00AB6246">
        <w:t>dzimumbalstīta</w:t>
      </w:r>
      <w:proofErr w:type="spellEnd"/>
      <w:r w:rsidRPr="00AB6246">
        <w:t xml:space="preserve"> vardarbība tiktu iekļauta kā jauna noziegumu joma LESD 83. panta 1. punktā uzskaitītajā noziegumu jomu sarakstā</w:t>
      </w:r>
      <w:r w:rsidRPr="00AB6246">
        <w:rPr>
          <w:rStyle w:val="FootnoteReference"/>
        </w:rPr>
        <w:footnoteReference w:id="3"/>
      </w:r>
      <w:r w:rsidRPr="00AB6246">
        <w:t>,</w:t>
      </w:r>
    </w:p>
    <w:p w:rsidR="00F36271" w:rsidRPr="00AB6246" w:rsidRDefault="00F36271" w:rsidP="00F36271">
      <w:pPr>
        <w:pStyle w:val="NormalHanging12a"/>
        <w:rPr>
          <w:szCs w:val="24"/>
        </w:rPr>
      </w:pPr>
      <w:r w:rsidRPr="00AB6246">
        <w:t>–</w:t>
      </w:r>
      <w:r w:rsidRPr="00AB6246">
        <w:tab/>
        <w:t xml:space="preserve">ņemot vērā 2018. gada 13. novembra rezolūciju par minoritātēm paredzētu standartu </w:t>
      </w:r>
      <w:r w:rsidRPr="00AB6246">
        <w:lastRenderedPageBreak/>
        <w:t>minimumu Eiropas Savienībā</w:t>
      </w:r>
      <w:r w:rsidRPr="00AB6246">
        <w:rPr>
          <w:rStyle w:val="FootnoteReference"/>
        </w:rPr>
        <w:footnoteReference w:id="4"/>
      </w:r>
      <w:r w:rsidRPr="00AB6246">
        <w:t>,</w:t>
      </w:r>
    </w:p>
    <w:p w:rsidR="00F36271" w:rsidRPr="00AB6246" w:rsidRDefault="00F36271" w:rsidP="00F36271">
      <w:pPr>
        <w:pStyle w:val="NormalHanging12a"/>
      </w:pPr>
      <w:r w:rsidRPr="00AB6246">
        <w:t>–</w:t>
      </w:r>
      <w:r w:rsidRPr="00AB6246">
        <w:tab/>
        <w:t>ņemot vērā Reglamenta 105. panta 5. punktu,</w:t>
      </w:r>
    </w:p>
    <w:p w:rsidR="00F36271" w:rsidRPr="00AB6246" w:rsidRDefault="00F36271" w:rsidP="00F36271">
      <w:pPr>
        <w:pStyle w:val="Normal12Hanging"/>
      </w:pPr>
      <w:r w:rsidRPr="00AB6246">
        <w:t>–</w:t>
      </w:r>
      <w:r w:rsidRPr="00AB6246">
        <w:tab/>
        <w:t>ņemot vērā Sieviešu tiesību un dzimumu līdztiesības komitejas atzinumu,</w:t>
      </w:r>
    </w:p>
    <w:p w:rsidR="00F36271" w:rsidRPr="00AB6246" w:rsidRDefault="00F36271" w:rsidP="00F36271">
      <w:pPr>
        <w:pStyle w:val="NormalHanging12a"/>
      </w:pPr>
      <w:r w:rsidRPr="00AB6246">
        <w:t>–</w:t>
      </w:r>
      <w:r w:rsidRPr="00AB6246">
        <w:tab/>
        <w:t xml:space="preserve">ņemot vērā Pilsoņu brīvību, tieslietu un </w:t>
      </w:r>
      <w:proofErr w:type="spellStart"/>
      <w:r w:rsidRPr="00AB6246">
        <w:t>iekšlietu</w:t>
      </w:r>
      <w:proofErr w:type="spellEnd"/>
      <w:r w:rsidRPr="00AB6246">
        <w:t xml:space="preserve"> komitejas ziņojumu (A9-0377/2023),</w:t>
      </w:r>
    </w:p>
    <w:p w:rsidR="00F36271" w:rsidRPr="00AB6246" w:rsidRDefault="00F36271" w:rsidP="00F36271">
      <w:pPr>
        <w:pStyle w:val="NormalHanging12a"/>
        <w:rPr>
          <w:szCs w:val="24"/>
        </w:rPr>
      </w:pPr>
      <w:r w:rsidRPr="00AB6246">
        <w:t>A.</w:t>
      </w:r>
      <w:r w:rsidRPr="00AB6246">
        <w:tab/>
        <w:t xml:space="preserve">tā kā Hartas 21. pantā ir noteikts, ka ir aizliegta jebkāda veida diskriminācija, tostarp diskriminācija dzimuma, rases, ādas krāsas, etniskās vai sociālās izcelsmes, ģenētisko īpatnību, valodas, reliģijas vai pārliecības, politisko vai jebkuru citu uzskatu dēļ, diskriminācija saistībā ar piederību pie nacionālās minoritātes, diskriminācija īpašuma, izcelsmes, invaliditātes, vecuma vai </w:t>
      </w:r>
      <w:proofErr w:type="spellStart"/>
      <w:r w:rsidRPr="00AB6246">
        <w:t>dzimumorientācijas</w:t>
      </w:r>
      <w:proofErr w:type="spellEnd"/>
      <w:r w:rsidRPr="00AB6246">
        <w:t xml:space="preserve"> dēļ; tā kā, ievērojot Līgumu piemērošanas jomu un neskarot tajos paredzētos īpašos noteikumus, ir aizliegta jebkāda diskriminācija valstspiederības dēļ; tā kā saskaņā ar EST plašo interpretāciju “dzimuma” pamatojums būtu jāsaprot plaši, lai aptvertu visus diskriminācijas veidus, kas saistīti ar </w:t>
      </w:r>
      <w:proofErr w:type="spellStart"/>
      <w:r w:rsidRPr="00AB6246">
        <w:t>dzimtisko</w:t>
      </w:r>
      <w:proofErr w:type="spellEnd"/>
      <w:r w:rsidRPr="00AB6246">
        <w:t xml:space="preserve"> identitāti, dzimuma pašizpausmi un </w:t>
      </w:r>
      <w:proofErr w:type="spellStart"/>
      <w:r w:rsidRPr="00AB6246">
        <w:t>dzimumpazīmēm</w:t>
      </w:r>
      <w:proofErr w:type="spellEnd"/>
      <w:r w:rsidRPr="00AB6246">
        <w:rPr>
          <w:vertAlign w:val="superscript"/>
        </w:rPr>
        <w:footnoteReference w:id="5"/>
      </w:r>
      <w:r w:rsidRPr="00AB6246">
        <w:t>;</w:t>
      </w:r>
    </w:p>
    <w:p w:rsidR="00F36271" w:rsidRPr="00AB6246" w:rsidRDefault="00F36271" w:rsidP="00F36271">
      <w:pPr>
        <w:pStyle w:val="NormalHanging12a"/>
      </w:pPr>
      <w:r w:rsidRPr="00AB6246">
        <w:t>B.</w:t>
      </w:r>
      <w:r w:rsidRPr="00AB6246">
        <w:tab/>
        <w:t xml:space="preserve">tā kā neviena no naida un </w:t>
      </w:r>
      <w:proofErr w:type="spellStart"/>
      <w:r w:rsidRPr="00AB6246">
        <w:t>netolerances</w:t>
      </w:r>
      <w:proofErr w:type="spellEnd"/>
      <w:r w:rsidRPr="00AB6246">
        <w:t xml:space="preserve"> formām un izpausmēm, arī naida runa un naida noziegumi, nav saderīga ar Savienības vērtībām, respektīvi, cilvēka cieņu, brīvību, demokrātiju, vienlīdzību, tiesiskumu un cilvēktiesību – cita starpā pie minoritātēm piederošu personu tiesību – ievērošanu, kas noteiktas LES 2. pantā; tā kā šo Savienības pamatvērtību veicināšana un aizsardzība ir atkarīga no ES iestādēm, dalībvalstīm un citiem attiecīgiem dalībniekiem, kas cīnās pret objektivitātes trūkumu, aizspriedumiem un neiecietību, kā arī no naida izskaušanas;</w:t>
      </w:r>
    </w:p>
    <w:p w:rsidR="00F36271" w:rsidRPr="00AB6246" w:rsidRDefault="00F36271" w:rsidP="00F36271">
      <w:pPr>
        <w:pStyle w:val="NormalHanging12a"/>
        <w:rPr>
          <w:szCs w:val="24"/>
        </w:rPr>
      </w:pPr>
      <w:r w:rsidRPr="00AB6246">
        <w:t>C.</w:t>
      </w:r>
      <w:r w:rsidRPr="00AB6246">
        <w:tab/>
        <w:t xml:space="preserve">tā kā naida runa un naida noziegumi ir sarežģītas un daudzdimensionālas parādības ar tālejošu ietekmi uz cilvēktiesībām un tiesiskumu demokrātiskā sabiedrībā; tā kā, lai cīnītos pret ksenofobiju, rasismu, </w:t>
      </w:r>
      <w:proofErr w:type="spellStart"/>
      <w:r w:rsidRPr="00AB6246">
        <w:t>mizogīniju</w:t>
      </w:r>
      <w:proofErr w:type="spellEnd"/>
      <w:r w:rsidRPr="00AB6246">
        <w:t xml:space="preserve">, homofobiju, </w:t>
      </w:r>
      <w:proofErr w:type="spellStart"/>
      <w:r w:rsidRPr="00AB6246">
        <w:t>transfobiju</w:t>
      </w:r>
      <w:proofErr w:type="spellEnd"/>
      <w:r w:rsidRPr="00AB6246">
        <w:t xml:space="preserve"> un citiem aizspriedumiem, neiecietību, diskrimināciju, tostarp tādu, kas balstīta uz politiskiem vai citiem uzskatiem, un naidu pret konkrētām personām vai sabiedrības grupām, ES un tās dalībvalstīm ir jāizstrādā holistiska atbildes reakcija ciešā sadarbībā ar attiecīgajām ieinteresētajām personām, tostarp pilsonisko sabiedrību; tā kā kriminalizācija ir viens no veidiem, kā apkarot naida runu un naida noziegumus;</w:t>
      </w:r>
    </w:p>
    <w:p w:rsidR="00F36271" w:rsidRPr="00AB6246" w:rsidRDefault="00F36271" w:rsidP="00F36271">
      <w:pPr>
        <w:pStyle w:val="NormalHanging12a"/>
        <w:rPr>
          <w:szCs w:val="24"/>
        </w:rPr>
      </w:pPr>
      <w:r w:rsidRPr="00AB6246">
        <w:t>D.</w:t>
      </w:r>
      <w:r w:rsidRPr="00AB6246">
        <w:tab/>
        <w:t xml:space="preserve">tā kā cīņai pret naida runu un naida noziegumiem gan tiešsaistē, gan </w:t>
      </w:r>
      <w:proofErr w:type="spellStart"/>
      <w:r w:rsidRPr="00AB6246">
        <w:t>bezsaistē</w:t>
      </w:r>
      <w:proofErr w:type="spellEnd"/>
      <w:r w:rsidRPr="00AB6246">
        <w:t xml:space="preserve"> ir vajadzīga daudzdimensionāla pieeja un attiecīgā gadījumā dažādi līdzekļi to apkarošanai, tostarp krimināltiesības, civilprocesuālas un administratīvas procedūras un citi nozīmīgi politiski vai sociāli pasākumi; tā kā dalībvalstis jau ir apņēmušās pieņemt tiesību aktus un pasākumus, kas paredz sodus par naida noziegumiem, novērš nepietiekamu ziņošanu un ievieš vai turpina attīstīt tiesībaizsardzības un tiesu iestāžu </w:t>
      </w:r>
      <w:r w:rsidRPr="00AB6246">
        <w:lastRenderedPageBreak/>
        <w:t>amatpersonu spēju veidošanas pasākumus</w:t>
      </w:r>
      <w:r w:rsidRPr="00AB6246">
        <w:rPr>
          <w:vertAlign w:val="superscript"/>
        </w:rPr>
        <w:footnoteReference w:id="6"/>
      </w:r>
      <w:r w:rsidRPr="00AB6246">
        <w:t xml:space="preserve">; tā kā, lai efektīvi apkarotu naida runu un naida noziegumus, ir būtiski novērst to pamatcēloņus, jo īpaši stereotipus; tā kā šajā ziņā būtiska nozīme ir preventīviem pasākumiem, izglītībai, tostarp digitālajai izglītībai, </w:t>
      </w:r>
      <w:proofErr w:type="spellStart"/>
      <w:r w:rsidRPr="00AB6246">
        <w:t>pratībai</w:t>
      </w:r>
      <w:proofErr w:type="spellEnd"/>
      <w:r w:rsidRPr="00AB6246">
        <w:t xml:space="preserve"> un prasmēm, kas palīdz veicināt drošu digitālo vidi, apmācību un informētības palielināšanu; tā kā ES un dalībvalstīm būtu jāveicina labāka izpratne par daudzveidības un dialoga nepieciešamību demokrātijas, cilvēktiesību un tiesiskuma kontekstā, jāpalielina sabiedrības izpratne par to, cik svarīgi ir ievērot plurālismu, un jāapkaro negatīvi stereotipi un </w:t>
      </w:r>
      <w:proofErr w:type="spellStart"/>
      <w:r w:rsidRPr="00AB6246">
        <w:t>stigmatizācija</w:t>
      </w:r>
      <w:proofErr w:type="spellEnd"/>
      <w:r w:rsidRPr="00AB6246">
        <w:t>;</w:t>
      </w:r>
    </w:p>
    <w:p w:rsidR="00F36271" w:rsidRPr="00AB6246" w:rsidRDefault="00F36271" w:rsidP="00F36271">
      <w:pPr>
        <w:pStyle w:val="NormalHanging12a"/>
        <w:rPr>
          <w:szCs w:val="24"/>
        </w:rPr>
      </w:pPr>
      <w:r w:rsidRPr="00AB6246">
        <w:t>E.</w:t>
      </w:r>
      <w:r w:rsidRPr="00AB6246">
        <w:tab/>
        <w:t xml:space="preserve">tā kā naida runa un naida noziegumi var būt īpaši smagi noziegumi un tie var skart ne tikai konkrētos cietušos un viņu kopienas, radot viņiem ciešanas un ierobežojot viņu </w:t>
      </w:r>
      <w:proofErr w:type="spellStart"/>
      <w:r w:rsidRPr="00AB6246">
        <w:t>pamattiesības</w:t>
      </w:r>
      <w:proofErr w:type="spellEnd"/>
      <w:r w:rsidRPr="00AB6246">
        <w:t xml:space="preserve"> un brīvības, bet arī sabiedrību kopumā, vājinot ES pamatus;</w:t>
      </w:r>
    </w:p>
    <w:p w:rsidR="00F36271" w:rsidRPr="00AB6246" w:rsidRDefault="00F36271" w:rsidP="00F36271">
      <w:pPr>
        <w:pStyle w:val="NormalHanging12a"/>
        <w:rPr>
          <w:szCs w:val="24"/>
        </w:rPr>
      </w:pPr>
      <w:r w:rsidRPr="00AB6246">
        <w:t>F.</w:t>
      </w:r>
      <w:r w:rsidRPr="00AB6246">
        <w:tab/>
        <w:t>tā kā ne visi naida runas veidi ir noziegums, taču tie vienalga veicina naida, vardarbības un neiecietības izpausmju normalizēšanu sabiedrībā;</w:t>
      </w:r>
    </w:p>
    <w:p w:rsidR="00F36271" w:rsidRPr="00AB6246" w:rsidRDefault="00F36271" w:rsidP="00F36271">
      <w:pPr>
        <w:pStyle w:val="NormalHanging12a"/>
      </w:pPr>
      <w:r w:rsidRPr="00AB6246">
        <w:t>G.</w:t>
      </w:r>
      <w:r w:rsidRPr="00AB6246">
        <w:tab/>
        <w:t xml:space="preserve">tā kā pēdējo </w:t>
      </w:r>
      <w:proofErr w:type="spellStart"/>
      <w:r w:rsidRPr="00AB6246">
        <w:t>desmitgažu</w:t>
      </w:r>
      <w:proofErr w:type="spellEnd"/>
      <w:r w:rsidRPr="00AB6246">
        <w:t xml:space="preserve"> laikā visā ES ir strauji pieaudzis diskriminācijas, naida noziegumu un naida runas gadījumu skaits</w:t>
      </w:r>
      <w:r w:rsidRPr="00AB6246">
        <w:rPr>
          <w:rStyle w:val="FootnoteReference"/>
        </w:rPr>
        <w:footnoteReference w:id="7"/>
      </w:r>
      <w:r w:rsidRPr="00AB6246">
        <w:t xml:space="preserve">, ir pieaudzis dažādu rasisma, antisemītisma, </w:t>
      </w:r>
      <w:proofErr w:type="spellStart"/>
      <w:r w:rsidRPr="00AB6246">
        <w:t>islamofobijas</w:t>
      </w:r>
      <w:proofErr w:type="spellEnd"/>
      <w:r w:rsidRPr="00AB6246">
        <w:t xml:space="preserve">, ksenofobijas, homofobijas, </w:t>
      </w:r>
      <w:proofErr w:type="spellStart"/>
      <w:r w:rsidRPr="00AB6246">
        <w:t>transfobijas</w:t>
      </w:r>
      <w:proofErr w:type="spellEnd"/>
      <w:r w:rsidRPr="00AB6246">
        <w:t xml:space="preserve"> un citu neiecietības veidu skaits, kā arī ir satraucoši palielinājies naida runas un uzkūdīšanas gadījumu skaits tiešsaistē un </w:t>
      </w:r>
      <w:proofErr w:type="spellStart"/>
      <w:r w:rsidRPr="00AB6246">
        <w:t>bezsaistē</w:t>
      </w:r>
      <w:proofErr w:type="spellEnd"/>
      <w:r w:rsidRPr="00AB6246">
        <w:t xml:space="preserve">; tā kā naida runa un naida noziegumi tiek regulāri vērsti pret personām, kas pieder pie neaizsargātām grupām, piemēram, </w:t>
      </w:r>
      <w:r w:rsidRPr="00AB6246">
        <w:rPr>
          <w:i/>
          <w:iCs/>
        </w:rPr>
        <w:t>LGBTIQ+</w:t>
      </w:r>
      <w:r w:rsidRPr="00AB6246">
        <w:t xml:space="preserve">, </w:t>
      </w:r>
      <w:proofErr w:type="spellStart"/>
      <w:r w:rsidRPr="00AB6246">
        <w:t>rasializētām</w:t>
      </w:r>
      <w:proofErr w:type="spellEnd"/>
      <w:r w:rsidRPr="00AB6246">
        <w:t xml:space="preserve"> personām, etniskajām, reliģiskajām vai lingvistiskajām minoritātēm, pirmiedzīvotāju kopienām</w:t>
      </w:r>
      <w:r w:rsidRPr="00AB6246">
        <w:rPr>
          <w:vertAlign w:val="superscript"/>
        </w:rPr>
        <w:footnoteReference w:id="8"/>
      </w:r>
      <w:r w:rsidRPr="00AB6246">
        <w:rPr>
          <w:vertAlign w:val="superscript"/>
        </w:rPr>
        <w:t>,</w:t>
      </w:r>
      <w:r w:rsidRPr="00AB6246">
        <w:rPr>
          <w:rStyle w:val="FootnoteReference"/>
        </w:rPr>
        <w:footnoteReference w:id="9"/>
      </w:r>
      <w:r w:rsidRPr="00AB6246">
        <w:t xml:space="preserve">, cilvēkiem ar invaliditāti, cilvēkiem ar sociālekonomisku nelabvēlīgu vidi, patvēruma meklētājiem, bēgļiem un migrantiem; tā kā Eiropā ir ievērojami pieaudzis pret </w:t>
      </w:r>
      <w:r w:rsidRPr="00AB6246">
        <w:rPr>
          <w:i/>
          <w:iCs/>
        </w:rPr>
        <w:t>LGBTIQ+</w:t>
      </w:r>
      <w:r w:rsidRPr="00AB6246">
        <w:t xml:space="preserve"> vērstu naida noziegumu un naida runas gadījumu skaits</w:t>
      </w:r>
      <w:r w:rsidRPr="00AB6246">
        <w:rPr>
          <w:vertAlign w:val="superscript"/>
        </w:rPr>
        <w:footnoteReference w:id="10"/>
      </w:r>
      <w:r w:rsidRPr="00AB6246">
        <w:t xml:space="preserve">, kā arī palielinājusies pret sievietēm vērsta diskriminācija un naids; tā kā multiplā un </w:t>
      </w:r>
      <w:proofErr w:type="spellStart"/>
      <w:r w:rsidRPr="00AB6246">
        <w:t>intersekcionālā</w:t>
      </w:r>
      <w:proofErr w:type="spellEnd"/>
      <w:r w:rsidRPr="00AB6246">
        <w:t xml:space="preserve"> diskriminācija ir auglīgs pamats naida runai un noziegumiem; tā kā cilvēki, pret kuriem tiek vērsta naida runa, arvien vairāk tiek izslēgti no sabiedrības;</w:t>
      </w:r>
    </w:p>
    <w:p w:rsidR="00F36271" w:rsidRPr="00AB6246" w:rsidRDefault="00F36271" w:rsidP="00F36271">
      <w:pPr>
        <w:pStyle w:val="NormalHanging12a"/>
        <w:rPr>
          <w:szCs w:val="24"/>
        </w:rPr>
      </w:pPr>
      <w:r w:rsidRPr="00AB6246">
        <w:t>H.</w:t>
      </w:r>
      <w:r w:rsidRPr="00AB6246">
        <w:tab/>
        <w:t xml:space="preserve">tā kā daudzās dalībvalstīs diskriminācijas un naida palielināšanos vēl vairāk saasina ekstrēmistu un populistu kustības, kā arī tiešsaistes vides un sociālo mediju palielinošā ietekme, kas sekmē atkārtotu </w:t>
      </w:r>
      <w:proofErr w:type="spellStart"/>
      <w:r w:rsidRPr="00AB6246">
        <w:t>viktimizāciju</w:t>
      </w:r>
      <w:proofErr w:type="spellEnd"/>
      <w:r w:rsidRPr="00AB6246">
        <w:t>; tā kā šāda tendence rada bīstamu šķelšanos sabiedrībā kopumā un apdraud demokrātiju;</w:t>
      </w:r>
    </w:p>
    <w:p w:rsidR="00F36271" w:rsidRPr="00AB6246" w:rsidRDefault="00F36271" w:rsidP="00F36271">
      <w:pPr>
        <w:pStyle w:val="NormalHanging12a"/>
        <w:rPr>
          <w:szCs w:val="24"/>
        </w:rPr>
      </w:pPr>
      <w:r w:rsidRPr="00AB6246">
        <w:t>I.</w:t>
      </w:r>
      <w:r w:rsidRPr="00AB6246">
        <w:tab/>
        <w:t xml:space="preserve">tā kā ir pierādījumi, ka ES joprojām nepietiekami tiek ziņots par naida runu un naida </w:t>
      </w:r>
      <w:r w:rsidRPr="00AB6246">
        <w:lastRenderedPageBreak/>
        <w:t>motivētiem incidentiem</w:t>
      </w:r>
      <w:r w:rsidRPr="00AB6246">
        <w:rPr>
          <w:vertAlign w:val="superscript"/>
        </w:rPr>
        <w:footnoteReference w:id="11"/>
      </w:r>
      <w:r w:rsidRPr="00AB6246">
        <w:t>, kas apgrūtina problēmas apmēra noteikšanu;</w:t>
      </w:r>
    </w:p>
    <w:p w:rsidR="00F36271" w:rsidRPr="00AB6246" w:rsidRDefault="00F36271" w:rsidP="00F36271">
      <w:pPr>
        <w:pStyle w:val="NormalHanging12a"/>
        <w:rPr>
          <w:szCs w:val="24"/>
        </w:rPr>
      </w:pPr>
      <w:r w:rsidRPr="00AB6246">
        <w:t>J.</w:t>
      </w:r>
      <w:r w:rsidRPr="00AB6246">
        <w:tab/>
        <w:t>tā kā plašsaziņas līdzekļiem un žurnālistiem ir būtiska nozīme sabiedrības informēšanā un demokrātisko procesu veicināšanā;</w:t>
      </w:r>
    </w:p>
    <w:p w:rsidR="00F36271" w:rsidRPr="00AB6246" w:rsidRDefault="00F36271" w:rsidP="00F36271">
      <w:pPr>
        <w:pStyle w:val="NormalHanging12a"/>
        <w:rPr>
          <w:szCs w:val="24"/>
        </w:rPr>
      </w:pPr>
      <w:r w:rsidRPr="00AB6246">
        <w:t>K.</w:t>
      </w:r>
      <w:r w:rsidRPr="00AB6246">
        <w:tab/>
        <w:t>tā kā politisko diskursu arvien vairāk raksturo naida runa; tā kā vēlēšanu kampaņas ir īpaši auglīgs pamats naida runai un naida kurināšanai, kas ietekmē ne tikai politisko sfēru, bet arī sabiedrības darbību kopumā un padziļina politisko polarizāciju; tā kā naida runa pret sievietēm, kas ieņem amatus publiskajā sektorā, ir sasniegusi satraucošu līmeni; tā kā politiskajiem līderiem ir nozīmīga loma un atbildība cīņā pret naida runu un neiecietību; tā kā viņiem vajadzētu rādīt piemēru un publiski nosodīt naida izpausmes;</w:t>
      </w:r>
    </w:p>
    <w:p w:rsidR="00F36271" w:rsidRPr="00AB6246" w:rsidRDefault="00F36271" w:rsidP="00F36271">
      <w:pPr>
        <w:pStyle w:val="NormalHanging12a"/>
        <w:rPr>
          <w:szCs w:val="24"/>
        </w:rPr>
      </w:pPr>
      <w:r w:rsidRPr="00AB6246">
        <w:t>L.</w:t>
      </w:r>
      <w:r w:rsidRPr="00AB6246">
        <w:tab/>
        <w:t xml:space="preserve">tā kā nepilngadīgie ir īpaši neaizsargāti no naida runas un naida noziegumiem cietušie, tostarp skolās vai tiešsaistē, izmantojot </w:t>
      </w:r>
      <w:proofErr w:type="spellStart"/>
      <w:r w:rsidRPr="00AB6246">
        <w:t>kiberbulingu</w:t>
      </w:r>
      <w:proofErr w:type="spellEnd"/>
      <w:r w:rsidRPr="00AB6246">
        <w:t xml:space="preserve">; tā kā šādi uzbrukumi apdraud viņu fizisko un garīgo integritāti un ietekmē viņu attīstību un fizisko un </w:t>
      </w:r>
      <w:proofErr w:type="spellStart"/>
      <w:r w:rsidRPr="00AB6246">
        <w:t>psihoemocionālo</w:t>
      </w:r>
      <w:proofErr w:type="spellEnd"/>
      <w:r w:rsidRPr="00AB6246">
        <w:t xml:space="preserve"> veselību; tā kā viņiem būtu jāpievērš īpaša uzmanība;</w:t>
      </w:r>
    </w:p>
    <w:p w:rsidR="00F36271" w:rsidRPr="00AB6246" w:rsidRDefault="00F36271" w:rsidP="00F36271">
      <w:pPr>
        <w:pStyle w:val="NormalHanging12a"/>
        <w:rPr>
          <w:szCs w:val="24"/>
        </w:rPr>
      </w:pPr>
      <w:r w:rsidRPr="00AB6246">
        <w:t>M.</w:t>
      </w:r>
      <w:r w:rsidRPr="00AB6246">
        <w:tab/>
        <w:t>tā kā dalībvalstis naida runu un naida noziegumus savos attiecīgajos krimināllikumos nerisina vienādi un līdz ar to dažās Savienības daļās atsevišķām grupām nav pietiekamas aizsardzības; tā kā tas apgrūtina vienotas Eiropas pieejas noteikšanu naida runas un naida noziegumu apkarošanai; tā kā tiesiskās aizsardzības trūkums cietušajiem var radīt postošas sekas;</w:t>
      </w:r>
    </w:p>
    <w:p w:rsidR="00F36271" w:rsidRPr="00AB6246" w:rsidRDefault="00F36271" w:rsidP="00F36271">
      <w:pPr>
        <w:pStyle w:val="NormalHanging12a"/>
        <w:rPr>
          <w:szCs w:val="24"/>
        </w:rPr>
      </w:pPr>
      <w:r w:rsidRPr="00AB6246">
        <w:t>N.</w:t>
      </w:r>
      <w:r w:rsidRPr="00AB6246">
        <w:tab/>
        <w:t xml:space="preserve">tā kā pašreizējais ES regulējums attiecas tikai uz naida runu un naida noziegumiem rases, ādas krāsas, reliģijas, izcelsmes un nacionālās vai etniskās piederības dēļ; tā kā pašlaik ES līmenī nav visaptverošas kopējas juridiskas definīcijas naida runai un naida noziegumiem; tā kā ir skaidrs, ka ir efektīvi jāvēršas pret naida runu un naida noziegumiem, kuru pamatā ir citi iemesli, piemēram, dzimums, seksuālā orientācija, dzimte, </w:t>
      </w:r>
      <w:proofErr w:type="spellStart"/>
      <w:r w:rsidRPr="00AB6246">
        <w:t>dzimtiskā</w:t>
      </w:r>
      <w:proofErr w:type="spellEnd"/>
      <w:r w:rsidRPr="00AB6246">
        <w:t xml:space="preserve"> identitāte, dzimuma pašizpausme, </w:t>
      </w:r>
      <w:proofErr w:type="spellStart"/>
      <w:r w:rsidRPr="00AB6246">
        <w:t>dzimumpazīmes</w:t>
      </w:r>
      <w:proofErr w:type="spellEnd"/>
      <w:r w:rsidRPr="00AB6246">
        <w:t>, vecums, invaliditāte un jebkādas citas pamatiezīmes, jo īpaši tās, kas aizsargātas saskaņā ar Hartas 21. pantu, un jebkāda šo iezīmju kombinācija; tā kā ES ir jāaizsargā visneaizsargātākie sabiedrības locekļi; tā kā īpaša uzmanība būtu jāpievērš to personu, grupu vai kopienu identificēšanai, kuras ir visneaizsargātākās pret naida runu un naida noziegumiem, lai izvairītos no negatīvas ietekmes uz cietušo aizsardzību;</w:t>
      </w:r>
    </w:p>
    <w:p w:rsidR="00F36271" w:rsidRPr="00AB6246" w:rsidRDefault="00F36271" w:rsidP="00F36271">
      <w:pPr>
        <w:pStyle w:val="NormalHanging12a"/>
        <w:rPr>
          <w:szCs w:val="24"/>
        </w:rPr>
      </w:pPr>
      <w:r w:rsidRPr="00AB6246">
        <w:t>O.</w:t>
      </w:r>
      <w:r w:rsidRPr="00AB6246">
        <w:tab/>
        <w:t>tā kā LESD 83. panta 1. punktā ir noteiktas skaidras prasības jaunu noziegumu jomu iekļaušanai ES pārrobežu noziegumu sarakstā; tā kā naida runas tiešsaistē īpašā pārrobežu dimensija ir skaidra; tā kā digitālā pārkārtošanās uzsver nepieciešamību risināt šo situāciju Eiropas līmenī; tā kā naida runa un naida noziegumi ir jāapkaro kopīgi un ES līmenī; tā kā ES ir pienākums rīkoties;</w:t>
      </w:r>
    </w:p>
    <w:p w:rsidR="00F36271" w:rsidRPr="00AB6246" w:rsidRDefault="00F36271" w:rsidP="00F36271">
      <w:pPr>
        <w:pStyle w:val="NormalHanging12a"/>
        <w:rPr>
          <w:szCs w:val="24"/>
        </w:rPr>
      </w:pPr>
      <w:r w:rsidRPr="00AB6246">
        <w:t>P.</w:t>
      </w:r>
      <w:r w:rsidRPr="00AB6246">
        <w:tab/>
        <w:t xml:space="preserve">tā kā ES krimināltiesību reakcijai uz naida runu un naida noziegumiem vajadzētu būt stingrai, samērīgai un pielāgotai tās mērķim, lai pienācīgi aizsargātu cietušos un pienācīgi ņemtu vērā vārda brīvību un informācijas brīvību, kas ir demokrātijas stūrakmeņi; tā kā ES būtu jāgarantē, ka dalībvalstu kompetentās iestādes vārda brīvības ierobežojumus naida runas novēršanai un apkarošanai neizmanto ļaunprātīgi, lai apklusinātu minoritātes vai apspiestu kritiku; tā kā, nosakot aizsardzību pret naida runu, </w:t>
      </w:r>
      <w:r w:rsidRPr="00AB6246">
        <w:lastRenderedPageBreak/>
        <w:t>ir jāievēro Eiropas Cilvēktiesību tiesas spriedumi par vārda brīvību;</w:t>
      </w:r>
    </w:p>
    <w:p w:rsidR="00F36271" w:rsidRPr="00AB6246" w:rsidRDefault="00F36271" w:rsidP="00F36271">
      <w:pPr>
        <w:pStyle w:val="NormalHanging12a"/>
        <w:rPr>
          <w:szCs w:val="24"/>
        </w:rPr>
      </w:pPr>
      <w:r w:rsidRPr="00AB6246">
        <w:t>Q.</w:t>
      </w:r>
      <w:r w:rsidRPr="00AB6246">
        <w:tab/>
        <w:t xml:space="preserve">tā kā cilvēka cieņa un diskriminācijas aizlieguma princips ir galvenās </w:t>
      </w:r>
      <w:proofErr w:type="spellStart"/>
      <w:r w:rsidRPr="00AB6246">
        <w:t>pamattiesības</w:t>
      </w:r>
      <w:proofErr w:type="spellEnd"/>
      <w:r w:rsidRPr="00AB6246">
        <w:t>, kas tiek aizsargātas cīņā pret naida runu un naida noziegumiem; tā kā šādai aizsardzībai vajadzētu būt universālai; tā kā aizsardzību pret neiecietību neatkarīgi no tā, vai tās pamatā ir rase, nacionālā izcelsme, seksuālā orientācija, reliģija, ideoloģija, vecums, viedoklis vai jebkāds cits personisks, fizisks vai sociāls stāvoklis vai apstākļi, neatkarīgi no tās izpausmes veida, nedrīkst ierobežot tikai ar noteiktiem iemesliem vai motivāciju;</w:t>
      </w:r>
    </w:p>
    <w:p w:rsidR="00F36271" w:rsidRPr="00AB6246" w:rsidRDefault="00F36271" w:rsidP="00F36271">
      <w:pPr>
        <w:pStyle w:val="NormalHanging12a"/>
        <w:rPr>
          <w:szCs w:val="24"/>
        </w:rPr>
      </w:pPr>
      <w:r w:rsidRPr="00AB6246">
        <w:t>R.</w:t>
      </w:r>
      <w:r w:rsidRPr="00AB6246">
        <w:tab/>
        <w:t>tā kā sociālās dinamikas izmaiņas var radīt jaunus naida runas un naida noziegumu motivācijas veidus, kas jārisina, izmantojot vienotu ES regulējumu, un šim nolūkam ir jāpaplašina LESD 83. panta 1. punkts, kurā noteikts ES noziegumu jomu saraksts;</w:t>
      </w:r>
    </w:p>
    <w:p w:rsidR="00F36271" w:rsidRPr="00AB6246" w:rsidRDefault="00F36271" w:rsidP="00F36271">
      <w:pPr>
        <w:pStyle w:val="NormalHanging12a"/>
      </w:pPr>
      <w:r w:rsidRPr="00AB6246">
        <w:t>S.</w:t>
      </w:r>
      <w:r w:rsidRPr="00AB6246">
        <w:tab/>
        <w:t>tā kā 2021. gadā Komisija nāca klajā ar paziņojumu “Iekļaujošāka un aizsargājošāka Eiropa: ES noziegumu jomu saraksta paplašināšana, tajā iekļaujot naida runu un naida noziegumu”, lai naida noziegumu un naida runu iekļautu to noziedzības jomu sarakstā, kurās Parlaments un Padome var noteikt minimālos noteikumus attiecībā uz noziedzīgu nodarījumu definīciju un sankcijām, kas piemērojamas visās ES dalībvalstīs, kā paredzēts LESD 83. panta 1. punktā; tā kā Padomei šajā saistībā ir jāpieņem lēmums;</w:t>
      </w:r>
    </w:p>
    <w:p w:rsidR="00F36271" w:rsidRPr="00AB6246" w:rsidRDefault="00F36271" w:rsidP="00F36271">
      <w:pPr>
        <w:pStyle w:val="NormalHanging12a"/>
        <w:rPr>
          <w:szCs w:val="24"/>
        </w:rPr>
      </w:pPr>
      <w:r w:rsidRPr="00AB6246">
        <w:t>T.</w:t>
      </w:r>
      <w:r w:rsidRPr="00AB6246">
        <w:tab/>
        <w:t>tā kā šāds Padomes lēmums būtu pirmais solis nepieciešamā juridiskā pamata radīšanā, lai pēc tam pieņemtu kopēju tiesisko regulējumu naida runas un naida noziegumu apkarošanai visā ES; tā kā šāds kopējs tiesiskais regulējums ir steidzami nepieciešams, lai noteiktu minimālos standartus attiecībā uz noziedzīgu nodarījumu un kriminālsodu definēšanu un tādējādi apkarotu naida runu un naida noziegumus uz kopēja Eiropas pamata ar mērķi visā Eiropas Savienībā nodrošināt konsekventu aizsardzību potenciālajiem no šādām darbībām cietušajiem;</w:t>
      </w:r>
    </w:p>
    <w:p w:rsidR="00F36271" w:rsidRPr="00AB6246" w:rsidRDefault="00F36271" w:rsidP="00F36271">
      <w:pPr>
        <w:pStyle w:val="NormalHanging12a"/>
      </w:pPr>
      <w:r w:rsidRPr="00AB6246">
        <w:t>U.</w:t>
      </w:r>
      <w:r w:rsidRPr="00AB6246">
        <w:tab/>
        <w:t>tā kā Padome lēmumu vēl nav pieņēmusi; tā kā dažas dalībvalstis bloķē konkrēta progresa panākšanu šajā jautājumā Padomē;</w:t>
      </w:r>
    </w:p>
    <w:p w:rsidR="00F36271" w:rsidRPr="00AB6246" w:rsidRDefault="00F36271" w:rsidP="00F36271">
      <w:pPr>
        <w:pStyle w:val="NormalHanging12a"/>
        <w:rPr>
          <w:szCs w:val="24"/>
        </w:rPr>
      </w:pPr>
      <w:r w:rsidRPr="00AB6246">
        <w:t>V.</w:t>
      </w:r>
      <w:r w:rsidRPr="00AB6246">
        <w:tab/>
        <w:t>tā kā saskaņā ar LESD 83. panta 1. punktu Padome var precizēt “citas noziegumu jomas”, pieņemot lēmumu vienprātīgi; tā kā šī prasība ir nelabvēlīgi ietekmējusi nepieciešamā kopējā progresa panākšanu attiecībā uz naida runas un naida noziegumu apkarošanu visā Savienībā,</w:t>
      </w:r>
    </w:p>
    <w:p w:rsidR="00F36271" w:rsidRPr="00AB6246" w:rsidRDefault="00F36271" w:rsidP="00F36271">
      <w:pPr>
        <w:pStyle w:val="NormalHanging12a"/>
        <w:rPr>
          <w:szCs w:val="24"/>
        </w:rPr>
      </w:pPr>
      <w:r w:rsidRPr="00AB6246">
        <w:t>1.</w:t>
      </w:r>
      <w:r w:rsidRPr="00AB6246">
        <w:tab/>
        <w:t>mudina Padomi pieņemt lēmumu par naida runas un naida noziegumu iekļaušanu noziedzīgo nodarījumu sarakstā saskaņā ar LESD 83. panta 1. punktu, lai Komisija varētu uzsākt procedūras otro posmu;</w:t>
      </w:r>
    </w:p>
    <w:p w:rsidR="00F36271" w:rsidRPr="00AB6246" w:rsidRDefault="00F36271" w:rsidP="00F36271">
      <w:pPr>
        <w:pStyle w:val="NormalHanging12a"/>
        <w:rPr>
          <w:szCs w:val="24"/>
        </w:rPr>
      </w:pPr>
      <w:r w:rsidRPr="00AB6246">
        <w:t>2.</w:t>
      </w:r>
      <w:r w:rsidRPr="00AB6246">
        <w:tab/>
        <w:t>atgādina, ka dalībvalstu kriminālo tiesību aktos jautājumi par naida runu un naida noziegumiem tiek risināti dažādos veidos un ka minimālie saskaņotie noteikumi ES līmenī pastāv tikai tad, ja šādi noziegumi tiek izdarīti pret grupu vai indivīdu tādu iemeslu dēļ kā rase, ādas krāsa, reliģija, izcelsme vai nacionālā vai etniskā piederība, un tas apgrūtina veiksmīgas kopējas stratēģijas īstenošanu efektīvai naida apkarošanai;</w:t>
      </w:r>
    </w:p>
    <w:p w:rsidR="00F36271" w:rsidRPr="00AB6246" w:rsidRDefault="00F36271" w:rsidP="00F36271">
      <w:pPr>
        <w:pStyle w:val="NormalHanging12a"/>
        <w:rPr>
          <w:szCs w:val="24"/>
        </w:rPr>
      </w:pPr>
      <w:r w:rsidRPr="00AB6246">
        <w:t>3.</w:t>
      </w:r>
      <w:r w:rsidRPr="00AB6246">
        <w:tab/>
        <w:t>pauž dziļu nožēlu par to, ka kopš Komisijas paziņojuma publicēšanas ir pagājuši gandrīz divi gadi un Padome nav panākusi progresu šajā jautājumā, lai gan tā ir spējusi ātri paplašināt ES noziegumu jomu sarakstu citiem mērķiem; pauž nožēlu par šādu bezdarbību, ņemot vērā naida runas un naida noziegumu pieaugumu;</w:t>
      </w:r>
    </w:p>
    <w:p w:rsidR="00F36271" w:rsidRPr="00AB6246" w:rsidRDefault="00F36271" w:rsidP="00F36271">
      <w:pPr>
        <w:pStyle w:val="NormalHanging12a"/>
      </w:pPr>
      <w:r w:rsidRPr="00AB6246">
        <w:t>4.</w:t>
      </w:r>
      <w:r w:rsidRPr="00AB6246">
        <w:tab/>
        <w:t xml:space="preserve">aicina dalībvalstis sadarboties atbildīgi un konstruktīvi, lai atsāktu sarunas Padomē ar </w:t>
      </w:r>
      <w:r w:rsidRPr="00AB6246">
        <w:lastRenderedPageBreak/>
        <w:t xml:space="preserve">mērķi pieņemt Padomes lēmumu pirms pašreizējā Parlamenta </w:t>
      </w:r>
      <w:proofErr w:type="spellStart"/>
      <w:r w:rsidRPr="00AB6246">
        <w:t>sasaukuma</w:t>
      </w:r>
      <w:proofErr w:type="spellEnd"/>
      <w:r w:rsidRPr="00AB6246">
        <w:t xml:space="preserve"> beigām;</w:t>
      </w:r>
    </w:p>
    <w:p w:rsidR="00F36271" w:rsidRPr="00AB6246" w:rsidRDefault="00F36271" w:rsidP="00F36271">
      <w:pPr>
        <w:pStyle w:val="NormalHanging12a"/>
        <w:rPr>
          <w:szCs w:val="24"/>
        </w:rPr>
      </w:pPr>
      <w:r w:rsidRPr="00AB6246">
        <w:t>5.</w:t>
      </w:r>
      <w:r w:rsidRPr="00AB6246">
        <w:tab/>
        <w:t>mudina dalībvalstis atbalstīt lēmuma projekta pieņemšanu vai vismaz neiestāties pret to;</w:t>
      </w:r>
    </w:p>
    <w:p w:rsidR="00F36271" w:rsidRPr="00AB6246" w:rsidRDefault="00F36271" w:rsidP="00F36271">
      <w:pPr>
        <w:pStyle w:val="NormalHanging12a"/>
      </w:pPr>
      <w:r w:rsidRPr="00AB6246">
        <w:t>6.</w:t>
      </w:r>
      <w:r w:rsidRPr="00AB6246">
        <w:tab/>
        <w:t>aicina ES Padomes pašreizējās un turpmākās prezidentvalstis, izstrādājot savu darba kārtību un nosakot mērķus, uzskatīt Komisijas priekšlikumu par prioritāti;</w:t>
      </w:r>
    </w:p>
    <w:p w:rsidR="00F36271" w:rsidRPr="00AB6246" w:rsidRDefault="00F36271" w:rsidP="00F36271">
      <w:pPr>
        <w:pStyle w:val="NormalHanging12a"/>
        <w:rPr>
          <w:szCs w:val="24"/>
        </w:rPr>
      </w:pPr>
      <w:r w:rsidRPr="00AB6246">
        <w:t>7.</w:t>
      </w:r>
      <w:r w:rsidRPr="00AB6246">
        <w:tab/>
        <w:t>iesaka grozīt LESD 83. pantu, lai uz to attiecinātu pastiprinātu kvalificētu balsu vairākumu, nevis pašreizējo nepieciešamo vienprātību; šajā sakarībā aicina aktivizēt pārejas klauzulu;</w:t>
      </w:r>
    </w:p>
    <w:p w:rsidR="00F36271" w:rsidRPr="00AB6246" w:rsidRDefault="00F36271" w:rsidP="00F36271">
      <w:pPr>
        <w:pStyle w:val="NormalHanging12a"/>
      </w:pPr>
      <w:r w:rsidRPr="00AB6246">
        <w:t>8.</w:t>
      </w:r>
      <w:r w:rsidRPr="00AB6246">
        <w:tab/>
        <w:t>uzsver, ka turpmākajiem ES tiesību aktiem, ar kuriem nosaka minimālos standartus noziedzīgu nodarījumu definēšanai un sodiem par naida runu un naida noziegumiem, ir jāaizsargā cilvēka cieņa, jācenšas novērst kaitējumu, jānodrošina vienlīdzība un jāapkaro naids un neiecietība neatkarīgi no motivācijas;</w:t>
      </w:r>
    </w:p>
    <w:p w:rsidR="00F36271" w:rsidRPr="00AB6246" w:rsidRDefault="00F36271" w:rsidP="00F36271">
      <w:pPr>
        <w:pStyle w:val="NormalHanging12a"/>
        <w:rPr>
          <w:szCs w:val="24"/>
        </w:rPr>
      </w:pPr>
      <w:r w:rsidRPr="00AB6246">
        <w:t>9.</w:t>
      </w:r>
      <w:r w:rsidRPr="00AB6246">
        <w:tab/>
        <w:t>atgādina, ka aizsardzībai jābūt universālai, īpašu uzmanību pievēršot skartajām personām, kā arī neaizsargātajām grupām un kopienām;</w:t>
      </w:r>
    </w:p>
    <w:p w:rsidR="00F36271" w:rsidRPr="00AB6246" w:rsidRDefault="00F36271" w:rsidP="00F36271">
      <w:pPr>
        <w:pStyle w:val="NormalHanging12a"/>
        <w:rPr>
          <w:szCs w:val="24"/>
        </w:rPr>
      </w:pPr>
      <w:r w:rsidRPr="00AB6246">
        <w:t>10.</w:t>
      </w:r>
      <w:r w:rsidRPr="00AB6246">
        <w:tab/>
        <w:t>atgādina, ka vārda brīvība ir demokrātiskas sabiedrības pamatvērtība un to nevajadzētu nepamatoti ierobežot; turklāt atgādina, ka visi tiesību akti par naida runu un naida noziegumiem būtu jābalsta uz nepieciešamības un proporcionalitātes principiem; uzsver, ka vārda brīvība ir jāīsteno saskaņā ar tiesību aktiem un Hartas 11. pantu un to nevajadzētu izmantot kā aizsegu naida runai un naida noziegumiem;</w:t>
      </w:r>
    </w:p>
    <w:p w:rsidR="00F36271" w:rsidRPr="00AB6246" w:rsidRDefault="00F36271" w:rsidP="00F36271">
      <w:pPr>
        <w:pStyle w:val="NormalHanging12a"/>
        <w:rPr>
          <w:szCs w:val="24"/>
        </w:rPr>
      </w:pPr>
      <w:r w:rsidRPr="00AB6246">
        <w:t>11.</w:t>
      </w:r>
      <w:r w:rsidRPr="00AB6246">
        <w:tab/>
        <w:t xml:space="preserve">aicina Komisiju apsvērt </w:t>
      </w:r>
      <w:proofErr w:type="spellStart"/>
      <w:r w:rsidRPr="00AB6246">
        <w:t>atvērtības</w:t>
      </w:r>
      <w:proofErr w:type="spellEnd"/>
      <w:r w:rsidRPr="00AB6246">
        <w:t xml:space="preserve"> pieeju, saskaņā ar kuru diskriminācijas iemeslu saraksts netiktu ierobežots ar slēgtu sarakstu, lai efektīvi apkarotu naida runu un naida noziegumus, kuru pamatā ir jauna un mainīga sociālā dinamika;</w:t>
      </w:r>
    </w:p>
    <w:p w:rsidR="00F36271" w:rsidRPr="00AB6246" w:rsidRDefault="00F36271" w:rsidP="00F36271">
      <w:pPr>
        <w:pStyle w:val="NormalHanging12a"/>
      </w:pPr>
      <w:r w:rsidRPr="00AB6246">
        <w:t>12.</w:t>
      </w:r>
      <w:r w:rsidRPr="00AB6246">
        <w:tab/>
        <w:t xml:space="preserve">uzsver, ka interneta ļaunprātīga izmantošana un sociālo mediju platformu uzņēmējdarbības modelis, kura pamatā ir </w:t>
      </w:r>
      <w:proofErr w:type="spellStart"/>
      <w:r w:rsidRPr="00AB6246">
        <w:t>mikromērķēta</w:t>
      </w:r>
      <w:proofErr w:type="spellEnd"/>
      <w:r w:rsidRPr="00AB6246">
        <w:t xml:space="preserve"> reklāma, veicina naida runas izplatīšanos un vairošanos, kūdīšanu uz diskrimināciju un vardarbību un palielina atkārtotas </w:t>
      </w:r>
      <w:proofErr w:type="spellStart"/>
      <w:r w:rsidRPr="00AB6246">
        <w:t>viktimizācijas</w:t>
      </w:r>
      <w:proofErr w:type="spellEnd"/>
      <w:r w:rsidRPr="00AB6246">
        <w:t xml:space="preserve"> risku; aicina Komisiju un dalībvalstis nodrošināt spēkā esošo tiesību aktu, piemēram, Regulas (ES) 2022/2065</w:t>
      </w:r>
      <w:r w:rsidRPr="00AB6246">
        <w:rPr>
          <w:rStyle w:val="FootnoteReference"/>
        </w:rPr>
        <w:footnoteReference w:id="12"/>
      </w:r>
      <w:r w:rsidRPr="00AB6246">
        <w:t>, pareizu īstenošanu un izmantot visus to rīcībā esošos līdzekļus un instrumentus, lai apkarotu naida runas izplatīšanu tiešsaistē;</w:t>
      </w:r>
    </w:p>
    <w:p w:rsidR="00F36271" w:rsidRPr="00AB6246" w:rsidRDefault="00F36271" w:rsidP="00F36271">
      <w:pPr>
        <w:pStyle w:val="NormalHanging12a"/>
        <w:rPr>
          <w:szCs w:val="24"/>
        </w:rPr>
      </w:pPr>
      <w:r w:rsidRPr="00AB6246">
        <w:t>13.</w:t>
      </w:r>
      <w:r w:rsidRPr="00AB6246">
        <w:tab/>
        <w:t>atgādina par valsts sektora iestāžu atbildību naida runas un naida noziegumu novēršanā, izmeklēšanā, kriminālvajāšanā un ziņošanā par tiem un ka, to darot, tām ir jāņem vērā fakti, kas norāda uz naidu; uzsver, ka turpmākajiem ES tiesību aktiem būtu jāatbalsta un jāveicina cieša sadarbība ar pilsonisko sabiedrību, līdztiesības iestādēm un valstu cilvēktiesību institūcijām;</w:t>
      </w:r>
    </w:p>
    <w:p w:rsidR="00F36271" w:rsidRPr="00AB6246" w:rsidRDefault="00F36271" w:rsidP="00F36271">
      <w:pPr>
        <w:pStyle w:val="NormalHanging12a"/>
      </w:pPr>
      <w:r w:rsidRPr="00AB6246">
        <w:t>14.</w:t>
      </w:r>
      <w:r w:rsidRPr="00AB6246">
        <w:tab/>
        <w:t xml:space="preserve">aicina Komisiju un dalībvalstis pievērst īpašu uzmanību nepilngadīgajiem, jo īpaši tiem, kas pieder neaizsargātām grupām, lai viņus sevišķi aizsargātu pret naida runu un naida noziegumiem, novērstu šādu incidentu, tostarp </w:t>
      </w:r>
      <w:proofErr w:type="spellStart"/>
      <w:r w:rsidRPr="00AB6246">
        <w:t>bulinga</w:t>
      </w:r>
      <w:proofErr w:type="spellEnd"/>
      <w:r w:rsidRPr="00AB6246">
        <w:t xml:space="preserve"> skolās un </w:t>
      </w:r>
      <w:proofErr w:type="spellStart"/>
      <w:r w:rsidRPr="00AB6246">
        <w:t>kiberbulinga</w:t>
      </w:r>
      <w:proofErr w:type="spellEnd"/>
      <w:r w:rsidRPr="00AB6246">
        <w:t xml:space="preserve">, rašanos un līdz minimumam samazinātu to ietekmi uz nepilngadīgo personu attīstību un </w:t>
      </w:r>
      <w:proofErr w:type="spellStart"/>
      <w:r w:rsidRPr="00AB6246">
        <w:lastRenderedPageBreak/>
        <w:t>psihoemocionālo</w:t>
      </w:r>
      <w:proofErr w:type="spellEnd"/>
      <w:r w:rsidRPr="00AB6246">
        <w:t xml:space="preserve"> veselību;</w:t>
      </w:r>
    </w:p>
    <w:p w:rsidR="00F36271" w:rsidRPr="00AB6246" w:rsidRDefault="00F36271" w:rsidP="00F36271">
      <w:pPr>
        <w:pStyle w:val="NormalHanging12a"/>
        <w:rPr>
          <w:szCs w:val="24"/>
        </w:rPr>
      </w:pPr>
      <w:r w:rsidRPr="00AB6246">
        <w:t>15.</w:t>
      </w:r>
      <w:r w:rsidRPr="00AB6246">
        <w:tab/>
        <w:t xml:space="preserve">aicina Komisiju nodrošināt, ka tiek ieviests stingrs ES tiesiskās aizsardzības regulējums, lai efektīvi aizsargātu cietušos, jo īpaši tos, kas nāk no visām neaizsargātajām grupām visā ES; uzsver nepieciešamību piemērot </w:t>
      </w:r>
      <w:proofErr w:type="spellStart"/>
      <w:r w:rsidRPr="00AB6246">
        <w:t>intersekcionālu</w:t>
      </w:r>
      <w:proofErr w:type="spellEnd"/>
      <w:r w:rsidRPr="00AB6246">
        <w:t xml:space="preserve"> pieeju un to, cik svarīgi ir pieņemt visaptverošus pasākumus, tostarp nodrošināt apmācību profesionāļiem, kas varētu nonākt saskarē ar cietušajiem, kā arī pasākumus, kuru mērķis ir nodrošināt aizsardzību, drošu piekļuvi neatkarīgai tiesu sistēmai, specializētus atbalsta pakalpojumus un kompensācijas cietušajiem; uzsver, ka cietušajiem vajadzētu būt iespējai ziņot par savu pieredzi kompetentajām iestādēm un būt aizsargātiem; atgādina, ka cietušo tiesiskās aizsardzības nodrošināšana radītu drošu vidi, kas palīdzētu uzlabot ziņošanu, kura ir nepieciešama naida runas un naida noziegumu dokumentēšanai;</w:t>
      </w:r>
    </w:p>
    <w:p w:rsidR="00F36271" w:rsidRPr="00AB6246" w:rsidRDefault="00F36271" w:rsidP="00F36271">
      <w:pPr>
        <w:pStyle w:val="NormalHanging12a"/>
        <w:rPr>
          <w:szCs w:val="24"/>
        </w:rPr>
      </w:pPr>
      <w:r w:rsidRPr="00AB6246">
        <w:t>16.</w:t>
      </w:r>
      <w:r w:rsidRPr="00AB6246">
        <w:tab/>
        <w:t>aicina Komisiju un dalībvalstis sadarbībā ar attiecīgajām Savienības iestādēm un aģentūrām izveidot atbilstīgas datu vākšanas sistēmas, lai iegūtu pārliecinošus, salīdzināmus, sadalītus un anonīmus datus par naida incidentiem, tostarp naida noziegumiem, saskaņā ar attiecīgo valstu tiesisko regulējumu un ES datu aizsardzības tiesību aktiem, kā arī izveidot atbilstīgus uzraudzības mehānismus, lai uzlabotu savākto datu regulāru pieejamību, salīdzināmību un kvalitāti un novērtētu tiesību aktu un politikas pasākumu ietekmi uz naida runas un naida noziegumu apkarošanu;</w:t>
      </w:r>
    </w:p>
    <w:p w:rsidR="00F36271" w:rsidRPr="00AB6246" w:rsidRDefault="00F36271" w:rsidP="00F36271">
      <w:pPr>
        <w:pStyle w:val="NormalHanging12a"/>
      </w:pPr>
      <w:r w:rsidRPr="00AB6246">
        <w:t>17.</w:t>
      </w:r>
      <w:r w:rsidRPr="00AB6246">
        <w:tab/>
        <w:t>uzdod priekšsēdētājai šo rezolūciju nosūtīt Padomei un Komisijai.</w:t>
      </w:r>
    </w:p>
    <w:p w:rsidR="00E365E1" w:rsidRPr="00AB6246" w:rsidRDefault="00E365E1" w:rsidP="00F35EA1"/>
    <w:sectPr w:rsidR="00E365E1" w:rsidRPr="00AB6246" w:rsidSect="00E538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EA1" w:rsidRPr="00E538CF" w:rsidRDefault="00F35EA1">
      <w:r w:rsidRPr="00E538CF">
        <w:separator/>
      </w:r>
    </w:p>
  </w:endnote>
  <w:endnote w:type="continuationSeparator" w:id="0">
    <w:p w:rsidR="00F35EA1" w:rsidRPr="00E538CF" w:rsidRDefault="00F35EA1">
      <w:r w:rsidRPr="00E538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8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8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8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EA1" w:rsidRPr="00E538CF" w:rsidRDefault="00F35EA1">
      <w:r w:rsidRPr="00E538CF">
        <w:separator/>
      </w:r>
    </w:p>
  </w:footnote>
  <w:footnote w:type="continuationSeparator" w:id="0">
    <w:p w:rsidR="00F35EA1" w:rsidRPr="00E538CF" w:rsidRDefault="00F35EA1">
      <w:r w:rsidRPr="00E538CF">
        <w:continuationSeparator/>
      </w:r>
    </w:p>
  </w:footnote>
  <w:footnote w:id="1">
    <w:p w:rsidR="00F36271" w:rsidRPr="00E538CF" w:rsidRDefault="00F36271" w:rsidP="00E538CF">
      <w:pPr>
        <w:pStyle w:val="FootnoteText"/>
        <w:ind w:left="567" w:hanging="567"/>
        <w:rPr>
          <w:sz w:val="24"/>
          <w:lang w:val="lv-LV"/>
        </w:rPr>
      </w:pPr>
      <w:r w:rsidRPr="00E538CF">
        <w:rPr>
          <w:rStyle w:val="FootnoteReference"/>
          <w:sz w:val="24"/>
          <w:lang w:val="lv-LV"/>
        </w:rPr>
        <w:footnoteRef/>
      </w:r>
      <w:r w:rsidR="00E538CF" w:rsidRPr="00E538CF">
        <w:rPr>
          <w:sz w:val="24"/>
          <w:lang w:val="lv-LV"/>
        </w:rPr>
        <w:t xml:space="preserve"> </w:t>
      </w:r>
      <w:r w:rsidR="00E538CF" w:rsidRPr="00E538CF">
        <w:rPr>
          <w:sz w:val="24"/>
          <w:lang w:val="lv-LV"/>
        </w:rPr>
        <w:tab/>
      </w:r>
      <w:r w:rsidRPr="00E538CF">
        <w:rPr>
          <w:sz w:val="24"/>
          <w:lang w:val="lv-LV"/>
        </w:rPr>
        <w:t>OV L 328, 6.12.2008., 55. lpp.</w:t>
      </w:r>
    </w:p>
  </w:footnote>
  <w:footnote w:id="2">
    <w:p w:rsidR="00F36271" w:rsidRPr="00E538CF" w:rsidRDefault="00F36271" w:rsidP="00E538CF">
      <w:pPr>
        <w:pStyle w:val="FootnoteText"/>
        <w:ind w:left="567" w:hanging="567"/>
        <w:rPr>
          <w:sz w:val="24"/>
          <w:lang w:val="lv-LV"/>
        </w:rPr>
      </w:pPr>
      <w:r w:rsidRPr="00E538CF">
        <w:rPr>
          <w:rStyle w:val="FootnoteReference"/>
          <w:sz w:val="24"/>
          <w:lang w:val="lv-LV"/>
        </w:rPr>
        <w:footnoteRef/>
      </w:r>
      <w:r w:rsidR="00E538CF" w:rsidRPr="00E538CF">
        <w:rPr>
          <w:sz w:val="24"/>
          <w:lang w:val="lv-LV"/>
        </w:rPr>
        <w:t xml:space="preserve"> </w:t>
      </w:r>
      <w:r w:rsidR="00E538CF" w:rsidRPr="00E538CF">
        <w:rPr>
          <w:sz w:val="24"/>
          <w:lang w:val="lv-LV"/>
        </w:rPr>
        <w:tab/>
      </w:r>
      <w:r w:rsidRPr="00E538CF">
        <w:rPr>
          <w:sz w:val="24"/>
          <w:lang w:val="lv-LV"/>
        </w:rPr>
        <w:t>OV C 425, 20.10.2021., 28. lpp.</w:t>
      </w:r>
    </w:p>
  </w:footnote>
  <w:footnote w:id="3">
    <w:p w:rsidR="00F36271" w:rsidRPr="00E538CF" w:rsidRDefault="00F36271" w:rsidP="00E538CF">
      <w:pPr>
        <w:pStyle w:val="FootnoteText"/>
        <w:ind w:left="567" w:hanging="567"/>
        <w:rPr>
          <w:sz w:val="24"/>
          <w:lang w:val="lv-LV"/>
        </w:rPr>
      </w:pPr>
      <w:r w:rsidRPr="00E538CF">
        <w:rPr>
          <w:rStyle w:val="FootnoteReference"/>
          <w:sz w:val="24"/>
          <w:lang w:val="lv-LV"/>
        </w:rPr>
        <w:footnoteRef/>
      </w:r>
      <w:r w:rsidR="00E538CF" w:rsidRPr="00E538CF">
        <w:rPr>
          <w:sz w:val="24"/>
          <w:lang w:val="lv-LV"/>
        </w:rPr>
        <w:t xml:space="preserve"> </w:t>
      </w:r>
      <w:r w:rsidR="00E538CF" w:rsidRPr="00E538CF">
        <w:rPr>
          <w:sz w:val="24"/>
          <w:lang w:val="lv-LV"/>
        </w:rPr>
        <w:tab/>
      </w:r>
      <w:r w:rsidRPr="00E538CF">
        <w:rPr>
          <w:sz w:val="24"/>
          <w:lang w:val="lv-LV"/>
        </w:rPr>
        <w:t>OV C 117, 11.3.2022., 88. lpp.</w:t>
      </w:r>
    </w:p>
  </w:footnote>
  <w:footnote w:id="4">
    <w:p w:rsidR="00F36271" w:rsidRPr="00E538CF" w:rsidRDefault="00F36271" w:rsidP="00E538CF">
      <w:pPr>
        <w:pStyle w:val="FootnoteText"/>
        <w:ind w:left="567" w:hanging="567"/>
        <w:rPr>
          <w:sz w:val="24"/>
          <w:lang w:val="lv-LV"/>
        </w:rPr>
      </w:pPr>
      <w:r w:rsidRPr="00E538CF">
        <w:rPr>
          <w:rStyle w:val="FootnoteReference"/>
          <w:sz w:val="24"/>
          <w:lang w:val="lv-LV"/>
        </w:rPr>
        <w:footnoteRef/>
      </w:r>
      <w:r w:rsidR="00E538CF" w:rsidRPr="00E538CF">
        <w:rPr>
          <w:sz w:val="24"/>
          <w:lang w:val="lv-LV"/>
        </w:rPr>
        <w:t xml:space="preserve"> </w:t>
      </w:r>
      <w:r w:rsidR="00E538CF" w:rsidRPr="00E538CF">
        <w:rPr>
          <w:sz w:val="24"/>
          <w:lang w:val="lv-LV"/>
        </w:rPr>
        <w:tab/>
      </w:r>
      <w:r w:rsidRPr="00E538CF">
        <w:rPr>
          <w:sz w:val="24"/>
          <w:lang w:val="lv-LV"/>
        </w:rPr>
        <w:t>OV C 363, 28.10.2020., 13. lpp.</w:t>
      </w:r>
    </w:p>
  </w:footnote>
  <w:footnote w:id="5">
    <w:p w:rsidR="00F36271" w:rsidRPr="00E538CF" w:rsidRDefault="00F36271" w:rsidP="00E538CF">
      <w:pPr>
        <w:pStyle w:val="FootnoteText"/>
        <w:ind w:left="567" w:hanging="567"/>
        <w:rPr>
          <w:sz w:val="24"/>
          <w:lang w:val="lv-LV"/>
        </w:rPr>
      </w:pPr>
      <w:r w:rsidRPr="00E538CF">
        <w:rPr>
          <w:rStyle w:val="FootnoteReference"/>
          <w:sz w:val="24"/>
          <w:lang w:val="lv-LV"/>
        </w:rPr>
        <w:footnoteRef/>
      </w:r>
      <w:r w:rsidR="00E538CF" w:rsidRPr="00E538CF">
        <w:rPr>
          <w:sz w:val="24"/>
          <w:lang w:val="lv-LV"/>
        </w:rPr>
        <w:t xml:space="preserve"> </w:t>
      </w:r>
      <w:r w:rsidR="00E538CF" w:rsidRPr="00E538CF">
        <w:rPr>
          <w:sz w:val="24"/>
          <w:lang w:val="lv-LV"/>
        </w:rPr>
        <w:tab/>
      </w:r>
      <w:r w:rsidRPr="00E538CF">
        <w:rPr>
          <w:sz w:val="24"/>
          <w:lang w:val="lv-LV"/>
        </w:rPr>
        <w:t xml:space="preserve">Tiesas 1996. gada 30. aprīļa spriedums, </w:t>
      </w:r>
      <w:r w:rsidRPr="00E538CF">
        <w:rPr>
          <w:i/>
          <w:sz w:val="24"/>
          <w:lang w:val="lv-LV"/>
        </w:rPr>
        <w:t>P.</w:t>
      </w:r>
      <w:r w:rsidRPr="00E538CF">
        <w:rPr>
          <w:sz w:val="24"/>
          <w:lang w:val="lv-LV"/>
        </w:rPr>
        <w:t xml:space="preserve"> / </w:t>
      </w:r>
      <w:r w:rsidRPr="00E538CF">
        <w:rPr>
          <w:i/>
          <w:sz w:val="24"/>
          <w:lang w:val="lv-LV"/>
        </w:rPr>
        <w:t>S. un Kornvolas grāfistes padome</w:t>
      </w:r>
      <w:r w:rsidRPr="00E538CF">
        <w:rPr>
          <w:sz w:val="24"/>
          <w:lang w:val="lv-LV"/>
        </w:rPr>
        <w:t xml:space="preserve">, C-13/94, ECLI:EU:C:1996:170; Tiesas 2004. gada 7. janvāra spriedums, </w:t>
      </w:r>
      <w:r w:rsidRPr="00E538CF">
        <w:rPr>
          <w:i/>
          <w:sz w:val="24"/>
          <w:lang w:val="lv-LV"/>
        </w:rPr>
        <w:t>K. B.</w:t>
      </w:r>
      <w:r w:rsidRPr="00E538CF">
        <w:rPr>
          <w:sz w:val="24"/>
          <w:lang w:val="lv-LV"/>
        </w:rPr>
        <w:t xml:space="preserve"> / </w:t>
      </w:r>
      <w:r w:rsidRPr="00E538CF">
        <w:rPr>
          <w:i/>
          <w:sz w:val="24"/>
          <w:lang w:val="lv-LV"/>
        </w:rPr>
        <w:t>Valsts veselības aprūpes dienesta Pensiju aģentūra un veselības ministrs</w:t>
      </w:r>
      <w:r w:rsidRPr="00E538CF">
        <w:rPr>
          <w:sz w:val="24"/>
          <w:lang w:val="lv-LV"/>
        </w:rPr>
        <w:t xml:space="preserve">, C-117/01, ECLI:EU:C:2004:7; Tiesas 2006. gada 27. aprīļa spriedums </w:t>
      </w:r>
      <w:proofErr w:type="spellStart"/>
      <w:r w:rsidRPr="00E538CF">
        <w:rPr>
          <w:i/>
          <w:sz w:val="24"/>
          <w:lang w:val="lv-LV"/>
        </w:rPr>
        <w:t>Sarah</w:t>
      </w:r>
      <w:proofErr w:type="spellEnd"/>
      <w:r w:rsidRPr="00E538CF">
        <w:rPr>
          <w:i/>
          <w:sz w:val="24"/>
          <w:lang w:val="lv-LV"/>
        </w:rPr>
        <w:t xml:space="preserve"> </w:t>
      </w:r>
      <w:proofErr w:type="spellStart"/>
      <w:r w:rsidRPr="00E538CF">
        <w:rPr>
          <w:i/>
          <w:sz w:val="24"/>
          <w:lang w:val="lv-LV"/>
        </w:rPr>
        <w:t>Margaret</w:t>
      </w:r>
      <w:proofErr w:type="spellEnd"/>
      <w:r w:rsidRPr="00E538CF">
        <w:rPr>
          <w:i/>
          <w:sz w:val="24"/>
          <w:lang w:val="lv-LV"/>
        </w:rPr>
        <w:t xml:space="preserve"> Richards</w:t>
      </w:r>
      <w:r w:rsidRPr="00E538CF">
        <w:rPr>
          <w:sz w:val="24"/>
          <w:lang w:val="lv-LV"/>
        </w:rPr>
        <w:t xml:space="preserve"> / </w:t>
      </w:r>
      <w:r w:rsidRPr="00E538CF">
        <w:rPr>
          <w:i/>
          <w:sz w:val="24"/>
          <w:lang w:val="lv-LV"/>
        </w:rPr>
        <w:t>darba un pensiju ministrs</w:t>
      </w:r>
      <w:r w:rsidRPr="00E538CF">
        <w:rPr>
          <w:sz w:val="24"/>
          <w:lang w:val="lv-LV"/>
        </w:rPr>
        <w:t xml:space="preserve">, C-423/04, ECLI:EU:C:2006:256, un Tiesas 2018. gada 26. jūnija spriedums </w:t>
      </w:r>
      <w:r w:rsidRPr="00E538CF">
        <w:rPr>
          <w:i/>
          <w:sz w:val="24"/>
          <w:lang w:val="lv-LV"/>
        </w:rPr>
        <w:t>M. B.</w:t>
      </w:r>
      <w:r w:rsidRPr="00E538CF">
        <w:rPr>
          <w:sz w:val="24"/>
          <w:lang w:val="lv-LV"/>
        </w:rPr>
        <w:t xml:space="preserve"> / </w:t>
      </w:r>
      <w:r w:rsidRPr="00E538CF">
        <w:rPr>
          <w:i/>
          <w:sz w:val="24"/>
          <w:lang w:val="lv-LV"/>
        </w:rPr>
        <w:t>darba un pensiju ministrs</w:t>
      </w:r>
      <w:r w:rsidRPr="00E538CF">
        <w:rPr>
          <w:sz w:val="24"/>
          <w:lang w:val="lv-LV"/>
        </w:rPr>
        <w:t>, C-451/16, ECLI:EU:C:2018:492.</w:t>
      </w:r>
    </w:p>
  </w:footnote>
  <w:footnote w:id="6">
    <w:p w:rsidR="00F36271" w:rsidRPr="00E538CF" w:rsidRDefault="00F36271" w:rsidP="00E538CF">
      <w:pPr>
        <w:pStyle w:val="FootnoteText"/>
        <w:ind w:left="567" w:hanging="567"/>
        <w:rPr>
          <w:sz w:val="24"/>
          <w:lang w:val="lv-LV"/>
        </w:rPr>
      </w:pPr>
      <w:r w:rsidRPr="00E538CF">
        <w:rPr>
          <w:rStyle w:val="FootnoteReference"/>
          <w:sz w:val="24"/>
          <w:lang w:val="lv-LV"/>
        </w:rPr>
        <w:footnoteRef/>
      </w:r>
      <w:r w:rsidR="00E538CF" w:rsidRPr="00E538CF">
        <w:rPr>
          <w:sz w:val="24"/>
          <w:lang w:val="lv-LV"/>
        </w:rPr>
        <w:t xml:space="preserve"> </w:t>
      </w:r>
      <w:r w:rsidR="00E538CF" w:rsidRPr="00E538CF">
        <w:rPr>
          <w:sz w:val="24"/>
          <w:lang w:val="lv-LV"/>
        </w:rPr>
        <w:tab/>
      </w:r>
      <w:r w:rsidRPr="00E538CF">
        <w:rPr>
          <w:sz w:val="24"/>
          <w:lang w:val="lv-LV"/>
        </w:rPr>
        <w:t>Ikgadējie EDSO Demokrātisku iestāžu un cilvēktiesību biroja dati par naida noziegumiem.</w:t>
      </w:r>
    </w:p>
  </w:footnote>
  <w:footnote w:id="7">
    <w:p w:rsidR="00F36271" w:rsidRPr="00E538CF" w:rsidRDefault="00F36271" w:rsidP="00E538CF">
      <w:pPr>
        <w:pStyle w:val="FootnoteText"/>
        <w:ind w:left="567" w:hanging="567"/>
        <w:rPr>
          <w:sz w:val="24"/>
          <w:lang w:val="lv-LV"/>
        </w:rPr>
      </w:pPr>
      <w:r w:rsidRPr="00E538CF">
        <w:rPr>
          <w:rStyle w:val="FootnoteReference"/>
          <w:sz w:val="24"/>
          <w:lang w:val="lv-LV"/>
        </w:rPr>
        <w:footnoteRef/>
      </w:r>
      <w:r w:rsidR="00E538CF" w:rsidRPr="00E538CF">
        <w:rPr>
          <w:sz w:val="24"/>
          <w:lang w:val="lv-LV"/>
        </w:rPr>
        <w:t xml:space="preserve"> </w:t>
      </w:r>
      <w:r w:rsidR="00E538CF" w:rsidRPr="00E538CF">
        <w:rPr>
          <w:sz w:val="24"/>
          <w:lang w:val="lv-LV"/>
        </w:rPr>
        <w:tab/>
      </w:r>
      <w:r w:rsidRPr="00E538CF">
        <w:rPr>
          <w:sz w:val="24"/>
          <w:lang w:val="lv-LV"/>
        </w:rPr>
        <w:t xml:space="preserve">Sk., piemēram, gada pārskatu par </w:t>
      </w:r>
      <w:r w:rsidRPr="00E538CF">
        <w:rPr>
          <w:i/>
          <w:iCs/>
          <w:sz w:val="24"/>
          <w:lang w:val="lv-LV"/>
        </w:rPr>
        <w:t>ECRI</w:t>
      </w:r>
      <w:r w:rsidRPr="00E538CF">
        <w:rPr>
          <w:sz w:val="24"/>
          <w:lang w:val="lv-LV"/>
        </w:rPr>
        <w:t xml:space="preserve"> darbību no 2019. gada 1. janvāra līdz 31. decembrim un gada pārskatu par </w:t>
      </w:r>
      <w:r w:rsidRPr="00E538CF">
        <w:rPr>
          <w:i/>
          <w:iCs/>
          <w:sz w:val="24"/>
          <w:lang w:val="lv-LV"/>
        </w:rPr>
        <w:t>ECRI</w:t>
      </w:r>
      <w:r w:rsidRPr="00E538CF">
        <w:rPr>
          <w:sz w:val="24"/>
          <w:lang w:val="lv-LV"/>
        </w:rPr>
        <w:t xml:space="preserve"> darbību no 2020. gada 1. janvāra līdz 31. decembrim, kā arī Eiropas Parlamenta Pilsoņu tiesību un konstitucionālo jautājumu politikas departamenta pasūtīto pētījumu “</w:t>
      </w:r>
      <w:proofErr w:type="spellStart"/>
      <w:r w:rsidRPr="00E538CF">
        <w:rPr>
          <w:i/>
          <w:iCs/>
          <w:sz w:val="24"/>
          <w:lang w:val="lv-LV"/>
        </w:rPr>
        <w:t>Hate</w:t>
      </w:r>
      <w:proofErr w:type="spellEnd"/>
      <w:r w:rsidRPr="00E538CF">
        <w:rPr>
          <w:i/>
          <w:iCs/>
          <w:sz w:val="24"/>
          <w:lang w:val="lv-LV"/>
        </w:rPr>
        <w:t xml:space="preserve"> </w:t>
      </w:r>
      <w:proofErr w:type="spellStart"/>
      <w:r w:rsidRPr="00E538CF">
        <w:rPr>
          <w:i/>
          <w:iCs/>
          <w:sz w:val="24"/>
          <w:lang w:val="lv-LV"/>
        </w:rPr>
        <w:t>speech</w:t>
      </w:r>
      <w:proofErr w:type="spellEnd"/>
      <w:r w:rsidRPr="00E538CF">
        <w:rPr>
          <w:i/>
          <w:iCs/>
          <w:sz w:val="24"/>
          <w:lang w:val="lv-LV"/>
        </w:rPr>
        <w:t xml:space="preserve"> </w:t>
      </w:r>
      <w:proofErr w:type="spellStart"/>
      <w:r w:rsidRPr="00E538CF">
        <w:rPr>
          <w:i/>
          <w:iCs/>
          <w:sz w:val="24"/>
          <w:lang w:val="lv-LV"/>
        </w:rPr>
        <w:t>and</w:t>
      </w:r>
      <w:proofErr w:type="spellEnd"/>
      <w:r w:rsidRPr="00E538CF">
        <w:rPr>
          <w:i/>
          <w:iCs/>
          <w:sz w:val="24"/>
          <w:lang w:val="lv-LV"/>
        </w:rPr>
        <w:t xml:space="preserve"> </w:t>
      </w:r>
      <w:proofErr w:type="spellStart"/>
      <w:r w:rsidRPr="00E538CF">
        <w:rPr>
          <w:i/>
          <w:iCs/>
          <w:sz w:val="24"/>
          <w:lang w:val="lv-LV"/>
        </w:rPr>
        <w:t>hate</w:t>
      </w:r>
      <w:proofErr w:type="spellEnd"/>
      <w:r w:rsidRPr="00E538CF">
        <w:rPr>
          <w:i/>
          <w:iCs/>
          <w:sz w:val="24"/>
          <w:lang w:val="lv-LV"/>
        </w:rPr>
        <w:t xml:space="preserve"> </w:t>
      </w:r>
      <w:proofErr w:type="spellStart"/>
      <w:r w:rsidRPr="00E538CF">
        <w:rPr>
          <w:i/>
          <w:iCs/>
          <w:sz w:val="24"/>
          <w:lang w:val="lv-LV"/>
        </w:rPr>
        <w:t>crime</w:t>
      </w:r>
      <w:proofErr w:type="spellEnd"/>
      <w:r w:rsidRPr="00E538CF">
        <w:rPr>
          <w:i/>
          <w:iCs/>
          <w:sz w:val="24"/>
          <w:lang w:val="lv-LV"/>
        </w:rPr>
        <w:t xml:space="preserve"> </w:t>
      </w:r>
      <w:proofErr w:type="spellStart"/>
      <w:r w:rsidRPr="00E538CF">
        <w:rPr>
          <w:i/>
          <w:iCs/>
          <w:sz w:val="24"/>
          <w:lang w:val="lv-LV"/>
        </w:rPr>
        <w:t>in</w:t>
      </w:r>
      <w:proofErr w:type="spellEnd"/>
      <w:r w:rsidRPr="00E538CF">
        <w:rPr>
          <w:i/>
          <w:iCs/>
          <w:sz w:val="24"/>
          <w:lang w:val="lv-LV"/>
        </w:rPr>
        <w:t xml:space="preserve"> </w:t>
      </w:r>
      <w:proofErr w:type="spellStart"/>
      <w:r w:rsidRPr="00E538CF">
        <w:rPr>
          <w:i/>
          <w:iCs/>
          <w:sz w:val="24"/>
          <w:lang w:val="lv-LV"/>
        </w:rPr>
        <w:t>the</w:t>
      </w:r>
      <w:proofErr w:type="spellEnd"/>
      <w:r w:rsidRPr="00E538CF">
        <w:rPr>
          <w:i/>
          <w:iCs/>
          <w:sz w:val="24"/>
          <w:lang w:val="lv-LV"/>
        </w:rPr>
        <w:t xml:space="preserve"> EU </w:t>
      </w:r>
      <w:proofErr w:type="spellStart"/>
      <w:r w:rsidRPr="00E538CF">
        <w:rPr>
          <w:i/>
          <w:iCs/>
          <w:sz w:val="24"/>
          <w:lang w:val="lv-LV"/>
        </w:rPr>
        <w:t>and</w:t>
      </w:r>
      <w:proofErr w:type="spellEnd"/>
      <w:r w:rsidRPr="00E538CF">
        <w:rPr>
          <w:i/>
          <w:iCs/>
          <w:sz w:val="24"/>
          <w:lang w:val="lv-LV"/>
        </w:rPr>
        <w:t xml:space="preserve"> </w:t>
      </w:r>
      <w:proofErr w:type="spellStart"/>
      <w:r w:rsidRPr="00E538CF">
        <w:rPr>
          <w:i/>
          <w:iCs/>
          <w:sz w:val="24"/>
          <w:lang w:val="lv-LV"/>
        </w:rPr>
        <w:t>the</w:t>
      </w:r>
      <w:proofErr w:type="spellEnd"/>
      <w:r w:rsidRPr="00E538CF">
        <w:rPr>
          <w:i/>
          <w:iCs/>
          <w:sz w:val="24"/>
          <w:lang w:val="lv-LV"/>
        </w:rPr>
        <w:t xml:space="preserve"> </w:t>
      </w:r>
      <w:proofErr w:type="spellStart"/>
      <w:r w:rsidRPr="00E538CF">
        <w:rPr>
          <w:i/>
          <w:iCs/>
          <w:sz w:val="24"/>
          <w:lang w:val="lv-LV"/>
        </w:rPr>
        <w:t>evaluation</w:t>
      </w:r>
      <w:proofErr w:type="spellEnd"/>
      <w:r w:rsidRPr="00E538CF">
        <w:rPr>
          <w:i/>
          <w:iCs/>
          <w:sz w:val="24"/>
          <w:lang w:val="lv-LV"/>
        </w:rPr>
        <w:t xml:space="preserve"> </w:t>
      </w:r>
      <w:proofErr w:type="spellStart"/>
      <w:r w:rsidRPr="00E538CF">
        <w:rPr>
          <w:i/>
          <w:iCs/>
          <w:sz w:val="24"/>
          <w:lang w:val="lv-LV"/>
        </w:rPr>
        <w:t>of</w:t>
      </w:r>
      <w:proofErr w:type="spellEnd"/>
      <w:r w:rsidRPr="00E538CF">
        <w:rPr>
          <w:i/>
          <w:iCs/>
          <w:sz w:val="24"/>
          <w:lang w:val="lv-LV"/>
        </w:rPr>
        <w:t xml:space="preserve"> </w:t>
      </w:r>
      <w:proofErr w:type="spellStart"/>
      <w:r w:rsidRPr="00E538CF">
        <w:rPr>
          <w:i/>
          <w:iCs/>
          <w:sz w:val="24"/>
          <w:lang w:val="lv-LV"/>
        </w:rPr>
        <w:t>online</w:t>
      </w:r>
      <w:proofErr w:type="spellEnd"/>
      <w:r w:rsidRPr="00E538CF">
        <w:rPr>
          <w:i/>
          <w:iCs/>
          <w:sz w:val="24"/>
          <w:lang w:val="lv-LV"/>
        </w:rPr>
        <w:t xml:space="preserve"> </w:t>
      </w:r>
      <w:proofErr w:type="spellStart"/>
      <w:r w:rsidRPr="00E538CF">
        <w:rPr>
          <w:i/>
          <w:iCs/>
          <w:sz w:val="24"/>
          <w:lang w:val="lv-LV"/>
        </w:rPr>
        <w:t>content</w:t>
      </w:r>
      <w:proofErr w:type="spellEnd"/>
      <w:r w:rsidRPr="00E538CF">
        <w:rPr>
          <w:i/>
          <w:iCs/>
          <w:sz w:val="24"/>
          <w:lang w:val="lv-LV"/>
        </w:rPr>
        <w:t xml:space="preserve"> </w:t>
      </w:r>
      <w:proofErr w:type="spellStart"/>
      <w:r w:rsidRPr="00E538CF">
        <w:rPr>
          <w:i/>
          <w:iCs/>
          <w:sz w:val="24"/>
          <w:lang w:val="lv-LV"/>
        </w:rPr>
        <w:t>regulation</w:t>
      </w:r>
      <w:proofErr w:type="spellEnd"/>
      <w:r w:rsidRPr="00E538CF">
        <w:rPr>
          <w:i/>
          <w:iCs/>
          <w:sz w:val="24"/>
          <w:lang w:val="lv-LV"/>
        </w:rPr>
        <w:t xml:space="preserve"> </w:t>
      </w:r>
      <w:proofErr w:type="spellStart"/>
      <w:r w:rsidRPr="00E538CF">
        <w:rPr>
          <w:i/>
          <w:iCs/>
          <w:sz w:val="24"/>
          <w:lang w:val="lv-LV"/>
        </w:rPr>
        <w:t>approaches</w:t>
      </w:r>
      <w:proofErr w:type="spellEnd"/>
      <w:r w:rsidRPr="00E538CF">
        <w:rPr>
          <w:sz w:val="24"/>
          <w:lang w:val="lv-LV"/>
        </w:rPr>
        <w:t>”, kas publicēts 2020. gada jūlijā.</w:t>
      </w:r>
    </w:p>
  </w:footnote>
  <w:footnote w:id="8">
    <w:p w:rsidR="00F36271" w:rsidRPr="00E538CF" w:rsidRDefault="00F36271" w:rsidP="00E538CF">
      <w:pPr>
        <w:pStyle w:val="FootnoteText"/>
        <w:ind w:left="567" w:hanging="567"/>
        <w:rPr>
          <w:sz w:val="24"/>
          <w:lang w:val="lv-LV"/>
        </w:rPr>
      </w:pPr>
      <w:r w:rsidRPr="00E538CF">
        <w:rPr>
          <w:rStyle w:val="FootnoteReference"/>
          <w:sz w:val="24"/>
          <w:lang w:val="lv-LV"/>
        </w:rPr>
        <w:footnoteRef/>
      </w:r>
      <w:r w:rsidR="00E538CF" w:rsidRPr="00E538CF">
        <w:rPr>
          <w:sz w:val="24"/>
          <w:lang w:val="lv-LV"/>
        </w:rPr>
        <w:t xml:space="preserve"> </w:t>
      </w:r>
      <w:r w:rsidR="00E538CF" w:rsidRPr="00E538CF">
        <w:rPr>
          <w:sz w:val="24"/>
          <w:lang w:val="lv-LV"/>
        </w:rPr>
        <w:tab/>
      </w:r>
      <w:proofErr w:type="spellStart"/>
      <w:r w:rsidRPr="00E538CF">
        <w:rPr>
          <w:sz w:val="24"/>
          <w:lang w:val="lv-LV"/>
        </w:rPr>
        <w:t>Lingaas</w:t>
      </w:r>
      <w:proofErr w:type="spellEnd"/>
      <w:r w:rsidRPr="00E538CF">
        <w:rPr>
          <w:sz w:val="24"/>
          <w:lang w:val="lv-LV"/>
        </w:rPr>
        <w:t>, C., “</w:t>
      </w:r>
      <w:proofErr w:type="spellStart"/>
      <w:r w:rsidRPr="00E538CF">
        <w:fldChar w:fldCharType="begin"/>
      </w:r>
      <w:r w:rsidRPr="00E538CF">
        <w:rPr>
          <w:sz w:val="24"/>
          <w:lang w:val="lv-LV"/>
        </w:rPr>
        <w:instrText xml:space="preserve"> HYPERLINK "https://www.idunn.no/doi/10.18261/issn.2387-3299-2021-02-02" </w:instrText>
      </w:r>
      <w:r w:rsidRPr="00E538CF">
        <w:fldChar w:fldCharType="separate"/>
      </w:r>
      <w:r w:rsidRPr="00E538CF">
        <w:rPr>
          <w:rStyle w:val="Hyperlink"/>
          <w:i/>
          <w:iCs/>
          <w:sz w:val="24"/>
          <w:lang w:val="lv-LV"/>
        </w:rPr>
        <w:t>Hate</w:t>
      </w:r>
      <w:proofErr w:type="spellEnd"/>
      <w:r w:rsidRPr="00E538CF">
        <w:rPr>
          <w:rStyle w:val="Hyperlink"/>
          <w:i/>
          <w:iCs/>
          <w:sz w:val="24"/>
          <w:lang w:val="lv-LV"/>
        </w:rPr>
        <w:t xml:space="preserve"> </w:t>
      </w:r>
      <w:proofErr w:type="spellStart"/>
      <w:r w:rsidRPr="00E538CF">
        <w:rPr>
          <w:rStyle w:val="Hyperlink"/>
          <w:i/>
          <w:iCs/>
          <w:sz w:val="24"/>
          <w:lang w:val="lv-LV"/>
        </w:rPr>
        <w:t>Speech</w:t>
      </w:r>
      <w:proofErr w:type="spellEnd"/>
      <w:r w:rsidRPr="00E538CF">
        <w:rPr>
          <w:rStyle w:val="Hyperlink"/>
          <w:i/>
          <w:iCs/>
          <w:sz w:val="24"/>
          <w:lang w:val="lv-LV"/>
        </w:rPr>
        <w:t xml:space="preserve"> </w:t>
      </w:r>
      <w:proofErr w:type="spellStart"/>
      <w:r w:rsidRPr="00E538CF">
        <w:rPr>
          <w:rStyle w:val="Hyperlink"/>
          <w:i/>
          <w:iCs/>
          <w:sz w:val="24"/>
          <w:lang w:val="lv-LV"/>
        </w:rPr>
        <w:t>and</w:t>
      </w:r>
      <w:proofErr w:type="spellEnd"/>
      <w:r w:rsidRPr="00E538CF">
        <w:rPr>
          <w:rStyle w:val="Hyperlink"/>
          <w:i/>
          <w:iCs/>
          <w:sz w:val="24"/>
          <w:lang w:val="lv-LV"/>
        </w:rPr>
        <w:t xml:space="preserve"> </w:t>
      </w:r>
      <w:proofErr w:type="spellStart"/>
      <w:r w:rsidRPr="00E538CF">
        <w:rPr>
          <w:rStyle w:val="Hyperlink"/>
          <w:i/>
          <w:iCs/>
          <w:sz w:val="24"/>
          <w:lang w:val="lv-LV"/>
        </w:rPr>
        <w:t>Racialised</w:t>
      </w:r>
      <w:proofErr w:type="spellEnd"/>
      <w:r w:rsidRPr="00E538CF">
        <w:rPr>
          <w:rStyle w:val="Hyperlink"/>
          <w:i/>
          <w:iCs/>
          <w:sz w:val="24"/>
          <w:lang w:val="lv-LV"/>
        </w:rPr>
        <w:t xml:space="preserve"> </w:t>
      </w:r>
      <w:proofErr w:type="spellStart"/>
      <w:r w:rsidRPr="00E538CF">
        <w:rPr>
          <w:rStyle w:val="Hyperlink"/>
          <w:i/>
          <w:iCs/>
          <w:sz w:val="24"/>
          <w:lang w:val="lv-LV"/>
        </w:rPr>
        <w:t>Discrimination</w:t>
      </w:r>
      <w:proofErr w:type="spellEnd"/>
      <w:r w:rsidRPr="00E538CF">
        <w:rPr>
          <w:rStyle w:val="Hyperlink"/>
          <w:i/>
          <w:iCs/>
          <w:sz w:val="24"/>
          <w:lang w:val="lv-LV"/>
        </w:rPr>
        <w:t xml:space="preserve"> </w:t>
      </w:r>
      <w:proofErr w:type="spellStart"/>
      <w:r w:rsidRPr="00E538CF">
        <w:rPr>
          <w:rStyle w:val="Hyperlink"/>
          <w:i/>
          <w:iCs/>
          <w:sz w:val="24"/>
          <w:lang w:val="lv-LV"/>
        </w:rPr>
        <w:t>of</w:t>
      </w:r>
      <w:proofErr w:type="spellEnd"/>
      <w:r w:rsidRPr="00E538CF">
        <w:rPr>
          <w:rStyle w:val="Hyperlink"/>
          <w:i/>
          <w:iCs/>
          <w:sz w:val="24"/>
          <w:lang w:val="lv-LV"/>
        </w:rPr>
        <w:t xml:space="preserve"> </w:t>
      </w:r>
      <w:proofErr w:type="spellStart"/>
      <w:r w:rsidRPr="00E538CF">
        <w:rPr>
          <w:rStyle w:val="Hyperlink"/>
          <w:i/>
          <w:iCs/>
          <w:sz w:val="24"/>
          <w:lang w:val="lv-LV"/>
        </w:rPr>
        <w:t>the</w:t>
      </w:r>
      <w:proofErr w:type="spellEnd"/>
      <w:r w:rsidRPr="00E538CF">
        <w:rPr>
          <w:rStyle w:val="Hyperlink"/>
          <w:i/>
          <w:iCs/>
          <w:sz w:val="24"/>
          <w:lang w:val="lv-LV"/>
        </w:rPr>
        <w:t xml:space="preserve"> </w:t>
      </w:r>
      <w:proofErr w:type="spellStart"/>
      <w:r w:rsidRPr="00E538CF">
        <w:rPr>
          <w:rStyle w:val="Hyperlink"/>
          <w:i/>
          <w:iCs/>
          <w:sz w:val="24"/>
          <w:lang w:val="lv-LV"/>
        </w:rPr>
        <w:t>Norwegian</w:t>
      </w:r>
      <w:proofErr w:type="spellEnd"/>
      <w:r w:rsidRPr="00E538CF">
        <w:rPr>
          <w:rStyle w:val="Hyperlink"/>
          <w:i/>
          <w:iCs/>
          <w:sz w:val="24"/>
          <w:lang w:val="lv-LV"/>
        </w:rPr>
        <w:t xml:space="preserve"> </w:t>
      </w:r>
      <w:proofErr w:type="spellStart"/>
      <w:r w:rsidRPr="00E538CF">
        <w:rPr>
          <w:rStyle w:val="Hyperlink"/>
          <w:i/>
          <w:iCs/>
          <w:sz w:val="24"/>
          <w:lang w:val="lv-LV"/>
        </w:rPr>
        <w:t>Sámi</w:t>
      </w:r>
      <w:proofErr w:type="spellEnd"/>
      <w:r w:rsidRPr="00E538CF">
        <w:rPr>
          <w:rStyle w:val="Hyperlink"/>
          <w:i/>
          <w:iCs/>
          <w:sz w:val="24"/>
          <w:lang w:val="lv-LV"/>
        </w:rPr>
        <w:t xml:space="preserve">: Legal </w:t>
      </w:r>
      <w:proofErr w:type="spellStart"/>
      <w:r w:rsidRPr="00E538CF">
        <w:rPr>
          <w:rStyle w:val="Hyperlink"/>
          <w:i/>
          <w:iCs/>
          <w:sz w:val="24"/>
          <w:lang w:val="lv-LV"/>
        </w:rPr>
        <w:t>Responses</w:t>
      </w:r>
      <w:proofErr w:type="spellEnd"/>
      <w:r w:rsidRPr="00E538CF">
        <w:rPr>
          <w:rStyle w:val="Hyperlink"/>
          <w:i/>
          <w:iCs/>
          <w:sz w:val="24"/>
          <w:lang w:val="lv-LV"/>
        </w:rPr>
        <w:t xml:space="preserve"> </w:t>
      </w:r>
      <w:proofErr w:type="spellStart"/>
      <w:r w:rsidRPr="00E538CF">
        <w:rPr>
          <w:rStyle w:val="Hyperlink"/>
          <w:i/>
          <w:iCs/>
          <w:sz w:val="24"/>
          <w:lang w:val="lv-LV"/>
        </w:rPr>
        <w:t>and</w:t>
      </w:r>
      <w:proofErr w:type="spellEnd"/>
      <w:r w:rsidRPr="00E538CF">
        <w:rPr>
          <w:rStyle w:val="Hyperlink"/>
          <w:i/>
          <w:iCs/>
          <w:sz w:val="24"/>
          <w:lang w:val="lv-LV"/>
        </w:rPr>
        <w:t xml:space="preserve"> </w:t>
      </w:r>
      <w:proofErr w:type="spellStart"/>
      <w:r w:rsidRPr="00E538CF">
        <w:rPr>
          <w:rStyle w:val="Hyperlink"/>
          <w:i/>
          <w:iCs/>
          <w:sz w:val="24"/>
          <w:lang w:val="lv-LV"/>
        </w:rPr>
        <w:t>Responsibility</w:t>
      </w:r>
      <w:proofErr w:type="spellEnd"/>
      <w:r w:rsidRPr="00E538CF">
        <w:rPr>
          <w:rStyle w:val="Hyperlink"/>
          <w:i/>
          <w:iCs/>
          <w:sz w:val="24"/>
          <w:lang w:val="lv-LV"/>
        </w:rPr>
        <w:fldChar w:fldCharType="end"/>
      </w:r>
      <w:r w:rsidRPr="00E538CF">
        <w:rPr>
          <w:sz w:val="24"/>
          <w:lang w:val="lv-LV"/>
        </w:rPr>
        <w:t xml:space="preserve">”, </w:t>
      </w:r>
      <w:r w:rsidRPr="00E538CF">
        <w:rPr>
          <w:i/>
          <w:sz w:val="24"/>
          <w:lang w:val="lv-LV"/>
        </w:rPr>
        <w:t xml:space="preserve">Oslo </w:t>
      </w:r>
      <w:proofErr w:type="spellStart"/>
      <w:r w:rsidRPr="00E538CF">
        <w:rPr>
          <w:i/>
          <w:sz w:val="24"/>
          <w:lang w:val="lv-LV"/>
        </w:rPr>
        <w:t>Law</w:t>
      </w:r>
      <w:proofErr w:type="spellEnd"/>
      <w:r w:rsidRPr="00E538CF">
        <w:rPr>
          <w:i/>
          <w:sz w:val="24"/>
          <w:lang w:val="lv-LV"/>
        </w:rPr>
        <w:t xml:space="preserve"> </w:t>
      </w:r>
      <w:proofErr w:type="spellStart"/>
      <w:r w:rsidRPr="00E538CF">
        <w:rPr>
          <w:i/>
          <w:sz w:val="24"/>
          <w:lang w:val="lv-LV"/>
        </w:rPr>
        <w:t>Review</w:t>
      </w:r>
      <w:proofErr w:type="spellEnd"/>
      <w:r w:rsidRPr="00E538CF">
        <w:rPr>
          <w:sz w:val="24"/>
          <w:lang w:val="lv-LV"/>
        </w:rPr>
        <w:t xml:space="preserve">, 8. sējums, </w:t>
      </w:r>
      <w:proofErr w:type="spellStart"/>
      <w:r w:rsidRPr="00E538CF">
        <w:rPr>
          <w:sz w:val="24"/>
          <w:lang w:val="lv-LV"/>
        </w:rPr>
        <w:t>Nr</w:t>
      </w:r>
      <w:proofErr w:type="spellEnd"/>
      <w:r w:rsidRPr="00E538CF">
        <w:rPr>
          <w:sz w:val="24"/>
          <w:lang w:val="lv-LV"/>
        </w:rPr>
        <w:t xml:space="preserve">  2, 2021, 88.–107. lpp. </w:t>
      </w:r>
    </w:p>
  </w:footnote>
  <w:footnote w:id="9">
    <w:p w:rsidR="00F36271" w:rsidRPr="00E538CF" w:rsidRDefault="00F36271" w:rsidP="00E538CF">
      <w:pPr>
        <w:pStyle w:val="FootnoteText"/>
        <w:ind w:left="567" w:hanging="567"/>
        <w:rPr>
          <w:sz w:val="24"/>
          <w:lang w:val="lv-LV"/>
        </w:rPr>
      </w:pPr>
      <w:r w:rsidRPr="00E538CF">
        <w:rPr>
          <w:rStyle w:val="FootnoteReference"/>
          <w:sz w:val="24"/>
          <w:lang w:val="lv-LV"/>
        </w:rPr>
        <w:footnoteRef/>
      </w:r>
      <w:r w:rsidR="00E538CF" w:rsidRPr="00E538CF">
        <w:rPr>
          <w:i/>
          <w:iCs/>
          <w:sz w:val="24"/>
          <w:lang w:val="lv-LV"/>
        </w:rPr>
        <w:t xml:space="preserve"> </w:t>
      </w:r>
      <w:r w:rsidR="00E538CF" w:rsidRPr="00E538CF">
        <w:rPr>
          <w:i/>
          <w:iCs/>
          <w:sz w:val="24"/>
          <w:lang w:val="lv-LV"/>
        </w:rPr>
        <w:tab/>
      </w:r>
      <w:proofErr w:type="spellStart"/>
      <w:r w:rsidRPr="00E538CF">
        <w:rPr>
          <w:i/>
          <w:iCs/>
          <w:sz w:val="24"/>
          <w:lang w:val="lv-LV"/>
        </w:rPr>
        <w:t>Civil</w:t>
      </w:r>
      <w:proofErr w:type="spellEnd"/>
      <w:r w:rsidRPr="00E538CF">
        <w:rPr>
          <w:i/>
          <w:iCs/>
          <w:sz w:val="24"/>
          <w:lang w:val="lv-LV"/>
        </w:rPr>
        <w:t xml:space="preserve"> </w:t>
      </w:r>
      <w:proofErr w:type="spellStart"/>
      <w:r w:rsidRPr="00E538CF">
        <w:rPr>
          <w:i/>
          <w:iCs/>
          <w:sz w:val="24"/>
          <w:lang w:val="lv-LV"/>
        </w:rPr>
        <w:t>Rights</w:t>
      </w:r>
      <w:proofErr w:type="spellEnd"/>
      <w:r w:rsidRPr="00E538CF">
        <w:rPr>
          <w:i/>
          <w:iCs/>
          <w:sz w:val="24"/>
          <w:lang w:val="lv-LV"/>
        </w:rPr>
        <w:t xml:space="preserve"> </w:t>
      </w:r>
      <w:proofErr w:type="spellStart"/>
      <w:r w:rsidRPr="00E538CF">
        <w:rPr>
          <w:i/>
          <w:iCs/>
          <w:sz w:val="24"/>
          <w:lang w:val="lv-LV"/>
        </w:rPr>
        <w:t>Defenders</w:t>
      </w:r>
      <w:proofErr w:type="spellEnd"/>
      <w:r w:rsidRPr="00E538CF">
        <w:rPr>
          <w:sz w:val="24"/>
          <w:lang w:val="lv-LV"/>
        </w:rPr>
        <w:t>, “</w:t>
      </w:r>
      <w:proofErr w:type="spellStart"/>
      <w:r w:rsidRPr="00E538CF">
        <w:fldChar w:fldCharType="begin"/>
      </w:r>
      <w:r w:rsidRPr="00E538CF">
        <w:rPr>
          <w:sz w:val="24"/>
          <w:lang w:val="lv-LV"/>
        </w:rPr>
        <w:instrText xml:space="preserve"> HYPERLINK "https://crd.org/wp-content/uploads/2019/08/Civil-Rights-Defenders-Joint-UPR-Submission-Sweden-2020.pdf" </w:instrText>
      </w:r>
      <w:r w:rsidRPr="00E538CF">
        <w:fldChar w:fldCharType="separate"/>
      </w:r>
      <w:r w:rsidRPr="00E538CF">
        <w:rPr>
          <w:rStyle w:val="Hyperlink"/>
          <w:i/>
          <w:iCs/>
          <w:sz w:val="24"/>
          <w:lang w:val="lv-LV"/>
        </w:rPr>
        <w:t>Joint</w:t>
      </w:r>
      <w:proofErr w:type="spellEnd"/>
      <w:r w:rsidRPr="00E538CF">
        <w:rPr>
          <w:rStyle w:val="Hyperlink"/>
          <w:i/>
          <w:iCs/>
          <w:sz w:val="24"/>
          <w:lang w:val="lv-LV"/>
        </w:rPr>
        <w:t xml:space="preserve"> </w:t>
      </w:r>
      <w:proofErr w:type="spellStart"/>
      <w:r w:rsidRPr="00E538CF">
        <w:rPr>
          <w:rStyle w:val="Hyperlink"/>
          <w:i/>
          <w:iCs/>
          <w:sz w:val="24"/>
          <w:lang w:val="lv-LV"/>
        </w:rPr>
        <w:t>submission</w:t>
      </w:r>
      <w:proofErr w:type="spellEnd"/>
      <w:r w:rsidRPr="00E538CF">
        <w:rPr>
          <w:rStyle w:val="Hyperlink"/>
          <w:i/>
          <w:iCs/>
          <w:sz w:val="24"/>
          <w:lang w:val="lv-LV"/>
        </w:rPr>
        <w:t xml:space="preserve"> to </w:t>
      </w:r>
      <w:proofErr w:type="spellStart"/>
      <w:r w:rsidRPr="00E538CF">
        <w:rPr>
          <w:rStyle w:val="Hyperlink"/>
          <w:i/>
          <w:iCs/>
          <w:sz w:val="24"/>
          <w:lang w:val="lv-LV"/>
        </w:rPr>
        <w:t>the</w:t>
      </w:r>
      <w:proofErr w:type="spellEnd"/>
      <w:r w:rsidRPr="00E538CF">
        <w:rPr>
          <w:rStyle w:val="Hyperlink"/>
          <w:i/>
          <w:iCs/>
          <w:sz w:val="24"/>
          <w:lang w:val="lv-LV"/>
        </w:rPr>
        <w:t xml:space="preserve"> UN </w:t>
      </w:r>
      <w:proofErr w:type="spellStart"/>
      <w:r w:rsidRPr="00E538CF">
        <w:rPr>
          <w:rStyle w:val="Hyperlink"/>
          <w:i/>
          <w:iCs/>
          <w:sz w:val="24"/>
          <w:lang w:val="lv-LV"/>
        </w:rPr>
        <w:t>Universal</w:t>
      </w:r>
      <w:proofErr w:type="spellEnd"/>
      <w:r w:rsidRPr="00E538CF">
        <w:rPr>
          <w:rStyle w:val="Hyperlink"/>
          <w:i/>
          <w:iCs/>
          <w:sz w:val="24"/>
          <w:lang w:val="lv-LV"/>
        </w:rPr>
        <w:t xml:space="preserve"> </w:t>
      </w:r>
      <w:proofErr w:type="spellStart"/>
      <w:r w:rsidRPr="00E538CF">
        <w:rPr>
          <w:rStyle w:val="Hyperlink"/>
          <w:i/>
          <w:iCs/>
          <w:sz w:val="24"/>
          <w:lang w:val="lv-LV"/>
        </w:rPr>
        <w:t>Periodic</w:t>
      </w:r>
      <w:proofErr w:type="spellEnd"/>
      <w:r w:rsidRPr="00E538CF">
        <w:rPr>
          <w:rStyle w:val="Hyperlink"/>
          <w:i/>
          <w:iCs/>
          <w:sz w:val="24"/>
          <w:lang w:val="lv-LV"/>
        </w:rPr>
        <w:t xml:space="preserve"> </w:t>
      </w:r>
      <w:proofErr w:type="spellStart"/>
      <w:r w:rsidRPr="00E538CF">
        <w:rPr>
          <w:rStyle w:val="Hyperlink"/>
          <w:i/>
          <w:iCs/>
          <w:sz w:val="24"/>
          <w:lang w:val="lv-LV"/>
        </w:rPr>
        <w:t>Review</w:t>
      </w:r>
      <w:proofErr w:type="spellEnd"/>
      <w:r w:rsidRPr="00E538CF">
        <w:rPr>
          <w:rStyle w:val="Hyperlink"/>
          <w:i/>
          <w:iCs/>
          <w:sz w:val="24"/>
          <w:lang w:val="lv-LV"/>
        </w:rPr>
        <w:t xml:space="preserve"> </w:t>
      </w:r>
      <w:proofErr w:type="spellStart"/>
      <w:r w:rsidRPr="00E538CF">
        <w:rPr>
          <w:rStyle w:val="Hyperlink"/>
          <w:i/>
          <w:iCs/>
          <w:sz w:val="24"/>
          <w:lang w:val="lv-LV"/>
        </w:rPr>
        <w:t>of</w:t>
      </w:r>
      <w:proofErr w:type="spellEnd"/>
      <w:r w:rsidRPr="00E538CF">
        <w:rPr>
          <w:rStyle w:val="Hyperlink"/>
          <w:i/>
          <w:iCs/>
          <w:sz w:val="24"/>
          <w:lang w:val="lv-LV"/>
        </w:rPr>
        <w:t xml:space="preserve"> </w:t>
      </w:r>
      <w:proofErr w:type="spellStart"/>
      <w:r w:rsidRPr="00E538CF">
        <w:rPr>
          <w:rStyle w:val="Hyperlink"/>
          <w:i/>
          <w:iCs/>
          <w:sz w:val="24"/>
          <w:lang w:val="lv-LV"/>
        </w:rPr>
        <w:t>Sweden</w:t>
      </w:r>
      <w:proofErr w:type="spellEnd"/>
      <w:r w:rsidRPr="00E538CF">
        <w:rPr>
          <w:rStyle w:val="Hyperlink"/>
          <w:i/>
          <w:iCs/>
          <w:sz w:val="24"/>
          <w:lang w:val="lv-LV"/>
        </w:rPr>
        <w:t xml:space="preserve"> –35th </w:t>
      </w:r>
      <w:proofErr w:type="spellStart"/>
      <w:r w:rsidRPr="00E538CF">
        <w:rPr>
          <w:rStyle w:val="Hyperlink"/>
          <w:i/>
          <w:iCs/>
          <w:sz w:val="24"/>
          <w:lang w:val="lv-LV"/>
        </w:rPr>
        <w:t>Session</w:t>
      </w:r>
      <w:proofErr w:type="spellEnd"/>
      <w:r w:rsidRPr="00E538CF">
        <w:rPr>
          <w:rStyle w:val="Hyperlink"/>
          <w:i/>
          <w:iCs/>
          <w:sz w:val="24"/>
          <w:lang w:val="lv-LV"/>
        </w:rPr>
        <w:t xml:space="preserve"> </w:t>
      </w:r>
      <w:proofErr w:type="spellStart"/>
      <w:r w:rsidRPr="00E538CF">
        <w:rPr>
          <w:rStyle w:val="Hyperlink"/>
          <w:i/>
          <w:iCs/>
          <w:sz w:val="24"/>
          <w:lang w:val="lv-LV"/>
        </w:rPr>
        <w:t>of</w:t>
      </w:r>
      <w:proofErr w:type="spellEnd"/>
      <w:r w:rsidRPr="00E538CF">
        <w:rPr>
          <w:rStyle w:val="Hyperlink"/>
          <w:i/>
          <w:iCs/>
          <w:sz w:val="24"/>
          <w:lang w:val="lv-LV"/>
        </w:rPr>
        <w:t xml:space="preserve"> </w:t>
      </w:r>
      <w:proofErr w:type="spellStart"/>
      <w:r w:rsidRPr="00E538CF">
        <w:rPr>
          <w:rStyle w:val="Hyperlink"/>
          <w:i/>
          <w:iCs/>
          <w:sz w:val="24"/>
          <w:lang w:val="lv-LV"/>
        </w:rPr>
        <w:t>the</w:t>
      </w:r>
      <w:proofErr w:type="spellEnd"/>
      <w:r w:rsidRPr="00E538CF">
        <w:rPr>
          <w:rStyle w:val="Hyperlink"/>
          <w:i/>
          <w:iCs/>
          <w:sz w:val="24"/>
          <w:lang w:val="lv-LV"/>
        </w:rPr>
        <w:t xml:space="preserve"> UPR </w:t>
      </w:r>
      <w:proofErr w:type="spellStart"/>
      <w:r w:rsidRPr="00E538CF">
        <w:rPr>
          <w:rStyle w:val="Hyperlink"/>
          <w:i/>
          <w:iCs/>
          <w:sz w:val="24"/>
          <w:lang w:val="lv-LV"/>
        </w:rPr>
        <w:t>Working</w:t>
      </w:r>
      <w:proofErr w:type="spellEnd"/>
      <w:r w:rsidRPr="00E538CF">
        <w:rPr>
          <w:rStyle w:val="Hyperlink"/>
          <w:i/>
          <w:iCs/>
          <w:sz w:val="24"/>
          <w:lang w:val="lv-LV"/>
        </w:rPr>
        <w:t xml:space="preserve"> </w:t>
      </w:r>
      <w:proofErr w:type="spellStart"/>
      <w:r w:rsidRPr="00E538CF">
        <w:rPr>
          <w:rStyle w:val="Hyperlink"/>
          <w:i/>
          <w:iCs/>
          <w:sz w:val="24"/>
          <w:lang w:val="lv-LV"/>
        </w:rPr>
        <w:t>Group</w:t>
      </w:r>
      <w:proofErr w:type="spellEnd"/>
      <w:r w:rsidRPr="00E538CF">
        <w:rPr>
          <w:rStyle w:val="Hyperlink"/>
          <w:i/>
          <w:iCs/>
          <w:sz w:val="24"/>
          <w:lang w:val="lv-LV"/>
        </w:rPr>
        <w:t xml:space="preserve"> </w:t>
      </w:r>
      <w:proofErr w:type="spellStart"/>
      <w:r w:rsidRPr="00E538CF">
        <w:rPr>
          <w:rStyle w:val="Hyperlink"/>
          <w:i/>
          <w:iCs/>
          <w:sz w:val="24"/>
          <w:lang w:val="lv-LV"/>
        </w:rPr>
        <w:t>of</w:t>
      </w:r>
      <w:proofErr w:type="spellEnd"/>
      <w:r w:rsidRPr="00E538CF">
        <w:rPr>
          <w:rStyle w:val="Hyperlink"/>
          <w:i/>
          <w:iCs/>
          <w:sz w:val="24"/>
          <w:lang w:val="lv-LV"/>
        </w:rPr>
        <w:t xml:space="preserve"> </w:t>
      </w:r>
      <w:proofErr w:type="spellStart"/>
      <w:r w:rsidRPr="00E538CF">
        <w:rPr>
          <w:rStyle w:val="Hyperlink"/>
          <w:i/>
          <w:iCs/>
          <w:sz w:val="24"/>
          <w:lang w:val="lv-LV"/>
        </w:rPr>
        <w:t>the</w:t>
      </w:r>
      <w:proofErr w:type="spellEnd"/>
      <w:r w:rsidRPr="00E538CF">
        <w:rPr>
          <w:rStyle w:val="Hyperlink"/>
          <w:i/>
          <w:iCs/>
          <w:sz w:val="24"/>
          <w:lang w:val="lv-LV"/>
        </w:rPr>
        <w:t xml:space="preserve"> </w:t>
      </w:r>
      <w:proofErr w:type="spellStart"/>
      <w:r w:rsidRPr="00E538CF">
        <w:rPr>
          <w:rStyle w:val="Hyperlink"/>
          <w:i/>
          <w:iCs/>
          <w:sz w:val="24"/>
          <w:lang w:val="lv-LV"/>
        </w:rPr>
        <w:t>Human</w:t>
      </w:r>
      <w:proofErr w:type="spellEnd"/>
      <w:r w:rsidRPr="00E538CF">
        <w:rPr>
          <w:rStyle w:val="Hyperlink"/>
          <w:i/>
          <w:iCs/>
          <w:sz w:val="24"/>
          <w:lang w:val="lv-LV"/>
        </w:rPr>
        <w:t xml:space="preserve"> </w:t>
      </w:r>
      <w:proofErr w:type="spellStart"/>
      <w:r w:rsidRPr="00E538CF">
        <w:rPr>
          <w:rStyle w:val="Hyperlink"/>
          <w:i/>
          <w:iCs/>
          <w:sz w:val="24"/>
          <w:lang w:val="lv-LV"/>
        </w:rPr>
        <w:t>Rights</w:t>
      </w:r>
      <w:proofErr w:type="spellEnd"/>
      <w:r w:rsidRPr="00E538CF">
        <w:rPr>
          <w:rStyle w:val="Hyperlink"/>
          <w:i/>
          <w:iCs/>
          <w:sz w:val="24"/>
          <w:lang w:val="lv-LV"/>
        </w:rPr>
        <w:t xml:space="preserve"> </w:t>
      </w:r>
      <w:proofErr w:type="spellStart"/>
      <w:r w:rsidRPr="00E538CF">
        <w:rPr>
          <w:rStyle w:val="Hyperlink"/>
          <w:i/>
          <w:iCs/>
          <w:sz w:val="24"/>
          <w:lang w:val="lv-LV"/>
        </w:rPr>
        <w:t>Council</w:t>
      </w:r>
      <w:proofErr w:type="spellEnd"/>
      <w:r w:rsidRPr="00E538CF">
        <w:rPr>
          <w:rStyle w:val="Hyperlink"/>
          <w:i/>
          <w:iCs/>
          <w:sz w:val="24"/>
          <w:lang w:val="lv-LV"/>
        </w:rPr>
        <w:t xml:space="preserve"> – </w:t>
      </w:r>
      <w:proofErr w:type="spellStart"/>
      <w:r w:rsidRPr="00E538CF">
        <w:rPr>
          <w:rStyle w:val="Hyperlink"/>
          <w:i/>
          <w:iCs/>
          <w:sz w:val="24"/>
          <w:lang w:val="lv-LV"/>
        </w:rPr>
        <w:t>January</w:t>
      </w:r>
      <w:proofErr w:type="spellEnd"/>
      <w:r w:rsidRPr="00E538CF">
        <w:rPr>
          <w:rStyle w:val="Hyperlink"/>
          <w:i/>
          <w:iCs/>
          <w:sz w:val="24"/>
          <w:lang w:val="lv-LV"/>
        </w:rPr>
        <w:t xml:space="preserve"> 2020</w:t>
      </w:r>
      <w:r w:rsidRPr="00E538CF">
        <w:rPr>
          <w:rStyle w:val="Hyperlink"/>
          <w:i/>
          <w:iCs/>
          <w:sz w:val="24"/>
          <w:lang w:val="lv-LV"/>
        </w:rPr>
        <w:fldChar w:fldCharType="end"/>
      </w:r>
      <w:r w:rsidRPr="00E538CF">
        <w:rPr>
          <w:sz w:val="24"/>
          <w:lang w:val="lv-LV"/>
        </w:rPr>
        <w:t>”, 2019.</w:t>
      </w:r>
    </w:p>
  </w:footnote>
  <w:footnote w:id="10">
    <w:p w:rsidR="00F36271" w:rsidRPr="00E538CF" w:rsidRDefault="00F36271" w:rsidP="00E538CF">
      <w:pPr>
        <w:pStyle w:val="FootnoteText"/>
        <w:ind w:left="567" w:hanging="567"/>
        <w:rPr>
          <w:sz w:val="24"/>
          <w:lang w:val="lv-LV"/>
        </w:rPr>
      </w:pPr>
      <w:r w:rsidRPr="00E538CF">
        <w:rPr>
          <w:rStyle w:val="FootnoteReference"/>
          <w:sz w:val="24"/>
          <w:lang w:val="lv-LV"/>
        </w:rPr>
        <w:footnoteRef/>
      </w:r>
      <w:r w:rsidR="00E538CF" w:rsidRPr="00E538CF">
        <w:rPr>
          <w:i/>
          <w:iCs/>
          <w:sz w:val="24"/>
          <w:lang w:val="lv-LV"/>
        </w:rPr>
        <w:t xml:space="preserve"> </w:t>
      </w:r>
      <w:r w:rsidR="00E538CF" w:rsidRPr="00E538CF">
        <w:rPr>
          <w:i/>
          <w:iCs/>
          <w:sz w:val="24"/>
          <w:lang w:val="lv-LV"/>
        </w:rPr>
        <w:tab/>
      </w:r>
      <w:r w:rsidRPr="00E538CF">
        <w:rPr>
          <w:i/>
          <w:iCs/>
          <w:sz w:val="24"/>
          <w:lang w:val="lv-LV"/>
        </w:rPr>
        <w:t xml:space="preserve">ILGA </w:t>
      </w:r>
      <w:proofErr w:type="spellStart"/>
      <w:r w:rsidRPr="00E538CF">
        <w:rPr>
          <w:i/>
          <w:iCs/>
          <w:sz w:val="24"/>
          <w:lang w:val="lv-LV"/>
        </w:rPr>
        <w:t>Europe</w:t>
      </w:r>
      <w:proofErr w:type="spellEnd"/>
      <w:r w:rsidRPr="00E538CF">
        <w:rPr>
          <w:sz w:val="24"/>
          <w:lang w:val="lv-LV"/>
        </w:rPr>
        <w:t>, “</w:t>
      </w:r>
      <w:r w:rsidRPr="00E538CF">
        <w:rPr>
          <w:i/>
          <w:iCs/>
          <w:sz w:val="24"/>
          <w:lang w:val="lv-LV"/>
        </w:rPr>
        <w:t xml:space="preserve">2023 </w:t>
      </w:r>
      <w:proofErr w:type="spellStart"/>
      <w:r w:rsidRPr="00E538CF">
        <w:rPr>
          <w:i/>
          <w:iCs/>
          <w:sz w:val="24"/>
          <w:lang w:val="lv-LV"/>
        </w:rPr>
        <w:t>Annual</w:t>
      </w:r>
      <w:proofErr w:type="spellEnd"/>
      <w:r w:rsidRPr="00E538CF">
        <w:rPr>
          <w:i/>
          <w:iCs/>
          <w:sz w:val="24"/>
          <w:lang w:val="lv-LV"/>
        </w:rPr>
        <w:t xml:space="preserve"> </w:t>
      </w:r>
      <w:proofErr w:type="spellStart"/>
      <w:r w:rsidRPr="00E538CF">
        <w:rPr>
          <w:i/>
          <w:iCs/>
          <w:sz w:val="24"/>
          <w:lang w:val="lv-LV"/>
        </w:rPr>
        <w:t>Review</w:t>
      </w:r>
      <w:proofErr w:type="spellEnd"/>
      <w:r w:rsidRPr="00E538CF">
        <w:rPr>
          <w:i/>
          <w:iCs/>
          <w:sz w:val="24"/>
          <w:lang w:val="lv-LV"/>
        </w:rPr>
        <w:t xml:space="preserve"> </w:t>
      </w:r>
      <w:proofErr w:type="spellStart"/>
      <w:r w:rsidRPr="00E538CF">
        <w:rPr>
          <w:i/>
          <w:iCs/>
          <w:sz w:val="24"/>
          <w:lang w:val="lv-LV"/>
        </w:rPr>
        <w:t>of</w:t>
      </w:r>
      <w:proofErr w:type="spellEnd"/>
      <w:r w:rsidRPr="00E538CF">
        <w:rPr>
          <w:i/>
          <w:iCs/>
          <w:sz w:val="24"/>
          <w:lang w:val="lv-LV"/>
        </w:rPr>
        <w:t xml:space="preserve"> </w:t>
      </w:r>
      <w:proofErr w:type="spellStart"/>
      <w:r w:rsidRPr="00E538CF">
        <w:rPr>
          <w:i/>
          <w:iCs/>
          <w:sz w:val="24"/>
          <w:lang w:val="lv-LV"/>
        </w:rPr>
        <w:t>the</w:t>
      </w:r>
      <w:proofErr w:type="spellEnd"/>
      <w:r w:rsidRPr="00E538CF">
        <w:rPr>
          <w:i/>
          <w:iCs/>
          <w:sz w:val="24"/>
          <w:lang w:val="lv-LV"/>
        </w:rPr>
        <w:t xml:space="preserve"> </w:t>
      </w:r>
      <w:proofErr w:type="spellStart"/>
      <w:r w:rsidRPr="00E538CF">
        <w:rPr>
          <w:i/>
          <w:iCs/>
          <w:sz w:val="24"/>
          <w:lang w:val="lv-LV"/>
        </w:rPr>
        <w:t>Human</w:t>
      </w:r>
      <w:proofErr w:type="spellEnd"/>
      <w:r w:rsidRPr="00E538CF">
        <w:rPr>
          <w:i/>
          <w:iCs/>
          <w:sz w:val="24"/>
          <w:lang w:val="lv-LV"/>
        </w:rPr>
        <w:t xml:space="preserve"> </w:t>
      </w:r>
      <w:proofErr w:type="spellStart"/>
      <w:r w:rsidRPr="00E538CF">
        <w:rPr>
          <w:i/>
          <w:iCs/>
          <w:sz w:val="24"/>
          <w:lang w:val="lv-LV"/>
        </w:rPr>
        <w:t>Rights</w:t>
      </w:r>
      <w:proofErr w:type="spellEnd"/>
      <w:r w:rsidRPr="00E538CF">
        <w:rPr>
          <w:i/>
          <w:iCs/>
          <w:sz w:val="24"/>
          <w:lang w:val="lv-LV"/>
        </w:rPr>
        <w:t xml:space="preserve"> </w:t>
      </w:r>
      <w:proofErr w:type="spellStart"/>
      <w:r w:rsidRPr="00E538CF">
        <w:rPr>
          <w:i/>
          <w:iCs/>
          <w:sz w:val="24"/>
          <w:lang w:val="lv-LV"/>
        </w:rPr>
        <w:t>Situation</w:t>
      </w:r>
      <w:proofErr w:type="spellEnd"/>
      <w:r w:rsidRPr="00E538CF">
        <w:rPr>
          <w:i/>
          <w:iCs/>
          <w:sz w:val="24"/>
          <w:lang w:val="lv-LV"/>
        </w:rPr>
        <w:t xml:space="preserve"> </w:t>
      </w:r>
      <w:proofErr w:type="spellStart"/>
      <w:r w:rsidRPr="00E538CF">
        <w:rPr>
          <w:i/>
          <w:iCs/>
          <w:sz w:val="24"/>
          <w:lang w:val="lv-LV"/>
        </w:rPr>
        <w:t>of</w:t>
      </w:r>
      <w:proofErr w:type="spellEnd"/>
      <w:r w:rsidRPr="00E538CF">
        <w:rPr>
          <w:i/>
          <w:iCs/>
          <w:sz w:val="24"/>
          <w:lang w:val="lv-LV"/>
        </w:rPr>
        <w:t xml:space="preserve"> </w:t>
      </w:r>
      <w:proofErr w:type="spellStart"/>
      <w:r w:rsidRPr="00E538CF">
        <w:rPr>
          <w:i/>
          <w:iCs/>
          <w:sz w:val="24"/>
          <w:lang w:val="lv-LV"/>
        </w:rPr>
        <w:t>Lesbian</w:t>
      </w:r>
      <w:proofErr w:type="spellEnd"/>
      <w:r w:rsidRPr="00E538CF">
        <w:rPr>
          <w:i/>
          <w:iCs/>
          <w:sz w:val="24"/>
          <w:lang w:val="lv-LV"/>
        </w:rPr>
        <w:t xml:space="preserve">, </w:t>
      </w:r>
      <w:proofErr w:type="spellStart"/>
      <w:r w:rsidRPr="00E538CF">
        <w:rPr>
          <w:i/>
          <w:iCs/>
          <w:sz w:val="24"/>
          <w:lang w:val="lv-LV"/>
        </w:rPr>
        <w:t>Gay</w:t>
      </w:r>
      <w:proofErr w:type="spellEnd"/>
      <w:r w:rsidRPr="00E538CF">
        <w:rPr>
          <w:i/>
          <w:iCs/>
          <w:sz w:val="24"/>
          <w:lang w:val="lv-LV"/>
        </w:rPr>
        <w:t xml:space="preserve">, </w:t>
      </w:r>
      <w:proofErr w:type="spellStart"/>
      <w:r w:rsidRPr="00E538CF">
        <w:rPr>
          <w:i/>
          <w:iCs/>
          <w:sz w:val="24"/>
          <w:lang w:val="lv-LV"/>
        </w:rPr>
        <w:t>Bisexual</w:t>
      </w:r>
      <w:proofErr w:type="spellEnd"/>
      <w:r w:rsidRPr="00E538CF">
        <w:rPr>
          <w:i/>
          <w:iCs/>
          <w:sz w:val="24"/>
          <w:lang w:val="lv-LV"/>
        </w:rPr>
        <w:t xml:space="preserve">, Trans </w:t>
      </w:r>
      <w:proofErr w:type="spellStart"/>
      <w:r w:rsidRPr="00E538CF">
        <w:rPr>
          <w:i/>
          <w:iCs/>
          <w:sz w:val="24"/>
          <w:lang w:val="lv-LV"/>
        </w:rPr>
        <w:t>and</w:t>
      </w:r>
      <w:proofErr w:type="spellEnd"/>
      <w:r w:rsidRPr="00E538CF">
        <w:rPr>
          <w:i/>
          <w:iCs/>
          <w:sz w:val="24"/>
          <w:lang w:val="lv-LV"/>
        </w:rPr>
        <w:t xml:space="preserve"> </w:t>
      </w:r>
      <w:proofErr w:type="spellStart"/>
      <w:r w:rsidRPr="00E538CF">
        <w:rPr>
          <w:i/>
          <w:iCs/>
          <w:sz w:val="24"/>
          <w:lang w:val="lv-LV"/>
        </w:rPr>
        <w:t>Intersex</w:t>
      </w:r>
      <w:proofErr w:type="spellEnd"/>
      <w:r w:rsidRPr="00E538CF">
        <w:rPr>
          <w:i/>
          <w:iCs/>
          <w:sz w:val="24"/>
          <w:lang w:val="lv-LV"/>
        </w:rPr>
        <w:t xml:space="preserve"> </w:t>
      </w:r>
      <w:proofErr w:type="spellStart"/>
      <w:r w:rsidRPr="00E538CF">
        <w:rPr>
          <w:i/>
          <w:iCs/>
          <w:sz w:val="24"/>
          <w:lang w:val="lv-LV"/>
        </w:rPr>
        <w:t>People</w:t>
      </w:r>
      <w:proofErr w:type="spellEnd"/>
      <w:r w:rsidRPr="00E538CF">
        <w:rPr>
          <w:i/>
          <w:iCs/>
          <w:sz w:val="24"/>
          <w:lang w:val="lv-LV"/>
        </w:rPr>
        <w:t xml:space="preserve"> </w:t>
      </w:r>
      <w:proofErr w:type="spellStart"/>
      <w:r w:rsidRPr="00E538CF">
        <w:rPr>
          <w:i/>
          <w:iCs/>
          <w:sz w:val="24"/>
          <w:lang w:val="lv-LV"/>
        </w:rPr>
        <w:t>in</w:t>
      </w:r>
      <w:proofErr w:type="spellEnd"/>
      <w:r w:rsidRPr="00E538CF">
        <w:rPr>
          <w:i/>
          <w:iCs/>
          <w:sz w:val="24"/>
          <w:lang w:val="lv-LV"/>
        </w:rPr>
        <w:t xml:space="preserve"> </w:t>
      </w:r>
      <w:proofErr w:type="spellStart"/>
      <w:r w:rsidRPr="00E538CF">
        <w:rPr>
          <w:i/>
          <w:iCs/>
          <w:sz w:val="24"/>
          <w:lang w:val="lv-LV"/>
        </w:rPr>
        <w:t>Europe</w:t>
      </w:r>
      <w:proofErr w:type="spellEnd"/>
      <w:r w:rsidRPr="00E538CF">
        <w:rPr>
          <w:i/>
          <w:iCs/>
          <w:sz w:val="24"/>
          <w:lang w:val="lv-LV"/>
        </w:rPr>
        <w:t xml:space="preserve"> </w:t>
      </w:r>
      <w:proofErr w:type="spellStart"/>
      <w:r w:rsidRPr="00E538CF">
        <w:rPr>
          <w:i/>
          <w:iCs/>
          <w:sz w:val="24"/>
          <w:lang w:val="lv-LV"/>
        </w:rPr>
        <w:t>and</w:t>
      </w:r>
      <w:proofErr w:type="spellEnd"/>
      <w:r w:rsidRPr="00E538CF">
        <w:rPr>
          <w:i/>
          <w:iCs/>
          <w:sz w:val="24"/>
          <w:lang w:val="lv-LV"/>
        </w:rPr>
        <w:t xml:space="preserve"> </w:t>
      </w:r>
      <w:proofErr w:type="spellStart"/>
      <w:r w:rsidRPr="00E538CF">
        <w:rPr>
          <w:i/>
          <w:iCs/>
          <w:sz w:val="24"/>
          <w:lang w:val="lv-LV"/>
        </w:rPr>
        <w:t>Central</w:t>
      </w:r>
      <w:proofErr w:type="spellEnd"/>
      <w:r w:rsidRPr="00E538CF">
        <w:rPr>
          <w:i/>
          <w:iCs/>
          <w:sz w:val="24"/>
          <w:lang w:val="lv-LV"/>
        </w:rPr>
        <w:t xml:space="preserve"> Asia</w:t>
      </w:r>
      <w:r w:rsidRPr="00E538CF">
        <w:rPr>
          <w:sz w:val="24"/>
          <w:lang w:val="lv-LV"/>
        </w:rPr>
        <w:t>”, 2023. gada februāris.</w:t>
      </w:r>
    </w:p>
  </w:footnote>
  <w:footnote w:id="11">
    <w:p w:rsidR="00F36271" w:rsidRPr="00E538CF" w:rsidRDefault="00F36271" w:rsidP="00E538CF">
      <w:pPr>
        <w:pStyle w:val="FootnoteText"/>
        <w:ind w:left="567" w:hanging="567"/>
        <w:rPr>
          <w:sz w:val="24"/>
          <w:lang w:val="lv-LV"/>
        </w:rPr>
      </w:pPr>
      <w:r w:rsidRPr="00E538CF">
        <w:rPr>
          <w:rStyle w:val="FootnoteReference"/>
          <w:sz w:val="24"/>
          <w:lang w:val="lv-LV"/>
        </w:rPr>
        <w:footnoteRef/>
      </w:r>
      <w:r w:rsidR="00E538CF" w:rsidRPr="00E538CF">
        <w:rPr>
          <w:sz w:val="24"/>
          <w:lang w:val="lv-LV"/>
        </w:rPr>
        <w:t xml:space="preserve"> </w:t>
      </w:r>
      <w:r w:rsidR="00E538CF" w:rsidRPr="00E538CF">
        <w:rPr>
          <w:sz w:val="24"/>
          <w:lang w:val="lv-LV"/>
        </w:rPr>
        <w:tab/>
      </w:r>
      <w:r w:rsidRPr="00E538CF">
        <w:rPr>
          <w:sz w:val="24"/>
          <w:lang w:val="lv-LV"/>
        </w:rPr>
        <w:t xml:space="preserve">Eiropas Savienības </w:t>
      </w:r>
      <w:proofErr w:type="spellStart"/>
      <w:r w:rsidRPr="00E538CF">
        <w:rPr>
          <w:sz w:val="24"/>
          <w:lang w:val="lv-LV"/>
        </w:rPr>
        <w:t>Pamattiesību</w:t>
      </w:r>
      <w:proofErr w:type="spellEnd"/>
      <w:r w:rsidRPr="00E538CF">
        <w:rPr>
          <w:sz w:val="24"/>
          <w:lang w:val="lv-LV"/>
        </w:rPr>
        <w:t xml:space="preserve"> aģentūra, “</w:t>
      </w:r>
      <w:proofErr w:type="spellStart"/>
      <w:r w:rsidRPr="00FD409A">
        <w:fldChar w:fldCharType="begin"/>
      </w:r>
      <w:r w:rsidRPr="00FD409A">
        <w:rPr>
          <w:i/>
          <w:sz w:val="24"/>
          <w:lang w:val="lv-LV"/>
        </w:rPr>
        <w:instrText xml:space="preserve"> HYPERLINK "https://fra.europa.eu/sites/default/files/fra_uploads/fra-2021-hate-crime-reporting_en.pdf" </w:instrText>
      </w:r>
      <w:r w:rsidRPr="00FD409A">
        <w:fldChar w:fldCharType="separate"/>
      </w:r>
      <w:r w:rsidRPr="00FD409A">
        <w:rPr>
          <w:rStyle w:val="Hyperlink"/>
          <w:i/>
          <w:sz w:val="24"/>
          <w:lang w:val="lv-LV"/>
        </w:rPr>
        <w:t>Encouraging</w:t>
      </w:r>
      <w:proofErr w:type="spellEnd"/>
      <w:r w:rsidRPr="00FD409A">
        <w:rPr>
          <w:rStyle w:val="Hyperlink"/>
          <w:i/>
          <w:sz w:val="24"/>
          <w:lang w:val="lv-LV"/>
        </w:rPr>
        <w:t xml:space="preserve"> </w:t>
      </w:r>
      <w:proofErr w:type="spellStart"/>
      <w:r w:rsidRPr="00FD409A">
        <w:rPr>
          <w:rStyle w:val="Hyperlink"/>
          <w:i/>
          <w:sz w:val="24"/>
          <w:lang w:val="lv-LV"/>
        </w:rPr>
        <w:t>hate</w:t>
      </w:r>
      <w:proofErr w:type="spellEnd"/>
      <w:r w:rsidRPr="00FD409A">
        <w:rPr>
          <w:rStyle w:val="Hyperlink"/>
          <w:i/>
          <w:sz w:val="24"/>
          <w:lang w:val="lv-LV"/>
        </w:rPr>
        <w:t xml:space="preserve"> </w:t>
      </w:r>
      <w:proofErr w:type="spellStart"/>
      <w:r w:rsidRPr="00FD409A">
        <w:rPr>
          <w:rStyle w:val="Hyperlink"/>
          <w:i/>
          <w:sz w:val="24"/>
          <w:lang w:val="lv-LV"/>
        </w:rPr>
        <w:t>crime</w:t>
      </w:r>
      <w:proofErr w:type="spellEnd"/>
      <w:r w:rsidRPr="00FD409A">
        <w:rPr>
          <w:rStyle w:val="Hyperlink"/>
          <w:i/>
          <w:sz w:val="24"/>
          <w:lang w:val="lv-LV"/>
        </w:rPr>
        <w:t xml:space="preserve"> </w:t>
      </w:r>
      <w:proofErr w:type="spellStart"/>
      <w:r w:rsidRPr="00FD409A">
        <w:rPr>
          <w:rStyle w:val="Hyperlink"/>
          <w:i/>
          <w:sz w:val="24"/>
          <w:lang w:val="lv-LV"/>
        </w:rPr>
        <w:t>reporting</w:t>
      </w:r>
      <w:proofErr w:type="spellEnd"/>
      <w:r w:rsidRPr="00FD409A">
        <w:rPr>
          <w:rStyle w:val="Hyperlink"/>
          <w:i/>
          <w:sz w:val="24"/>
          <w:lang w:val="lv-LV"/>
        </w:rPr>
        <w:t xml:space="preserve"> — </w:t>
      </w:r>
      <w:proofErr w:type="spellStart"/>
      <w:r w:rsidRPr="00FD409A">
        <w:rPr>
          <w:rStyle w:val="Hyperlink"/>
          <w:i/>
          <w:sz w:val="24"/>
          <w:lang w:val="lv-LV"/>
        </w:rPr>
        <w:t>The</w:t>
      </w:r>
      <w:proofErr w:type="spellEnd"/>
      <w:r w:rsidRPr="00FD409A">
        <w:rPr>
          <w:rStyle w:val="Hyperlink"/>
          <w:i/>
          <w:sz w:val="24"/>
          <w:lang w:val="lv-LV"/>
        </w:rPr>
        <w:t xml:space="preserve"> </w:t>
      </w:r>
      <w:proofErr w:type="spellStart"/>
      <w:r w:rsidRPr="00FD409A">
        <w:rPr>
          <w:rStyle w:val="Hyperlink"/>
          <w:i/>
          <w:sz w:val="24"/>
          <w:lang w:val="lv-LV"/>
        </w:rPr>
        <w:t>role</w:t>
      </w:r>
      <w:proofErr w:type="spellEnd"/>
      <w:r w:rsidRPr="00FD409A">
        <w:rPr>
          <w:rStyle w:val="Hyperlink"/>
          <w:i/>
          <w:sz w:val="24"/>
          <w:lang w:val="lv-LV"/>
        </w:rPr>
        <w:t xml:space="preserve"> </w:t>
      </w:r>
      <w:proofErr w:type="spellStart"/>
      <w:r w:rsidRPr="00FD409A">
        <w:rPr>
          <w:rStyle w:val="Hyperlink"/>
          <w:i/>
          <w:sz w:val="24"/>
          <w:lang w:val="lv-LV"/>
        </w:rPr>
        <w:t>of</w:t>
      </w:r>
      <w:proofErr w:type="spellEnd"/>
      <w:r w:rsidRPr="00FD409A">
        <w:rPr>
          <w:rStyle w:val="Hyperlink"/>
          <w:i/>
          <w:sz w:val="24"/>
          <w:lang w:val="lv-LV"/>
        </w:rPr>
        <w:t xml:space="preserve"> </w:t>
      </w:r>
      <w:proofErr w:type="spellStart"/>
      <w:r w:rsidRPr="00FD409A">
        <w:rPr>
          <w:rStyle w:val="Hyperlink"/>
          <w:i/>
          <w:sz w:val="24"/>
          <w:lang w:val="lv-LV"/>
        </w:rPr>
        <w:t>law</w:t>
      </w:r>
      <w:proofErr w:type="spellEnd"/>
      <w:r w:rsidRPr="00FD409A">
        <w:rPr>
          <w:rStyle w:val="Hyperlink"/>
          <w:i/>
          <w:sz w:val="24"/>
          <w:lang w:val="lv-LV"/>
        </w:rPr>
        <w:t xml:space="preserve"> </w:t>
      </w:r>
      <w:proofErr w:type="spellStart"/>
      <w:r w:rsidRPr="00FD409A">
        <w:rPr>
          <w:rStyle w:val="Hyperlink"/>
          <w:i/>
          <w:sz w:val="24"/>
          <w:lang w:val="lv-LV"/>
        </w:rPr>
        <w:t>enforcement</w:t>
      </w:r>
      <w:proofErr w:type="spellEnd"/>
      <w:r w:rsidRPr="00FD409A">
        <w:rPr>
          <w:rStyle w:val="Hyperlink"/>
          <w:i/>
          <w:sz w:val="24"/>
          <w:lang w:val="lv-LV"/>
        </w:rPr>
        <w:t xml:space="preserve"> </w:t>
      </w:r>
      <w:proofErr w:type="spellStart"/>
      <w:r w:rsidRPr="00FD409A">
        <w:rPr>
          <w:rStyle w:val="Hyperlink"/>
          <w:i/>
          <w:sz w:val="24"/>
          <w:lang w:val="lv-LV"/>
        </w:rPr>
        <w:t>and</w:t>
      </w:r>
      <w:proofErr w:type="spellEnd"/>
      <w:r w:rsidRPr="00FD409A">
        <w:rPr>
          <w:rStyle w:val="Hyperlink"/>
          <w:i/>
          <w:sz w:val="24"/>
          <w:lang w:val="lv-LV"/>
        </w:rPr>
        <w:t xml:space="preserve"> </w:t>
      </w:r>
      <w:proofErr w:type="spellStart"/>
      <w:r w:rsidRPr="00FD409A">
        <w:rPr>
          <w:rStyle w:val="Hyperlink"/>
          <w:i/>
          <w:sz w:val="24"/>
          <w:lang w:val="lv-LV"/>
        </w:rPr>
        <w:t>other</w:t>
      </w:r>
      <w:proofErr w:type="spellEnd"/>
      <w:r w:rsidRPr="00FD409A">
        <w:rPr>
          <w:rStyle w:val="Hyperlink"/>
          <w:i/>
          <w:sz w:val="24"/>
          <w:lang w:val="lv-LV"/>
        </w:rPr>
        <w:t xml:space="preserve"> </w:t>
      </w:r>
      <w:proofErr w:type="spellStart"/>
      <w:r w:rsidRPr="00FD409A">
        <w:rPr>
          <w:rStyle w:val="Hyperlink"/>
          <w:i/>
          <w:sz w:val="24"/>
          <w:lang w:val="lv-LV"/>
        </w:rPr>
        <w:t>authorities</w:t>
      </w:r>
      <w:proofErr w:type="spellEnd"/>
      <w:r w:rsidRPr="00FD409A">
        <w:rPr>
          <w:rStyle w:val="Hyperlink"/>
          <w:i/>
          <w:sz w:val="24"/>
          <w:lang w:val="lv-LV"/>
        </w:rPr>
        <w:fldChar w:fldCharType="end"/>
      </w:r>
      <w:r w:rsidRPr="00E538CF">
        <w:rPr>
          <w:sz w:val="24"/>
          <w:lang w:val="lv-LV"/>
        </w:rPr>
        <w:t>”, 2021.</w:t>
      </w:r>
    </w:p>
  </w:footnote>
  <w:footnote w:id="12">
    <w:p w:rsidR="00F36271" w:rsidRPr="00E538CF" w:rsidRDefault="00F36271" w:rsidP="00E538CF">
      <w:pPr>
        <w:pStyle w:val="FootnoteText"/>
        <w:ind w:left="567" w:hanging="567"/>
        <w:rPr>
          <w:sz w:val="24"/>
          <w:lang w:val="lv-LV"/>
        </w:rPr>
      </w:pPr>
      <w:r w:rsidRPr="00E538CF">
        <w:rPr>
          <w:rStyle w:val="FootnoteReference"/>
          <w:sz w:val="24"/>
          <w:lang w:val="lv-LV"/>
        </w:rPr>
        <w:footnoteRef/>
      </w:r>
      <w:r w:rsidR="00E538CF" w:rsidRPr="00E538CF">
        <w:rPr>
          <w:sz w:val="24"/>
          <w:lang w:val="lv-LV"/>
        </w:rPr>
        <w:t xml:space="preserve"> </w:t>
      </w:r>
      <w:r w:rsidR="00E538CF" w:rsidRPr="00E538CF">
        <w:rPr>
          <w:sz w:val="24"/>
          <w:lang w:val="lv-LV"/>
        </w:rPr>
        <w:tab/>
      </w:r>
      <w:r w:rsidRPr="00E538CF">
        <w:rPr>
          <w:sz w:val="24"/>
          <w:lang w:val="lv-LV"/>
        </w:rPr>
        <w:t>Eiropas Parlamenta un Padomes 2022. gada 19. oktobra Regula (ES) 2022/2065 par digitālo pakalpojumu vienoto tirgu un ar ko groza Direktīvu 2000/31/EK (Digitālo pakalpojumu akts) (OV L 277, 27.10.2022.,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8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8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8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LV"/>
    <w:docVar w:name="dvnumam" w:val="0"/>
    <w:docVar w:name="dvpe" w:val="750.074"/>
    <w:docVar w:name="dvrapporteur" w:val="Referente: "/>
    <w:docVar w:name="dvtitre" w:val="Eiropas Parlamenta 2024. gada XX. XXX  rezolūcija par ES noziegumu jomu saraksta paplašināšanu, tajā iekļaujot naida runu un naida noziegumu(2023/2068(INI))"/>
  </w:docVars>
  <w:rsids>
    <w:rsidRoot w:val="00F35EA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7CA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46"/>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8CF"/>
    <w:rsid w:val="00E820A4"/>
    <w:rsid w:val="00EB006A"/>
    <w:rsid w:val="00EB4772"/>
    <w:rsid w:val="00ED169E"/>
    <w:rsid w:val="00ED4235"/>
    <w:rsid w:val="00F04346"/>
    <w:rsid w:val="00F075DC"/>
    <w:rsid w:val="00F149E9"/>
    <w:rsid w:val="00F35EA1"/>
    <w:rsid w:val="00F36271"/>
    <w:rsid w:val="00F5134D"/>
    <w:rsid w:val="00F74202"/>
    <w:rsid w:val="00F87713"/>
    <w:rsid w:val="00FB4360"/>
    <w:rsid w:val="00FD0C70"/>
    <w:rsid w:val="00FD409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898EF"/>
  <w15:chartTrackingRefBased/>
  <w15:docId w15:val="{4FB67257-B1C8-4685-A677-ABC0749F3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36271"/>
    <w:rPr>
      <w:b/>
    </w:rPr>
  </w:style>
  <w:style w:type="paragraph" w:customStyle="1" w:styleId="NormalHanging12a">
    <w:name w:val="NormalHanging12a"/>
    <w:basedOn w:val="Normal"/>
    <w:link w:val="NormalHanging12aChar"/>
    <w:rsid w:val="00F36271"/>
    <w:pPr>
      <w:spacing w:after="240"/>
      <w:ind w:left="567" w:hanging="567"/>
    </w:pPr>
  </w:style>
  <w:style w:type="paragraph" w:customStyle="1" w:styleId="EPComma">
    <w:name w:val="EPComma"/>
    <w:basedOn w:val="Normal"/>
    <w:rsid w:val="00F36271"/>
    <w:pPr>
      <w:spacing w:before="480" w:after="240"/>
    </w:pPr>
  </w:style>
  <w:style w:type="character" w:customStyle="1" w:styleId="Italic">
    <w:name w:val="Italic"/>
    <w:uiPriority w:val="1"/>
    <w:rsid w:val="00F36271"/>
    <w:rPr>
      <w:i/>
      <w:iCs w:val="0"/>
    </w:rPr>
  </w:style>
  <w:style w:type="character" w:customStyle="1" w:styleId="NormalHanging12aChar">
    <w:name w:val="NormalHanging12a Char"/>
    <w:basedOn w:val="DefaultParagraphFont"/>
    <w:link w:val="NormalHanging12a"/>
    <w:rsid w:val="00F36271"/>
    <w:rPr>
      <w:sz w:val="24"/>
      <w:lang w:val="lv-LV"/>
    </w:rPr>
  </w:style>
  <w:style w:type="paragraph" w:customStyle="1" w:styleId="Normal12Hanging">
    <w:name w:val="Normal12Hanging"/>
    <w:basedOn w:val="Normal"/>
    <w:rsid w:val="00F36271"/>
    <w:pPr>
      <w:spacing w:after="240"/>
      <w:ind w:left="567" w:hanging="567"/>
    </w:pPr>
  </w:style>
  <w:style w:type="character" w:styleId="Hyperlink">
    <w:name w:val="Hyperlink"/>
    <w:basedOn w:val="DefaultParagraphFont"/>
    <w:rsid w:val="00F362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026B5-4B59-4093-9401-BFA19F479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2714</Words>
  <Characters>17612</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3</cp:revision>
  <cp:lastPrinted>2004-11-19T15:42:00Z</cp:lastPrinted>
  <dcterms:created xsi:type="dcterms:W3CDTF">2024-01-18T15:01:00Z</dcterms:created>
  <dcterms:modified xsi:type="dcterms:W3CDTF">2024-01-18T15:02:00Z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A9-0377/2023</vt:lpwstr>
  </property>
  <property fmtid="{D5CDD505-2E9C-101B-9397-08002B2CF9AE}" pid="4" name="&lt;Type&gt;">
    <vt:lpwstr>RR</vt:lpwstr>
  </property>
</Properties>
</file>