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5695" w:rsidTr="0010095E">
        <w:trPr>
          <w:trHeight w:hRule="exact" w:val="1418"/>
        </w:trPr>
        <w:tc>
          <w:tcPr>
            <w:tcW w:w="6804" w:type="dxa"/>
            <w:shd w:val="clear" w:color="auto" w:fill="auto"/>
            <w:vAlign w:val="center"/>
          </w:tcPr>
          <w:p w:rsidR="00751A4A" w:rsidRPr="00745695" w:rsidRDefault="002D5D71" w:rsidP="0010095E">
            <w:pPr>
              <w:pStyle w:val="EPName"/>
            </w:pPr>
            <w:bookmarkStart w:id="0" w:name="_GoBack"/>
            <w:bookmarkEnd w:id="0"/>
            <w:r w:rsidRPr="00745695">
              <w:t>Európsky parlament</w:t>
            </w:r>
          </w:p>
          <w:p w:rsidR="00751A4A" w:rsidRPr="00745695" w:rsidRDefault="00817416" w:rsidP="00756632">
            <w:pPr>
              <w:pStyle w:val="EPTerm"/>
              <w:rPr>
                <w:rStyle w:val="HideTWBExt"/>
                <w:noProof w:val="0"/>
                <w:vanish w:val="0"/>
                <w:color w:val="auto"/>
              </w:rPr>
            </w:pPr>
            <w:r w:rsidRPr="00745695">
              <w:t>2019-2024</w:t>
            </w:r>
          </w:p>
        </w:tc>
        <w:tc>
          <w:tcPr>
            <w:tcW w:w="2268" w:type="dxa"/>
            <w:shd w:val="clear" w:color="auto" w:fill="auto"/>
          </w:tcPr>
          <w:p w:rsidR="00751A4A" w:rsidRPr="00745695" w:rsidRDefault="00187494" w:rsidP="0010095E">
            <w:pPr>
              <w:pStyle w:val="EPLogo"/>
            </w:pPr>
            <w:r w:rsidRPr="0074569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45695" w:rsidRDefault="00D058B8" w:rsidP="004C5D52">
      <w:pPr>
        <w:pStyle w:val="LineTop"/>
      </w:pPr>
    </w:p>
    <w:p w:rsidR="00680577" w:rsidRPr="00745695" w:rsidRDefault="002D5D71" w:rsidP="00680577">
      <w:pPr>
        <w:pStyle w:val="EPBodyTA1"/>
      </w:pPr>
      <w:r w:rsidRPr="00745695">
        <w:t>PRIJATÉ TEXTY</w:t>
      </w:r>
    </w:p>
    <w:p w:rsidR="00D058B8" w:rsidRPr="00745695" w:rsidRDefault="00D058B8" w:rsidP="00D058B8">
      <w:pPr>
        <w:pStyle w:val="LineBottom"/>
      </w:pPr>
    </w:p>
    <w:p w:rsidR="002D5D71" w:rsidRPr="00745695" w:rsidRDefault="002D5D71" w:rsidP="002D5D71">
      <w:pPr>
        <w:pStyle w:val="ATHeading1"/>
      </w:pPr>
      <w:bookmarkStart w:id="1" w:name="TANumber"/>
      <w:r w:rsidRPr="00745695">
        <w:t>P9_TA(2024)00</w:t>
      </w:r>
      <w:r w:rsidR="00745695" w:rsidRPr="00745695">
        <w:t>44</w:t>
      </w:r>
      <w:bookmarkEnd w:id="1"/>
    </w:p>
    <w:p w:rsidR="002D5D71" w:rsidRPr="00745695" w:rsidRDefault="002D5D71" w:rsidP="002D5D71">
      <w:pPr>
        <w:pStyle w:val="ATHeading2"/>
      </w:pPr>
      <w:bookmarkStart w:id="2" w:name="title"/>
      <w:r w:rsidRPr="00745695">
        <w:t>Rozšírenie zoznamu trestných činov v EÚ o nenávistné prejavy a trestné činy páchané z nenávisti</w:t>
      </w:r>
      <w:bookmarkEnd w:id="2"/>
    </w:p>
    <w:p w:rsidR="002D5D71" w:rsidRPr="00745695" w:rsidRDefault="002D5D71" w:rsidP="002D5D71">
      <w:pPr>
        <w:rPr>
          <w:i/>
          <w:vanish/>
        </w:rPr>
      </w:pPr>
      <w:r w:rsidRPr="00745695">
        <w:rPr>
          <w:i/>
        </w:rPr>
        <w:fldChar w:fldCharType="begin"/>
      </w:r>
      <w:r w:rsidRPr="00745695">
        <w:rPr>
          <w:i/>
        </w:rPr>
        <w:instrText xml:space="preserve"> TC"(</w:instrText>
      </w:r>
      <w:bookmarkStart w:id="3" w:name="DocNumber"/>
      <w:r w:rsidRPr="00745695">
        <w:rPr>
          <w:i/>
        </w:rPr>
        <w:instrText>A9-0377/2023</w:instrText>
      </w:r>
      <w:bookmarkEnd w:id="3"/>
      <w:r w:rsidRPr="00745695">
        <w:rPr>
          <w:i/>
        </w:rPr>
        <w:instrText xml:space="preserve"> - Spravodajkyňa: </w:instrText>
      </w:r>
      <w:proofErr w:type="spellStart"/>
      <w:r w:rsidRPr="00745695">
        <w:rPr>
          <w:i/>
        </w:rPr>
        <w:instrText>Maite</w:instrText>
      </w:r>
      <w:proofErr w:type="spellEnd"/>
      <w:r w:rsidRPr="00745695">
        <w:rPr>
          <w:i/>
        </w:rPr>
        <w:instrText xml:space="preserve"> </w:instrText>
      </w:r>
      <w:proofErr w:type="spellStart"/>
      <w:r w:rsidRPr="00745695">
        <w:rPr>
          <w:i/>
        </w:rPr>
        <w:instrText>Pagazaurtundúa</w:instrText>
      </w:r>
      <w:proofErr w:type="spellEnd"/>
      <w:r w:rsidRPr="00745695">
        <w:rPr>
          <w:i/>
        </w:rPr>
        <w:instrText xml:space="preserve">)"\l3 \n&gt; \* MERGEFORMAT </w:instrText>
      </w:r>
      <w:r w:rsidRPr="00745695">
        <w:rPr>
          <w:i/>
        </w:rPr>
        <w:fldChar w:fldCharType="end"/>
      </w:r>
    </w:p>
    <w:p w:rsidR="002D5D71" w:rsidRPr="00745695" w:rsidRDefault="002D5D71" w:rsidP="002D5D71">
      <w:pPr>
        <w:rPr>
          <w:vanish/>
        </w:rPr>
      </w:pPr>
      <w:bookmarkStart w:id="4" w:name="Commission"/>
      <w:r w:rsidRPr="00745695">
        <w:rPr>
          <w:vanish/>
        </w:rPr>
        <w:t>Výbor pre občianske slobody, spravodlivosť a vnútorné veci</w:t>
      </w:r>
      <w:bookmarkEnd w:id="4"/>
    </w:p>
    <w:p w:rsidR="002D5D71" w:rsidRPr="00745695" w:rsidRDefault="002D5D71" w:rsidP="002D5D71">
      <w:pPr>
        <w:rPr>
          <w:vanish/>
        </w:rPr>
      </w:pPr>
      <w:bookmarkStart w:id="5" w:name="PE"/>
      <w:r w:rsidRPr="00745695">
        <w:rPr>
          <w:vanish/>
        </w:rPr>
        <w:t>PE750.074</w:t>
      </w:r>
      <w:bookmarkEnd w:id="5"/>
    </w:p>
    <w:p w:rsidR="002D5D71" w:rsidRPr="00745695" w:rsidRDefault="002D5D71" w:rsidP="002D5D71">
      <w:pPr>
        <w:pStyle w:val="ATHeading3"/>
      </w:pPr>
      <w:bookmarkStart w:id="6" w:name="Sujet"/>
      <w:r w:rsidRPr="00745695">
        <w:t>Uznesenie Európskeho parlamentu z</w:t>
      </w:r>
      <w:r w:rsidR="00F11267" w:rsidRPr="00745695">
        <w:t> 18</w:t>
      </w:r>
      <w:r w:rsidRPr="00745695">
        <w:t>. januára 2024 o rozšírení zoznamu trestných činov v EÚ o nenávistné prejavy a trestné činy páchané z nenávisti</w:t>
      </w:r>
      <w:bookmarkEnd w:id="6"/>
      <w:r w:rsidRPr="00745695">
        <w:t xml:space="preserve"> </w:t>
      </w:r>
      <w:bookmarkStart w:id="7" w:name="References"/>
      <w:r w:rsidRPr="00745695">
        <w:t>(2023/2068(INI))</w:t>
      </w:r>
      <w:bookmarkEnd w:id="7"/>
    </w:p>
    <w:p w:rsidR="00630351" w:rsidRPr="00745695" w:rsidRDefault="00630351" w:rsidP="00630351">
      <w:pPr>
        <w:pStyle w:val="EPComma"/>
      </w:pPr>
      <w:bookmarkStart w:id="8" w:name="TextBodyBegin"/>
      <w:bookmarkEnd w:id="8"/>
      <w:r w:rsidRPr="00745695">
        <w:rPr>
          <w:rStyle w:val="Italic"/>
          <w:iCs/>
        </w:rPr>
        <w:t>Európsky parlament</w:t>
      </w:r>
      <w:r w:rsidRPr="00745695">
        <w:t>,</w:t>
      </w:r>
    </w:p>
    <w:p w:rsidR="00630351" w:rsidRPr="00745695" w:rsidRDefault="00630351" w:rsidP="00630351">
      <w:pPr>
        <w:pStyle w:val="NormalHanging12a"/>
        <w:rPr>
          <w:szCs w:val="24"/>
        </w:rPr>
      </w:pPr>
      <w:r w:rsidRPr="00745695">
        <w:t>–</w:t>
      </w:r>
      <w:r w:rsidRPr="00745695">
        <w:tab/>
        <w:t>so zreteľom na Chartu základných práv Európskej únie (ďalej len „charta“), a najmä na jej články 1, 7, 20, 21, 22, 23, 25 a 26,</w:t>
      </w:r>
    </w:p>
    <w:p w:rsidR="00630351" w:rsidRPr="00745695" w:rsidRDefault="00630351" w:rsidP="00630351">
      <w:pPr>
        <w:pStyle w:val="NormalHanging12a"/>
      </w:pPr>
      <w:r w:rsidRPr="00745695">
        <w:t>–</w:t>
      </w:r>
      <w:r w:rsidRPr="00745695">
        <w:tab/>
        <w:t>so zreteľom na Zmluvu o Európskej únii (Z</w:t>
      </w:r>
      <w:r w:rsidR="00C47CDE" w:rsidRPr="00745695">
        <w:t xml:space="preserve">mluva o </w:t>
      </w:r>
      <w:r w:rsidRPr="00745695">
        <w:t>EÚ), a najmä na jej články 2, 3 a 6,</w:t>
      </w:r>
    </w:p>
    <w:p w:rsidR="00630351" w:rsidRPr="00745695" w:rsidRDefault="00630351" w:rsidP="00630351">
      <w:pPr>
        <w:pStyle w:val="NormalHanging12a"/>
      </w:pPr>
      <w:r w:rsidRPr="00745695">
        <w:t>–</w:t>
      </w:r>
      <w:r w:rsidRPr="00745695">
        <w:tab/>
        <w:t>so zreteľom na Zmluvu o fungovaní Európskej únie (ZFEÚ), najmä na jej článok 19 a článok 83 ods. 1,</w:t>
      </w:r>
    </w:p>
    <w:p w:rsidR="00630351" w:rsidRPr="00745695" w:rsidRDefault="00630351" w:rsidP="00630351">
      <w:pPr>
        <w:pStyle w:val="NormalHanging12a"/>
      </w:pPr>
      <w:r w:rsidRPr="00745695">
        <w:t>–</w:t>
      </w:r>
      <w:r w:rsidRPr="00745695">
        <w:tab/>
        <w:t>so zreteľom na Európsky dohovor o ľudských právach a na súvisiacu judikatúru Európskeho súdu pre ľudské práva,</w:t>
      </w:r>
    </w:p>
    <w:p w:rsidR="00630351" w:rsidRPr="00745695" w:rsidRDefault="00630351" w:rsidP="00630351">
      <w:pPr>
        <w:pStyle w:val="NormalHanging12a"/>
      </w:pPr>
      <w:r w:rsidRPr="00745695">
        <w:t>–</w:t>
      </w:r>
      <w:r w:rsidRPr="00745695">
        <w:tab/>
        <w:t>so zreteľom na Všeobecnú deklaráciu ľudských práv,</w:t>
      </w:r>
    </w:p>
    <w:p w:rsidR="00630351" w:rsidRPr="00745695" w:rsidRDefault="00630351" w:rsidP="00630351">
      <w:pPr>
        <w:pStyle w:val="NormalHanging12a"/>
      </w:pPr>
      <w:r w:rsidRPr="00745695">
        <w:t>–</w:t>
      </w:r>
      <w:r w:rsidRPr="00745695">
        <w:tab/>
        <w:t>so zreteľom na judikatúru Súdneho dvora Európskej únie,</w:t>
      </w:r>
    </w:p>
    <w:p w:rsidR="00630351" w:rsidRPr="00745695" w:rsidRDefault="00630351" w:rsidP="00630351">
      <w:pPr>
        <w:pStyle w:val="NormalHanging12a"/>
      </w:pPr>
      <w:r w:rsidRPr="00745695">
        <w:t>–</w:t>
      </w:r>
      <w:r w:rsidRPr="00745695">
        <w:tab/>
        <w:t xml:space="preserve">so zreteľom na oznámenie Komisie z 9. decembra 2021 s názvom </w:t>
      </w:r>
      <w:proofErr w:type="spellStart"/>
      <w:r w:rsidRPr="00745695">
        <w:t>Inkluzívnejšia</w:t>
      </w:r>
      <w:proofErr w:type="spellEnd"/>
      <w:r w:rsidRPr="00745695">
        <w:t xml:space="preserve"> Európa s vyššou mierou ochrany: rozšírenie zoznamu trestných činov v EÚ o nenávistné prejavy a trestné činy páchané z nenávisti (COM(2021)0777) a k nemu pripojený návrh rozhodnutia Rady,</w:t>
      </w:r>
    </w:p>
    <w:p w:rsidR="00630351" w:rsidRPr="00745695" w:rsidRDefault="00630351" w:rsidP="00630351">
      <w:pPr>
        <w:pStyle w:val="NormalHanging12a"/>
      </w:pPr>
      <w:r w:rsidRPr="00745695">
        <w:t>–</w:t>
      </w:r>
      <w:r w:rsidRPr="00745695">
        <w:tab/>
        <w:t>so zreteľom na rámcové rozhodnutie Rady 2008/913/SVV z 28. novembra 2008 o boji proti niektorým formám a prejavom rasizmu a xenofóbie prostredníctvom trestného práva</w:t>
      </w:r>
      <w:r w:rsidRPr="00745695">
        <w:rPr>
          <w:rStyle w:val="FootnoteReference"/>
        </w:rPr>
        <w:footnoteReference w:id="1"/>
      </w:r>
      <w:r w:rsidRPr="00745695">
        <w:t>,</w:t>
      </w:r>
    </w:p>
    <w:p w:rsidR="00630351" w:rsidRPr="00745695" w:rsidRDefault="00630351" w:rsidP="00630351">
      <w:pPr>
        <w:pStyle w:val="NormalHanging12a"/>
      </w:pPr>
      <w:r w:rsidRPr="00745695">
        <w:t>–</w:t>
      </w:r>
      <w:r w:rsidRPr="00745695">
        <w:tab/>
        <w:t>so zreteľom na oznámenie Komisie z 5. marca 2020 s názvom Únia rovnosti: stratégia pre rodovú rovnosť na roky 2020 – 2025 (COM(2020)0152),</w:t>
      </w:r>
    </w:p>
    <w:p w:rsidR="00630351" w:rsidRPr="00745695" w:rsidRDefault="00630351" w:rsidP="00630351">
      <w:pPr>
        <w:pStyle w:val="NormalHanging12a"/>
      </w:pPr>
      <w:r w:rsidRPr="00745695">
        <w:lastRenderedPageBreak/>
        <w:t>–</w:t>
      </w:r>
      <w:r w:rsidRPr="00745695">
        <w:tab/>
        <w:t>so zreteľom na oznámenie Komisie z 18. septembra 2020 s názvom Únia rovnosti: akčný plán EÚ proti rasizmu na roky 2020 – 2025 (akčný plán EÚ proti rasizmu) (COM(2020)0565),</w:t>
      </w:r>
    </w:p>
    <w:p w:rsidR="00630351" w:rsidRPr="00745695" w:rsidRDefault="00630351" w:rsidP="00630351">
      <w:pPr>
        <w:pStyle w:val="NormalHanging12a"/>
      </w:pPr>
      <w:r w:rsidRPr="00745695">
        <w:t>–</w:t>
      </w:r>
      <w:r w:rsidRPr="00745695">
        <w:tab/>
        <w:t>so zreteľom na oznámenie Komisie z 12. novembra 2020 s názvom Únia rovnosti: stratégia pre rovnosť LGBTIQ osôb na roky 2020 – 2025 (COM(2020)0698),</w:t>
      </w:r>
    </w:p>
    <w:p w:rsidR="00630351" w:rsidRPr="00745695" w:rsidRDefault="00630351" w:rsidP="00630351">
      <w:pPr>
        <w:pStyle w:val="NormalHanging12a"/>
      </w:pPr>
      <w:r w:rsidRPr="00745695">
        <w:t>–</w:t>
      </w:r>
      <w:r w:rsidRPr="00745695">
        <w:tab/>
        <w:t>so zreteľom na oznámenie Komisie z 3. marca 2021 s názvom Únia rovnosti: Stratégia v oblasti práv osôb so zdravotným postihnutím na roky 2021 – 2030 (COM(2021)0101) a na Dohovor OSN o právach osôb so zdravotným postihnutím, ktorý ratifikovala EÚ a všetky jej členské štáty,</w:t>
      </w:r>
    </w:p>
    <w:p w:rsidR="00630351" w:rsidRPr="00745695" w:rsidRDefault="00630351" w:rsidP="00630351">
      <w:pPr>
        <w:pStyle w:val="NormalHanging12a"/>
      </w:pPr>
      <w:r w:rsidRPr="00745695">
        <w:t>–</w:t>
      </w:r>
      <w:r w:rsidRPr="00745695">
        <w:tab/>
        <w:t>so zreteľom na oznámenie Komisie z 24. júna 2020 s názvom Stratégia EÚ v oblasti práv obetí (2020 – 2025) (COM(2020)0258),</w:t>
      </w:r>
    </w:p>
    <w:p w:rsidR="00630351" w:rsidRPr="00745695" w:rsidRDefault="00630351" w:rsidP="00630351">
      <w:pPr>
        <w:pStyle w:val="NormalHanging12a"/>
      </w:pPr>
      <w:r w:rsidRPr="00745695">
        <w:t>–</w:t>
      </w:r>
      <w:r w:rsidRPr="00745695">
        <w:tab/>
        <w:t>so zreteľom na odporúčanie Výboru ministrov Rady Európy členským štátom z 20. mája 2022 o boji proti nenávistným prejavom (CM/</w:t>
      </w:r>
      <w:proofErr w:type="spellStart"/>
      <w:r w:rsidRPr="00745695">
        <w:t>Rec</w:t>
      </w:r>
      <w:proofErr w:type="spellEnd"/>
      <w:r w:rsidRPr="00745695">
        <w:t>(2022)16),</w:t>
      </w:r>
    </w:p>
    <w:p w:rsidR="00630351" w:rsidRPr="00745695" w:rsidRDefault="00630351" w:rsidP="00630351">
      <w:pPr>
        <w:pStyle w:val="NormalHanging12a"/>
      </w:pPr>
      <w:r w:rsidRPr="00745695">
        <w:t>–</w:t>
      </w:r>
      <w:r w:rsidRPr="00745695">
        <w:tab/>
        <w:t>so zreteľom na všeobecné politické odporúčanie č. 15 Európskej komisie proti rasizmu a intolerancii (ECRI) v rámci Rady Európy o boji proti nenávistným prejavom, ktoré bolo prijaté 8. decembra 2015,</w:t>
      </w:r>
    </w:p>
    <w:p w:rsidR="00630351" w:rsidRPr="00745695" w:rsidRDefault="00630351" w:rsidP="00630351">
      <w:pPr>
        <w:pStyle w:val="NormalHanging12a"/>
        <w:rPr>
          <w:szCs w:val="24"/>
        </w:rPr>
      </w:pPr>
      <w:r w:rsidRPr="00745695">
        <w:t>–</w:t>
      </w:r>
      <w:r w:rsidRPr="00745695">
        <w:tab/>
        <w:t>so zreteľom na Rámcový dohovor Rady Európy na ochranu národnostných menšín a Európsku chartu regionálnych alebo menšinových jazykov,</w:t>
      </w:r>
    </w:p>
    <w:p w:rsidR="00630351" w:rsidRPr="00745695" w:rsidRDefault="00630351" w:rsidP="00630351">
      <w:pPr>
        <w:pStyle w:val="NormalHanging12a"/>
      </w:pPr>
      <w:r w:rsidRPr="00745695">
        <w:t>–</w:t>
      </w:r>
      <w:r w:rsidRPr="00745695">
        <w:tab/>
        <w:t>so zreteľom na odporúčania, správy a uznesenia komisie ECRI, Riadiaceho výboru pre nediskrimináciu, rozmanitosť a začlenenie, Parlamentného zhromaždenia, Benátskej komisie a iných orgánov Rady Európy,</w:t>
      </w:r>
    </w:p>
    <w:p w:rsidR="00630351" w:rsidRPr="00745695" w:rsidRDefault="00630351" w:rsidP="00630351">
      <w:pPr>
        <w:pStyle w:val="NormalHanging12a"/>
      </w:pPr>
      <w:r w:rsidRPr="00745695">
        <w:t>–</w:t>
      </w:r>
      <w:r w:rsidRPr="00745695">
        <w:tab/>
        <w:t>so zreteľom na usmernenia k zlepšeniu zberu a využívania údajov o rovnosti, ktoré vypracovala podskupina pre údaje o rovnosti ako súčasť skupiny Komisie na vysokej úrovni pre nediskrimináciu, rovnosť a rozmanitosť a ktoré boli uverejnené v roku 2021,</w:t>
      </w:r>
    </w:p>
    <w:p w:rsidR="00630351" w:rsidRPr="00745695" w:rsidRDefault="00630351" w:rsidP="00630351">
      <w:pPr>
        <w:pStyle w:val="NormalHanging12a"/>
      </w:pPr>
      <w:r w:rsidRPr="00745695">
        <w:t>–</w:t>
      </w:r>
      <w:r w:rsidRPr="00745695">
        <w:tab/>
        <w:t>so zreteľom na zmluvy OSN o ľudských právach a nástroje OSN na ochranu ľudských práv a základných slobôd, najmä na Všeobecnú deklaráciu ľudských práv, Medzinárodný pakt o občianskych a politických právach, Dohovor o odstránení všetkých foriem rasovej diskriminácie a Dohovor o odstránení všetkých foriem diskriminácie žien a na odporúčania výročného fóra OSN pre otázky menšín,</w:t>
      </w:r>
    </w:p>
    <w:p w:rsidR="00630351" w:rsidRPr="00745695" w:rsidRDefault="00630351" w:rsidP="00630351">
      <w:pPr>
        <w:pStyle w:val="NormalHanging12a"/>
        <w:rPr>
          <w:szCs w:val="24"/>
        </w:rPr>
      </w:pPr>
      <w:r w:rsidRPr="00745695">
        <w:t>–</w:t>
      </w:r>
      <w:r w:rsidRPr="00745695">
        <w:tab/>
        <w:t>so zreteľom na ročné údaje o trestných činoch z nenávisti, ktoré každoročne 16. novembra uverejňuje Úrad OBSE pre demokratické inštitúcie a ľudské práva,</w:t>
      </w:r>
    </w:p>
    <w:p w:rsidR="00630351" w:rsidRPr="00745695" w:rsidRDefault="00630351" w:rsidP="00630351">
      <w:pPr>
        <w:pStyle w:val="NormalHanging12a"/>
      </w:pPr>
      <w:r w:rsidRPr="00745695">
        <w:t>–</w:t>
      </w:r>
      <w:r w:rsidRPr="00745695">
        <w:tab/>
        <w:t>so zreteľom na svoje uznesenie z 25. novembra 2020 s názvom Posilnenie slobody médií: ochrana novinárov v Európe, nenávistné prejavy, dezinformácie a úloha platforiem</w:t>
      </w:r>
      <w:r w:rsidRPr="00745695">
        <w:rPr>
          <w:rStyle w:val="FootnoteReference"/>
        </w:rPr>
        <w:footnoteReference w:id="2"/>
      </w:r>
      <w:r w:rsidRPr="00745695">
        <w:t>,</w:t>
      </w:r>
    </w:p>
    <w:p w:rsidR="00630351" w:rsidRPr="00745695" w:rsidRDefault="00630351" w:rsidP="00630351">
      <w:pPr>
        <w:pStyle w:val="NormalHanging12a"/>
      </w:pPr>
      <w:r w:rsidRPr="00745695">
        <w:t>–</w:t>
      </w:r>
      <w:r w:rsidRPr="00745695">
        <w:tab/>
        <w:t xml:space="preserve">so zreteľom na svoje uznesenie zo 16. septembra 2021 s odporúčaniami pre Komisiu o určení rodovo motivovaného násilia za novú oblasť trestnej činnosti uvedenú v článku </w:t>
      </w:r>
      <w:r w:rsidRPr="00745695">
        <w:lastRenderedPageBreak/>
        <w:t>83 ods. 1 ZFEÚ</w:t>
      </w:r>
      <w:r w:rsidRPr="00745695">
        <w:rPr>
          <w:rStyle w:val="FootnoteReference"/>
        </w:rPr>
        <w:footnoteReference w:id="3"/>
      </w:r>
      <w:r w:rsidRPr="00745695">
        <w:t>,</w:t>
      </w:r>
    </w:p>
    <w:p w:rsidR="00630351" w:rsidRPr="00745695" w:rsidRDefault="00630351" w:rsidP="00630351">
      <w:pPr>
        <w:pStyle w:val="NormalHanging12a"/>
        <w:rPr>
          <w:szCs w:val="24"/>
        </w:rPr>
      </w:pPr>
      <w:r w:rsidRPr="00745695">
        <w:t>–</w:t>
      </w:r>
      <w:r w:rsidRPr="00745695">
        <w:tab/>
        <w:t>so zreteľom na svoje uznesenie z 13. novembra 2018 o minimálnych normách pre menšiny v EÚ</w:t>
      </w:r>
      <w:r w:rsidRPr="00745695">
        <w:rPr>
          <w:rStyle w:val="FootnoteReference"/>
        </w:rPr>
        <w:footnoteReference w:id="4"/>
      </w:r>
      <w:r w:rsidRPr="00745695">
        <w:t>,</w:t>
      </w:r>
    </w:p>
    <w:p w:rsidR="00630351" w:rsidRPr="00745695" w:rsidRDefault="00630351" w:rsidP="00630351">
      <w:pPr>
        <w:pStyle w:val="NormalHanging12a"/>
      </w:pPr>
      <w:r w:rsidRPr="00745695">
        <w:t>–</w:t>
      </w:r>
      <w:r w:rsidRPr="00745695">
        <w:tab/>
        <w:t>so zreteľom na článok 105 ods. 5 rokovacieho poriadku,</w:t>
      </w:r>
    </w:p>
    <w:p w:rsidR="00630351" w:rsidRPr="00745695" w:rsidRDefault="00630351" w:rsidP="00630351">
      <w:pPr>
        <w:pStyle w:val="Normal12Hanging"/>
      </w:pPr>
      <w:r w:rsidRPr="00745695">
        <w:t>–</w:t>
      </w:r>
      <w:r w:rsidRPr="00745695">
        <w:tab/>
        <w:t>so zreteľom na stanovisko Výboru pre práva žien a rodovú rovnosť,</w:t>
      </w:r>
    </w:p>
    <w:p w:rsidR="00630351" w:rsidRPr="00745695" w:rsidRDefault="00630351" w:rsidP="00630351">
      <w:pPr>
        <w:pStyle w:val="NormalHanging12a"/>
      </w:pPr>
      <w:r w:rsidRPr="00745695">
        <w:t>–</w:t>
      </w:r>
      <w:r w:rsidRPr="00745695">
        <w:tab/>
        <w:t>so zreteľom na správu Výboru pre občianske slobody, spravodlivosť a vnútorné veci (A9-0377/2023),</w:t>
      </w:r>
    </w:p>
    <w:p w:rsidR="00630351" w:rsidRPr="00745695" w:rsidRDefault="00630351" w:rsidP="00630351">
      <w:pPr>
        <w:pStyle w:val="NormalHanging12a"/>
        <w:rPr>
          <w:szCs w:val="24"/>
        </w:rPr>
      </w:pPr>
      <w:r w:rsidRPr="00745695">
        <w:t>A.</w:t>
      </w:r>
      <w:r w:rsidRPr="00745695">
        <w:tab/>
        <w:t>keďže podľa článku 21 charty je zakázaná každá forma diskriminácie z dôvodu pohlavia, rasy, farby pleti, etnického alebo sociálneho pôvodu, genetických vlastností, jazyka, náboženstva alebo viery, politického alebo iného zmýšľania, príslušnosti k národnostnej menšine, majetku, narodenia, zdravotného postihnutia, veku alebo sexuálnej orientácie; keďže v rozsahu pôsobnosti zmlúv a bez toho, aby boli dotknuté ich osobitné ustanovenia, je tiež zakázaná akákoľvek diskriminácia založená na štátnej príslušnosti; keďže podľa širokého výkladu SDEÚ by sa malo „z dôvodu pohlavia“ vo všeobecnosti chápať tak, že zahŕňa všetky formy diskriminácie týkajúce sa rodovej identity, rodového vyjadrenia a pohlavných znakov</w:t>
      </w:r>
      <w:r w:rsidRPr="00745695">
        <w:rPr>
          <w:vertAlign w:val="superscript"/>
        </w:rPr>
        <w:footnoteReference w:id="5"/>
      </w:r>
      <w:r w:rsidRPr="00745695">
        <w:t>;</w:t>
      </w:r>
    </w:p>
    <w:p w:rsidR="00630351" w:rsidRPr="00745695" w:rsidRDefault="00630351" w:rsidP="00630351">
      <w:pPr>
        <w:pStyle w:val="NormalHanging12a"/>
      </w:pPr>
      <w:r w:rsidRPr="00745695">
        <w:t>B.</w:t>
      </w:r>
      <w:r w:rsidRPr="00745695">
        <w:tab/>
        <w:t>keďže všetky formy a prejavy nenávisti a neznášanlivosti vrátane nenávistných prejavov a trestných činov z nenávisti sú nezlučiteľné s hodnotami Únie, ktorými sú ľudská dôstojnosť, sloboda, demokracia, rovnosť, právny štát a dodržiavanie ľudských práv vrátane práv osôb patriacich k menšinám, ako sú zakotvené v článku 2 Z</w:t>
      </w:r>
      <w:r w:rsidR="0093752A" w:rsidRPr="00745695">
        <w:t xml:space="preserve">mluvy o </w:t>
      </w:r>
      <w:r w:rsidRPr="00745695">
        <w:t>EÚ; keďže podpora a ochrana týchto základných hodnôt Únie závisí od toho, či inštitúcie EÚ, členské štáty a akékoľvek iné relevantné subjekty budú bojovať proti zaujatosti, predsudkom a neznášanlivosti a odstraňovať nenávisť;</w:t>
      </w:r>
    </w:p>
    <w:p w:rsidR="00630351" w:rsidRPr="00745695" w:rsidRDefault="00630351" w:rsidP="00630351">
      <w:pPr>
        <w:pStyle w:val="NormalHanging12a"/>
        <w:rPr>
          <w:szCs w:val="24"/>
        </w:rPr>
      </w:pPr>
      <w:r w:rsidRPr="00745695">
        <w:t>C.</w:t>
      </w:r>
      <w:r w:rsidRPr="00745695">
        <w:tab/>
        <w:t xml:space="preserve">keďže nenávistné prejavy a trestné činy z nenávisti sú komplexné a viacrozmerné javy, ktoré majú v demokratických spoločnostiach ďalekosiahle dôsledky na ľudské práva a právny štát; keďže boj proti xenofóbii, rasizmu, </w:t>
      </w:r>
      <w:proofErr w:type="spellStart"/>
      <w:r w:rsidRPr="00745695">
        <w:t>mizogýnii</w:t>
      </w:r>
      <w:proofErr w:type="spellEnd"/>
      <w:r w:rsidRPr="00745695">
        <w:t xml:space="preserve">, homofóbii, </w:t>
      </w:r>
      <w:proofErr w:type="spellStart"/>
      <w:r w:rsidRPr="00745695">
        <w:t>transfóbii</w:t>
      </w:r>
      <w:proofErr w:type="spellEnd"/>
      <w:r w:rsidRPr="00745695">
        <w:t xml:space="preserve"> a iným formám predsudkov, neznášanlivosti, diskriminácie vrátane tých, ktoré sú založené na politických alebo iných názoroch, a proti nenávisti voči niektorým jednotlivcom alebo spoločenským skupinám si vyžaduje, aby EÚ a jej členské štáty vypracovali ucelenú reakciu v úzkej spolupráci s príslušnými zainteresovanými stranami vrátane občianskej spoločnosti; keďže </w:t>
      </w:r>
      <w:proofErr w:type="spellStart"/>
      <w:r w:rsidRPr="00745695">
        <w:t>kriminalizácia</w:t>
      </w:r>
      <w:proofErr w:type="spellEnd"/>
      <w:r w:rsidRPr="00745695">
        <w:t xml:space="preserve"> je jedným z nástrojov na boj proti nenávistným prejavom a trestným činom z nenávisti;</w:t>
      </w:r>
    </w:p>
    <w:p w:rsidR="00630351" w:rsidRPr="00745695" w:rsidRDefault="00630351" w:rsidP="00630351">
      <w:pPr>
        <w:pStyle w:val="NormalHanging12a"/>
        <w:rPr>
          <w:szCs w:val="24"/>
        </w:rPr>
      </w:pPr>
      <w:r w:rsidRPr="00745695">
        <w:t>D.</w:t>
      </w:r>
      <w:r w:rsidRPr="00745695">
        <w:tab/>
        <w:t xml:space="preserve">keďže boj proti nenávistným prejavom a trestným činom z nenávisti online aj </w:t>
      </w:r>
      <w:proofErr w:type="spellStart"/>
      <w:r w:rsidRPr="00745695">
        <w:t>offline</w:t>
      </w:r>
      <w:proofErr w:type="spellEnd"/>
      <w:r w:rsidRPr="00745695">
        <w:t xml:space="preserve"> si vyžaduje viacrozmerný prístup a prípadne i rôzne prostriedky na boj proti nim vrátane </w:t>
      </w:r>
      <w:r w:rsidRPr="00745695">
        <w:lastRenderedPageBreak/>
        <w:t>trestného práva, občianskych a správnych konaní a iných významných politík alebo sociálnych opatrení; keďže členské štáty sa už zaviazali prijať právne predpisy a opatrenia, ktoré trestajú trestné činy z nenávisti, riešia problém nedostatočného nahlasovania a zavádzajú alebo ďalej rozvíjajú činnosti zamerané na budovanie kapacít, pokiaľ ide o úradníkov orgánov presadzovania práva a súdnych úradníkov</w:t>
      </w:r>
      <w:r w:rsidRPr="00745695">
        <w:rPr>
          <w:vertAlign w:val="superscript"/>
        </w:rPr>
        <w:footnoteReference w:id="6"/>
      </w:r>
      <w:r w:rsidRPr="00745695">
        <w:t xml:space="preserve">; keďže v záujme účinného boja proti nenávistným prejavom a trestným činom z nenávisti je nevyhnutné riešiť ich základné príčiny, najmä stereotypy; keďže v tejto súvislosti sú kľúčové preventívne opatrenia, vzdelávanie vrátane digitálneho vzdelávania, gramotnosť a zručnosti na podporu bezpečného digitálneho priestoru, odborná príprava a zvyšovanie informovanosti; keďže EÚ a členské štáty by mali podporovať lepšie pochopenie, pokiaľ ide o potrebu rozmanitosti a dialógu v kontexte demokracie, ľudských práv a právneho štátu, zvyšovať informovanosť verejnosti o dôležitosti rešpektovania pluralizmu a bojovať proti negatívnym stereotypom a </w:t>
      </w:r>
      <w:proofErr w:type="spellStart"/>
      <w:r w:rsidRPr="00745695">
        <w:t>stigmatizácii</w:t>
      </w:r>
      <w:proofErr w:type="spellEnd"/>
      <w:r w:rsidRPr="00745695">
        <w:t>;</w:t>
      </w:r>
    </w:p>
    <w:p w:rsidR="00630351" w:rsidRPr="00745695" w:rsidRDefault="00630351" w:rsidP="00630351">
      <w:pPr>
        <w:pStyle w:val="NormalHanging12a"/>
        <w:rPr>
          <w:szCs w:val="24"/>
        </w:rPr>
      </w:pPr>
      <w:r w:rsidRPr="00745695">
        <w:t>E.</w:t>
      </w:r>
      <w:r w:rsidRPr="00745695">
        <w:tab/>
        <w:t>keďže nenávistné prejavy a trestné činy z nenávisti môžu predstavovať obzvlášť závažné trestné činy a majú vplyv nielen na jednotlivé obete a ich komunity, ktorým spôsobujú utrpenie a obmedzujú ich základné práva a slobody, ale aj na spoločnosť ako celok, pretože narúšajú základy EÚ;</w:t>
      </w:r>
    </w:p>
    <w:p w:rsidR="00630351" w:rsidRPr="00745695" w:rsidRDefault="00630351" w:rsidP="00630351">
      <w:pPr>
        <w:pStyle w:val="NormalHanging12a"/>
        <w:rPr>
          <w:szCs w:val="24"/>
        </w:rPr>
      </w:pPr>
      <w:r w:rsidRPr="00745695">
        <w:t>F.</w:t>
      </w:r>
      <w:r w:rsidRPr="00745695">
        <w:tab/>
        <w:t>keďže všetky nenávistné prejavy síce nepredstavujú trestný čin, prispievajú však k normalizácii prejavov nenávisti, násilia a neznášanlivosti v spoločnosti;</w:t>
      </w:r>
    </w:p>
    <w:p w:rsidR="00630351" w:rsidRPr="00745695" w:rsidRDefault="00630351" w:rsidP="00630351">
      <w:pPr>
        <w:pStyle w:val="NormalHanging12a"/>
      </w:pPr>
      <w:r w:rsidRPr="00745695">
        <w:t>G.</w:t>
      </w:r>
      <w:r w:rsidRPr="00745695">
        <w:tab/>
        <w:t>keďže v posledných desaťročiach došlo k prudkému nárastu diskriminácie, trestných činov z nenávisti a nenávistných prejavov v celej EÚ</w:t>
      </w:r>
      <w:r w:rsidRPr="00745695">
        <w:rPr>
          <w:rStyle w:val="FootnoteReference"/>
        </w:rPr>
        <w:footnoteReference w:id="7"/>
      </w:r>
      <w:r w:rsidRPr="00745695">
        <w:t xml:space="preserve">, k nárastu rôznych foriem rasizmu, antisemitizmu, </w:t>
      </w:r>
      <w:proofErr w:type="spellStart"/>
      <w:r w:rsidRPr="00745695">
        <w:t>islamofóbie</w:t>
      </w:r>
      <w:proofErr w:type="spellEnd"/>
      <w:r w:rsidRPr="00745695">
        <w:t xml:space="preserve">, xenofóbie, homofóbie, </w:t>
      </w:r>
      <w:proofErr w:type="spellStart"/>
      <w:r w:rsidRPr="00745695">
        <w:t>transfóbie</w:t>
      </w:r>
      <w:proofErr w:type="spellEnd"/>
      <w:r w:rsidRPr="00745695">
        <w:t xml:space="preserve"> a ďalších foriem neznášanlivosti a k alarmujúcemu nárastu nenávistných prejavov a podnecovania k nenávisti online a </w:t>
      </w:r>
      <w:proofErr w:type="spellStart"/>
      <w:r w:rsidRPr="00745695">
        <w:t>offline</w:t>
      </w:r>
      <w:proofErr w:type="spellEnd"/>
      <w:r w:rsidRPr="00745695">
        <w:t>; keďže terčom nenávistných prejavov a trestných činov z nenávisti opakovane bývajú osoby patriace k zraniteľným skupinám, ako sú LGBTIQ+ osoby, rasovo kategorizované osoby, etnické, náboženské alebo jazykové menšiny, pôvodné obyvateľstvo</w:t>
      </w:r>
      <w:r w:rsidRPr="00745695">
        <w:rPr>
          <w:vertAlign w:val="superscript"/>
        </w:rPr>
        <w:footnoteReference w:id="8"/>
      </w:r>
      <w:r w:rsidRPr="00745695">
        <w:rPr>
          <w:rStyle w:val="FootnoteReference"/>
        </w:rPr>
        <w:footnoteReference w:id="9"/>
      </w:r>
      <w:r w:rsidRPr="00745695">
        <w:t>, osoby so zdravotným postihnutím, osoby so sociálne a ekonomicky znevýhodneného prostredia, žiadatelia o azyl, utečenci a migranti; keďže v Európe došlo k výraznému nárastu trestných činov z nenávisti a nenávistných prejavov voči LGBTIQ osobám</w:t>
      </w:r>
      <w:r w:rsidRPr="00745695">
        <w:rPr>
          <w:vertAlign w:val="superscript"/>
        </w:rPr>
        <w:footnoteReference w:id="10"/>
      </w:r>
      <w:r w:rsidRPr="00745695">
        <w:t xml:space="preserve">, ako aj k nárastu diskriminácie a nenávisti voči ženám; keďže viacnásobná a prierezová diskriminácia je živnou pôdou pre nenávistné prejavy a trestné činy z nenávisti; keďže osoby, ktoré sa stanú terčom nenávistných prejavov, </w:t>
      </w:r>
      <w:r w:rsidRPr="00745695">
        <w:lastRenderedPageBreak/>
        <w:t>bývajú čoraz viac vylúčené zo spoločnosti;</w:t>
      </w:r>
    </w:p>
    <w:p w:rsidR="00630351" w:rsidRPr="00745695" w:rsidRDefault="00630351" w:rsidP="00630351">
      <w:pPr>
        <w:pStyle w:val="NormalHanging12a"/>
        <w:rPr>
          <w:szCs w:val="24"/>
        </w:rPr>
      </w:pPr>
      <w:r w:rsidRPr="00745695">
        <w:t>H.</w:t>
      </w:r>
      <w:r w:rsidRPr="00745695">
        <w:tab/>
        <w:t xml:space="preserve">keďže v mnohých členských štátoch je nárast diskriminácie a nenávisti ďalej poháňaný extrémistickými a populistickými hnutiami a </w:t>
      </w:r>
      <w:proofErr w:type="spellStart"/>
      <w:r w:rsidRPr="00745695">
        <w:t>multiplikačným</w:t>
      </w:r>
      <w:proofErr w:type="spellEnd"/>
      <w:r w:rsidRPr="00745695">
        <w:t xml:space="preserve"> účinkom online prostredia a sociálnych médií, ktoré podporujú opakovanú </w:t>
      </w:r>
      <w:proofErr w:type="spellStart"/>
      <w:r w:rsidRPr="00745695">
        <w:t>viktimizáciu</w:t>
      </w:r>
      <w:proofErr w:type="spellEnd"/>
      <w:r w:rsidRPr="00745695">
        <w:t>; keďže tento nárast vedie k nebezpečným sporom v spoločnosti ako celku a ohrozuje demokraciu;</w:t>
      </w:r>
    </w:p>
    <w:p w:rsidR="00630351" w:rsidRPr="00745695" w:rsidRDefault="00630351" w:rsidP="00630351">
      <w:pPr>
        <w:pStyle w:val="NormalHanging12a"/>
        <w:rPr>
          <w:szCs w:val="24"/>
        </w:rPr>
      </w:pPr>
      <w:r w:rsidRPr="00745695">
        <w:t>I.</w:t>
      </w:r>
      <w:r w:rsidRPr="00745695">
        <w:tab/>
        <w:t>keďže existujú dôkazy o tom, že nenávistné prejavy a incidenty motivované nenávisťou sú v EÚ stále nedostatočne nahlasované</w:t>
      </w:r>
      <w:r w:rsidRPr="00745695">
        <w:rPr>
          <w:vertAlign w:val="superscript"/>
        </w:rPr>
        <w:footnoteReference w:id="11"/>
      </w:r>
      <w:r w:rsidRPr="00745695">
        <w:t>, čo sťažuje určenie rozsahu tohto problému;</w:t>
      </w:r>
    </w:p>
    <w:p w:rsidR="00630351" w:rsidRPr="00745695" w:rsidRDefault="00630351" w:rsidP="00630351">
      <w:pPr>
        <w:pStyle w:val="NormalHanging12a"/>
        <w:rPr>
          <w:szCs w:val="24"/>
        </w:rPr>
      </w:pPr>
      <w:r w:rsidRPr="00745695">
        <w:t>J.</w:t>
      </w:r>
      <w:r w:rsidRPr="00745695">
        <w:tab/>
        <w:t>keďže médiá a novinári zohrávajú zásadnú úlohu, pokiaľ ide o informovanie spoločnosti a prispievanie k demokratickým procesom;</w:t>
      </w:r>
    </w:p>
    <w:p w:rsidR="00630351" w:rsidRPr="00745695" w:rsidRDefault="00630351" w:rsidP="00630351">
      <w:pPr>
        <w:pStyle w:val="NormalHanging12a"/>
        <w:rPr>
          <w:szCs w:val="24"/>
        </w:rPr>
      </w:pPr>
      <w:r w:rsidRPr="00745695">
        <w:t>K.</w:t>
      </w:r>
      <w:r w:rsidRPr="00745695">
        <w:tab/>
        <w:t>keďže politické diskusie sa čoraz viac vyznačujú nenávistnými prejavmi; keďže volebné kampane sú mimoriadne živnou pôdou pre nenávistné prejavy a podnecovanie k nenávisti, čo ovplyvňuje nielen politickú sféru, ale aj fungovanie spoločnosti vo všeobecnosti a prehlbuje politickú polarizáciu; keďže nenávistné prejavy namierené proti ženám vo verejných funkciách dosiahli alarmujúcu úroveň; keďže politickí lídri zohrávajú významnú úlohu a majú zodpovednosť v boji proti nenávistným prejavom a neznášanlivosti; keďže by mali ísť príkladom a akty nenávisti by mali verejne odsúdiť;</w:t>
      </w:r>
    </w:p>
    <w:p w:rsidR="00630351" w:rsidRPr="00745695" w:rsidRDefault="00630351" w:rsidP="00630351">
      <w:pPr>
        <w:pStyle w:val="NormalHanging12a"/>
        <w:rPr>
          <w:szCs w:val="24"/>
        </w:rPr>
      </w:pPr>
      <w:r w:rsidRPr="00745695">
        <w:t>L.</w:t>
      </w:r>
      <w:r w:rsidRPr="00745695">
        <w:tab/>
        <w:t xml:space="preserve">keďže maloleté osoby sú obzvlášť zraniteľnými obeťami nenávistných prejavov a trestných činov z nenávisti, a to aj v školách či v online prostredí prostredníctvom </w:t>
      </w:r>
      <w:proofErr w:type="spellStart"/>
      <w:r w:rsidRPr="00745695">
        <w:t>kyberšikanovania</w:t>
      </w:r>
      <w:proofErr w:type="spellEnd"/>
      <w:r w:rsidRPr="00745695">
        <w:t>; keďže takéto útoky ohrozujú ich fyzickú a duševnú integritu a ovplyvňujú ich vývoj a fyzické i duševné zdravie; keďže sa im preto musí venovať osobitná pozornosť;</w:t>
      </w:r>
    </w:p>
    <w:p w:rsidR="00630351" w:rsidRPr="00745695" w:rsidRDefault="00630351" w:rsidP="00630351">
      <w:pPr>
        <w:pStyle w:val="NormalHanging12a"/>
        <w:rPr>
          <w:szCs w:val="24"/>
        </w:rPr>
      </w:pPr>
      <w:r w:rsidRPr="00745695">
        <w:t>M.</w:t>
      </w:r>
      <w:r w:rsidRPr="00745695">
        <w:tab/>
        <w:t>keďže členské štáty neriešia problém nenávistných prejavov a trestných činov z nenávisti vo svojich trestnoprávnych predpisoch rovnakým spôsobom, v dôsledku čoho zostávajú určité skupiny v niektorých častiach Únie bez dostatočnej ochrany; keďže je preto ťažké vymedziť spoločný európsky prístup k boju proti nenávistným prejavom a trestným činom z nenávisti; keďže nedostatočná právna ochrana môže mať na obete ničivé dôsledky;</w:t>
      </w:r>
    </w:p>
    <w:p w:rsidR="00630351" w:rsidRPr="00745695" w:rsidRDefault="00630351" w:rsidP="00630351">
      <w:pPr>
        <w:pStyle w:val="NormalHanging12a"/>
        <w:rPr>
          <w:szCs w:val="24"/>
        </w:rPr>
      </w:pPr>
      <w:r w:rsidRPr="00745695">
        <w:t>N.</w:t>
      </w:r>
      <w:r w:rsidRPr="00745695">
        <w:tab/>
        <w:t>keďže súčasný rámec EÚ sa vzťahuje len na nenávistné prejavy a trestné činy z nenávisti na základe rasy, farby pleti, náboženstva pôvodu a národnostného alebo etnického pôvodu; keďže v súčasnosti na úrovni EÚ neexistuje komplexné spoločné právne vymedzenie nenávistných prejavov a trestných činov z nenávisti; keďže je jednoznačne potrebné účinne riešiť problém nenávistných prejavov a trestných činov z nenávisti na základe iných dôvodov, ako je pohlavie, sexuálna orientácia, rod, rodová identita, rodový prejav, pohlavné znaky, vek, zdravotné postihnutie alebo akákoľvek iná základná charakteristika, najmä tie, ktoré sú chránené podľa článku 21 charty, a akákoľvek kombinácia takýchto charakteristík; keďže EÚ musí chrániť najzraniteľnejšie skupiny spoločnosti; keďže osobitná pozornosť by sa mala venovať určeniu osôb, skupín alebo komunít, ktoré sú voči nenávistným prejavom a trestným činom z nenávisti najzraniteľnejšie, aby sa zabránilo negatívnemu vplyvu na ochranu obetí;</w:t>
      </w:r>
    </w:p>
    <w:p w:rsidR="00630351" w:rsidRPr="00745695" w:rsidRDefault="00630351" w:rsidP="00630351">
      <w:pPr>
        <w:pStyle w:val="NormalHanging12a"/>
        <w:rPr>
          <w:szCs w:val="24"/>
        </w:rPr>
      </w:pPr>
      <w:r w:rsidRPr="00745695">
        <w:lastRenderedPageBreak/>
        <w:t>O.</w:t>
      </w:r>
      <w:r w:rsidRPr="00745695">
        <w:tab/>
        <w:t xml:space="preserve">keďže v článku 83 ods. 1 ZFEÚ sa stanovujú jasné požiadavky na zaradenie nových oblastí trestnej činnosti do zoznamu cezhraničných </w:t>
      </w:r>
      <w:proofErr w:type="spellStart"/>
      <w:r w:rsidRPr="00745695">
        <w:t>únijných</w:t>
      </w:r>
      <w:proofErr w:type="spellEnd"/>
      <w:r w:rsidRPr="00745695">
        <w:t xml:space="preserve"> trestných činov; keďže je jasné, že nenávistné prejavy online majú osobitý cezhraničný rozmer; keďže digitálna transformácia zdôrazňuje potrebu riešiť tento jav na európskej úrovni; keďže proti nenávistným prejavom a trestným činom z nenávisti treba bojovať na spoločnom základe a na úrovni EÚ; keďže EÚ má zodpovednosť konať;</w:t>
      </w:r>
    </w:p>
    <w:p w:rsidR="00630351" w:rsidRPr="00745695" w:rsidRDefault="00630351" w:rsidP="00630351">
      <w:pPr>
        <w:pStyle w:val="NormalHanging12a"/>
        <w:rPr>
          <w:szCs w:val="24"/>
        </w:rPr>
      </w:pPr>
      <w:r w:rsidRPr="00745695">
        <w:t>P.</w:t>
      </w:r>
      <w:r w:rsidRPr="00745695">
        <w:tab/>
        <w:t>keďže reakcia trestného práva EÚ na nenávistné prejavy a trestné činy z nenávisti by mala byť silná, primeraná a prispôsobená svojmu účelu s cieľom náležite chrániť obeť a venovať náležitú pozornosť slobode prejavu a slobode informácií, ktoré sú základnými kameňmi demokracie; keďže EÚ by mala zaručiť, aby príslušné orgány v členských štátoch nezneužívali obmedzenia slobody prejavu, ktorými sa má predchádzať nenávistným prejavom a bojovať proti nim, na umlčanie menšín alebo potláčanie kritických názorov; keďže pri zavádzaní ochrany pred nenávistnými prejavmi sa musia rešpektovať rozsudky Európskeho súdu pre ľudské práva týkajúce sa slobody prejavu;</w:t>
      </w:r>
    </w:p>
    <w:p w:rsidR="00630351" w:rsidRPr="00745695" w:rsidRDefault="00630351" w:rsidP="00630351">
      <w:pPr>
        <w:pStyle w:val="NormalHanging12a"/>
        <w:rPr>
          <w:szCs w:val="24"/>
        </w:rPr>
      </w:pPr>
      <w:r w:rsidRPr="00745695">
        <w:t>Q.</w:t>
      </w:r>
      <w:r w:rsidRPr="00745695">
        <w:tab/>
        <w:t>keďže základnými právami, ktoré sú chránené v boji proti nenávistným prejavom a trestným činom z nenávisti, sú predovšetkým ľudská dôstojnosť a zásada nediskriminácie; keďže táto ochrana by mala byť všeobecná; keďže ochrana pred neznášanlivosťou, či už ide o rasovú neznášanlivosť, neznášanlivosť z dôvodu národnosti, sexuálnej orientácie, náboženstva, ideológie, veku, názoru alebo akéhokoľvek iného osobného, fyzického alebo sociálneho stavu alebo okolnosti, bez ohľadu na formu jej prejavu, sa nesmie obmedzovať len na určité dôvody alebo motiváciu;</w:t>
      </w:r>
    </w:p>
    <w:p w:rsidR="00630351" w:rsidRPr="00745695" w:rsidRDefault="00630351" w:rsidP="00630351">
      <w:pPr>
        <w:pStyle w:val="NormalHanging12a"/>
        <w:rPr>
          <w:szCs w:val="24"/>
        </w:rPr>
      </w:pPr>
      <w:r w:rsidRPr="00745695">
        <w:t>R.</w:t>
      </w:r>
      <w:r w:rsidRPr="00745695">
        <w:tab/>
        <w:t>keďže zmeny v spoločenskej dynamike môžu viesť k vytvoreniu novej motivácie pre nenávistné prejavy a trestné činy z nenávisti, ktoré je potrebné riešiť v spoločnom rámci EÚ, čo si vyžaduje rozšírenie článku 83 ods. 1 ZFEÚ, ktorým sa stanovuje zoznam trestných činov EÚ;</w:t>
      </w:r>
    </w:p>
    <w:p w:rsidR="00630351" w:rsidRPr="00745695" w:rsidRDefault="00630351" w:rsidP="00630351">
      <w:pPr>
        <w:pStyle w:val="NormalHanging12a"/>
      </w:pPr>
      <w:r w:rsidRPr="00745695">
        <w:t>S.</w:t>
      </w:r>
      <w:r w:rsidRPr="00745695">
        <w:tab/>
        <w:t xml:space="preserve">keďže v roku 2021 Komisia predložila oznámenie s názvom </w:t>
      </w:r>
      <w:proofErr w:type="spellStart"/>
      <w:r w:rsidRPr="00745695">
        <w:t>Inkluzívnejšia</w:t>
      </w:r>
      <w:proofErr w:type="spellEnd"/>
      <w:r w:rsidRPr="00745695">
        <w:t xml:space="preserve"> Európa s vyššou mierou ochrany: rozšírenie zoznamu trestných činov v EÚ o nenávistné prejavy a trestné činy páchané z nenávisti s cieľom doplniť trestné činy z nenávisti a nenávistné prejavy do zoznamu oblastí trestnej činnosti, v ktorých môžu </w:t>
      </w:r>
      <w:r w:rsidR="0093752A" w:rsidRPr="00745695">
        <w:t>Európsky p</w:t>
      </w:r>
      <w:r w:rsidRPr="00745695">
        <w:t>arlament a Rada stanoviť minimálne pravidlá týkajúce sa vymedzenia trestných činov a sankcií uplatniteľných vo všetkých členských štátoch EÚ, ako sa uvádza v článku 83 ods. 1 ZFEÚ; keďže Rada musí v tejto súvislosti prijať rozhodnutie;</w:t>
      </w:r>
    </w:p>
    <w:p w:rsidR="00630351" w:rsidRPr="00745695" w:rsidRDefault="00630351" w:rsidP="00630351">
      <w:pPr>
        <w:pStyle w:val="NormalHanging12a"/>
        <w:rPr>
          <w:szCs w:val="24"/>
        </w:rPr>
      </w:pPr>
      <w:r w:rsidRPr="00745695">
        <w:t>T.</w:t>
      </w:r>
      <w:r w:rsidRPr="00745695">
        <w:tab/>
        <w:t>keďže toto rozhodnutie Rady by bolo prvým krokom k vytvoreniu potrebného právneho základu, ktorý by v druhom kroku umožnil prijatie spoločného právneho rámca na boj proti nenávistným prejavom a trestným činom z nenávisti v celej EÚ; keďže takýto spoločný právny rámec je naliehavo potrebný na stanovenie minimálnych noriem týkajúcich sa vymedzenia trestných činov a sankcií, a tým aj na boj proti nenávistným prejavom a trestným činom z nenávisti, na spoločnom európskom základe s cieľom zabezpečiť jednotnú ochranu potenciálnych obetí takýchto činov v celej Únii;</w:t>
      </w:r>
    </w:p>
    <w:p w:rsidR="00630351" w:rsidRPr="00745695" w:rsidRDefault="00630351" w:rsidP="00630351">
      <w:pPr>
        <w:pStyle w:val="NormalHanging12a"/>
      </w:pPr>
      <w:r w:rsidRPr="00745695">
        <w:t>U.</w:t>
      </w:r>
      <w:r w:rsidRPr="00745695">
        <w:tab/>
        <w:t>keďže Rada ešte neprijala rozhodnutie; keďže niektoré členské štáty blokujú konkrétny pokrok v tomto konkrétnom spise v Rade;</w:t>
      </w:r>
    </w:p>
    <w:p w:rsidR="00630351" w:rsidRPr="00745695" w:rsidRDefault="00630351" w:rsidP="00630351">
      <w:pPr>
        <w:pStyle w:val="NormalHanging12a"/>
        <w:rPr>
          <w:szCs w:val="24"/>
        </w:rPr>
      </w:pPr>
      <w:r w:rsidRPr="00745695">
        <w:t>V.</w:t>
      </w:r>
      <w:r w:rsidRPr="00745695">
        <w:tab/>
        <w:t xml:space="preserve">keďže podľa článku 83 ods. 1 ZFEÚ sa na určenie „iných oblastí trestnej činnosti“ vyžaduje jednomyseľnosť v Rade; keďže sa ukázalo, že táto požiadavka má negatívny </w:t>
      </w:r>
      <w:r w:rsidRPr="00745695">
        <w:lastRenderedPageBreak/>
        <w:t>vplyv na dosiahnutie potrebného spoločného pokroku v boji proti nenávistným prejavom a trestným činom z nenávisti v celej Únii;</w:t>
      </w:r>
    </w:p>
    <w:p w:rsidR="00630351" w:rsidRPr="00745695" w:rsidRDefault="00630351" w:rsidP="00630351">
      <w:pPr>
        <w:pStyle w:val="NormalHanging12a"/>
        <w:rPr>
          <w:szCs w:val="24"/>
        </w:rPr>
      </w:pPr>
      <w:r w:rsidRPr="00745695">
        <w:t>1.</w:t>
      </w:r>
      <w:r w:rsidRPr="00745695">
        <w:tab/>
        <w:t>naliehavo vyzýva Radu, aby prijala rozhodnutie o zaradení nenávistných prejavov a trestných činov z nenávisti medzi trestné činy na zozname podľa článku 83 ods. 1 ZFEÚ, aby Komisia mohla začať druhú fázu postupu;</w:t>
      </w:r>
    </w:p>
    <w:p w:rsidR="00630351" w:rsidRPr="00745695" w:rsidRDefault="00630351" w:rsidP="00630351">
      <w:pPr>
        <w:pStyle w:val="NormalHanging12a"/>
        <w:rPr>
          <w:szCs w:val="24"/>
        </w:rPr>
      </w:pPr>
      <w:r w:rsidRPr="00745695">
        <w:t>2.</w:t>
      </w:r>
      <w:r w:rsidRPr="00745695">
        <w:tab/>
        <w:t>pripomína, že v trestnom práve členských štátov sa riešia nenávistné prejavy a trestné činy z nenávisti rôznymi spôsobmi a že minimálna harmonizované pravidlá na úrovni EÚ existujú len pre prípady, keď sú tieto trestné činy spáchané na skupine alebo jednotlivcoch na základe ich rasy, farby pleti, náboženstva, pôvodu alebo národnosti či etnickom pôvode, čo sťažuje realizáciu úspešnej spoločnej stratégie na účinný boj proti nenávisti;</w:t>
      </w:r>
    </w:p>
    <w:p w:rsidR="00630351" w:rsidRPr="00745695" w:rsidRDefault="00630351" w:rsidP="00630351">
      <w:pPr>
        <w:pStyle w:val="NormalHanging12a"/>
        <w:rPr>
          <w:szCs w:val="24"/>
        </w:rPr>
      </w:pPr>
      <w:r w:rsidRPr="00745695">
        <w:t>3.</w:t>
      </w:r>
      <w:r w:rsidRPr="00745695">
        <w:tab/>
        <w:t>vyjadruje hlboké poľutovanie nad tým, že od uverejnenia oznámenia Komisie uplynuli takmer dva roky a že Rada v tomto smere nedosiahla žiadny pokrok, hoci bola schopná rýchlo rozšíriť zoznam trestných činov EÚ na iné účely; vyjadruje poľutovanie nad touto nečinnosťou, pretože k nenávistným prejavom a trestným činom z nenávisti dochádza čoraz viac;</w:t>
      </w:r>
    </w:p>
    <w:p w:rsidR="00630351" w:rsidRPr="00745695" w:rsidRDefault="00630351" w:rsidP="00630351">
      <w:pPr>
        <w:pStyle w:val="NormalHanging12a"/>
      </w:pPr>
      <w:r w:rsidRPr="00745695">
        <w:t>4.</w:t>
      </w:r>
      <w:r w:rsidRPr="00745695">
        <w:tab/>
        <w:t>vyzýva členské štáty, aby zodpovedne a konštruktívne spolupracovali na obnovení rokovaní v Rade s cieľom prijať rozhodnutie Rady pred koncom súčasného volebného obdobia;</w:t>
      </w:r>
    </w:p>
    <w:p w:rsidR="00630351" w:rsidRPr="00745695" w:rsidRDefault="00630351" w:rsidP="00630351">
      <w:pPr>
        <w:pStyle w:val="NormalHanging12a"/>
        <w:rPr>
          <w:szCs w:val="24"/>
        </w:rPr>
      </w:pPr>
      <w:r w:rsidRPr="00745695">
        <w:t>5.</w:t>
      </w:r>
      <w:r w:rsidRPr="00745695">
        <w:tab/>
        <w:t>naliehavo vyzýva členské štáty, aby prijatie návrhu rozhodnutia podporili alebo aby proti jeho prijatiu aspoň nenamietali;</w:t>
      </w:r>
    </w:p>
    <w:p w:rsidR="00630351" w:rsidRPr="00745695" w:rsidRDefault="00630351" w:rsidP="00630351">
      <w:pPr>
        <w:pStyle w:val="NormalHanging12a"/>
      </w:pPr>
      <w:r w:rsidRPr="00745695">
        <w:t>6.</w:t>
      </w:r>
      <w:r w:rsidRPr="00745695">
        <w:tab/>
        <w:t>vyzýva súčasné a budúce predsedníctva Rady Únie, aby návrh Komisie považovali za prioritu pri zostavovaní svojho programu a stanovovaní cieľov;</w:t>
      </w:r>
    </w:p>
    <w:p w:rsidR="00630351" w:rsidRPr="00745695" w:rsidRDefault="00630351" w:rsidP="00630351">
      <w:pPr>
        <w:pStyle w:val="NormalHanging12a"/>
        <w:rPr>
          <w:szCs w:val="24"/>
        </w:rPr>
      </w:pPr>
      <w:r w:rsidRPr="00745695">
        <w:t>7.</w:t>
      </w:r>
      <w:r w:rsidRPr="00745695">
        <w:tab/>
        <w:t>odporúča zmeniť článok 83 ZFEÚ tak, aby podliehal posilnenej kvalifikovanej väčšine namiesto v súčasnosti požadovanej jednomyseľnosti; žiada, aby sa v tejto súvislosti aktivovala premosťovacia doložka;</w:t>
      </w:r>
    </w:p>
    <w:p w:rsidR="00630351" w:rsidRPr="00745695" w:rsidRDefault="00630351" w:rsidP="00630351">
      <w:pPr>
        <w:pStyle w:val="NormalHanging12a"/>
      </w:pPr>
      <w:r w:rsidRPr="00745695">
        <w:t>8.</w:t>
      </w:r>
      <w:r w:rsidRPr="00745695">
        <w:tab/>
        <w:t>zdôrazňuje, že budúce právne predpisy EÚ, ktorými sa stanovia minimálne normy týkajúce sa vymedzenia trestných činov a sankcií za nenávistné prejavy a trestné činy z nenávisti, musia chrániť ľudskú dôstojnosť, snažiť sa predchádzať škodám, zabezpečiť rovnosť a bojovať proti nenávisti a neznášanlivosti bez ohľadu na ich motiváciu;</w:t>
      </w:r>
    </w:p>
    <w:p w:rsidR="00630351" w:rsidRPr="00745695" w:rsidRDefault="00630351" w:rsidP="00630351">
      <w:pPr>
        <w:pStyle w:val="NormalHanging12a"/>
        <w:rPr>
          <w:szCs w:val="24"/>
        </w:rPr>
      </w:pPr>
      <w:r w:rsidRPr="00745695">
        <w:t>9.</w:t>
      </w:r>
      <w:r w:rsidRPr="00745695">
        <w:tab/>
        <w:t>pripomína, že ochrana musí byť všeobecná, s osobitným dôrazom na cieľové osoby a zraniteľné skupiny a komunity;</w:t>
      </w:r>
    </w:p>
    <w:p w:rsidR="00630351" w:rsidRPr="00745695" w:rsidRDefault="00630351" w:rsidP="00630351">
      <w:pPr>
        <w:pStyle w:val="NormalHanging12a"/>
        <w:rPr>
          <w:szCs w:val="24"/>
        </w:rPr>
      </w:pPr>
      <w:r w:rsidRPr="00745695">
        <w:t>10.</w:t>
      </w:r>
      <w:r w:rsidRPr="00745695">
        <w:tab/>
        <w:t>pripomína, že sloboda prejavu je základnou hodnotou demokratických spoločností a nemala by sa bezdôvodne obmedzovať; ďalej pripomína, že všetky právne predpisy o nenávistných prejavoch a trestných činoch z nenávisti by mali vychádzať zo zásad nevyhnutnosti a proporcionality; zdôrazňuje, že sloboda prejavu sa musí uplatňovať v rámci zákona a v súlade s článkom 11 charty a nemala by sa zneužívať ako štít proti nenávistným prejavom a trestným činom z nenávisti;</w:t>
      </w:r>
    </w:p>
    <w:p w:rsidR="00630351" w:rsidRPr="00745695" w:rsidRDefault="00630351" w:rsidP="00630351">
      <w:pPr>
        <w:pStyle w:val="NormalHanging12a"/>
        <w:rPr>
          <w:szCs w:val="24"/>
        </w:rPr>
      </w:pPr>
      <w:r w:rsidRPr="00745695">
        <w:t>11.</w:t>
      </w:r>
      <w:r w:rsidRPr="00745695">
        <w:tab/>
        <w:t xml:space="preserve">žiada Komisiu, aby s cieľom účinne bojovať proti nenávistným prejavom a trestným činom z nenávisti, ktoré sú motivované novou a meniacou sa spoločenskou dynamikou, zvážila otvorený prístup, v rámci ktorého zoznam dôvodov diskriminácie nezostane </w:t>
      </w:r>
      <w:r w:rsidRPr="00745695">
        <w:lastRenderedPageBreak/>
        <w:t>uzavretý;</w:t>
      </w:r>
    </w:p>
    <w:p w:rsidR="00630351" w:rsidRPr="00745695" w:rsidRDefault="00630351" w:rsidP="00630351">
      <w:pPr>
        <w:pStyle w:val="NormalHanging12a"/>
      </w:pPr>
      <w:r w:rsidRPr="00745695">
        <w:t>12.</w:t>
      </w:r>
      <w:r w:rsidRPr="00745695">
        <w:tab/>
        <w:t xml:space="preserve">pripomína, že k šíreniu a posilňovaniu nenávistných prejavov, k podnecovaniu k diskriminácii a násiliu a k zvýšenému riziku opakovanej </w:t>
      </w:r>
      <w:proofErr w:type="spellStart"/>
      <w:r w:rsidRPr="00745695">
        <w:t>viktimizácie</w:t>
      </w:r>
      <w:proofErr w:type="spellEnd"/>
      <w:r w:rsidRPr="00745695">
        <w:t xml:space="preserve"> prispieva zneužívanie internetu a obchodný model platforiem sociálnych médií založený na </w:t>
      </w:r>
      <w:proofErr w:type="spellStart"/>
      <w:r w:rsidRPr="00745695">
        <w:t>mikrocielenej</w:t>
      </w:r>
      <w:proofErr w:type="spellEnd"/>
      <w:r w:rsidRPr="00745695">
        <w:t xml:space="preserve"> reklame; vyzýva Komisiu a členské štáty, aby zabezpečili správne vykonávanie súčasných právnych predpisov, ako je nariadenie (EÚ) 2022/2065</w:t>
      </w:r>
      <w:r w:rsidRPr="00745695">
        <w:rPr>
          <w:rStyle w:val="FootnoteReference"/>
        </w:rPr>
        <w:footnoteReference w:id="12"/>
      </w:r>
      <w:r w:rsidRPr="00745695">
        <w:t>, a aby využili všetky prostriedky a nástroje, ktoré majú k dispozícii, na boj proti šíreniu nenávistných prejavov na internete;</w:t>
      </w:r>
    </w:p>
    <w:p w:rsidR="00630351" w:rsidRPr="00745695" w:rsidRDefault="00630351" w:rsidP="00630351">
      <w:pPr>
        <w:pStyle w:val="NormalHanging12a"/>
        <w:rPr>
          <w:szCs w:val="24"/>
        </w:rPr>
      </w:pPr>
      <w:r w:rsidRPr="00745695">
        <w:t>13.</w:t>
      </w:r>
      <w:r w:rsidRPr="00745695">
        <w:tab/>
        <w:t>pripomína, že verejné orgány nesú zodpovednosť za prevenciu, vyšetrovanie, stíhanie a oznamovanie nenávistných prejavov a trestných činov z nenávisti a že pri tom musia zohľadňovať skutočnosti, ktoré naznačujú nenávisť; zdôrazňuje, že budúce právne predpisy EÚ by mali podporovať a presadzovať úzku spoluprácu s občianskou spoločnosťou, orgánmi pre rovnosť a vnútroštátnymi inštitúciami pre ľudské práva;</w:t>
      </w:r>
    </w:p>
    <w:p w:rsidR="00630351" w:rsidRPr="00745695" w:rsidRDefault="00630351" w:rsidP="00630351">
      <w:pPr>
        <w:pStyle w:val="NormalHanging12a"/>
      </w:pPr>
      <w:r w:rsidRPr="00745695">
        <w:t>14.</w:t>
      </w:r>
      <w:r w:rsidRPr="00745695">
        <w:tab/>
        <w:t xml:space="preserve">vyzýva Komisiu a členské štáty, aby venovali osobitnú pozornosť maloletým osobám vrátane tých, ktoré patria k zraniteľným skupinám, s cieľom poskytnúť im osobitnú ochranu pred nenávistnými prejavmi a trestnými činmi z nenávisti, zabrániť vzniku týchto incidentov vrátane šikanovania v školách a </w:t>
      </w:r>
      <w:proofErr w:type="spellStart"/>
      <w:r w:rsidRPr="00745695">
        <w:t>kyberšikanovania</w:t>
      </w:r>
      <w:proofErr w:type="spellEnd"/>
      <w:r w:rsidRPr="00745695">
        <w:t xml:space="preserve"> a minimalizovať ich vplyv na vývoj a duševné zdravie maloletých osôb,</w:t>
      </w:r>
    </w:p>
    <w:p w:rsidR="00630351" w:rsidRPr="00745695" w:rsidRDefault="00630351" w:rsidP="00630351">
      <w:pPr>
        <w:pStyle w:val="NormalHanging12a"/>
        <w:rPr>
          <w:szCs w:val="24"/>
        </w:rPr>
      </w:pPr>
      <w:r w:rsidRPr="00745695">
        <w:t>15.</w:t>
      </w:r>
      <w:r w:rsidRPr="00745695">
        <w:tab/>
        <w:t>vyzýva Komisiu, aby zabezpečila zavedenie spoľahlivého rámca právnej ochrany EÚ s cieľom účinne chrániť obete, najmä tie spomedzi zraniteľných skupín v celej EÚ; zdôrazňuje, že je potrebné uplatňovať prierezový prístup a že je dôležité prijať komplexné opatrenia vrátane poskytovania odbornej prípravy odborníkom, ktorí pravdepodobne prídu do kontaktu s obeťami, ako aj opatrenia na zabezpečenie ochrany, bezpečného prístupu k nezávislému súdnictvu, špecializovaných podporných služieb a odškodnenia obetí; zdôrazňuje, že obete by mali mať možnosť oznámiť svoje skúsenosti príslušným orgánom a mali by byť chránené; pripomína, že zabezpečením právnej ochrany obetí by sa vytvorilo bezpečné prostredie, vďaka čomu by sa posilnilo nahlasovanie, ktoré je potrebné na dokumentáciu nenávistných prejavov a trestných činov z nenávisti;</w:t>
      </w:r>
    </w:p>
    <w:p w:rsidR="00630351" w:rsidRPr="00745695" w:rsidRDefault="00630351" w:rsidP="00630351">
      <w:pPr>
        <w:pStyle w:val="NormalHanging12a"/>
        <w:rPr>
          <w:szCs w:val="24"/>
        </w:rPr>
      </w:pPr>
      <w:r w:rsidRPr="00745695">
        <w:t>16.</w:t>
      </w:r>
      <w:r w:rsidRPr="00745695">
        <w:tab/>
        <w:t>vyzýva Komisiu a členské štáty, aby v spolupráci s príslušnými orgánmi a agentúrami Únie vytvorili primerané systémy zberu údajov na získavanie spoľahlivých, porovnateľných, rozčlenených a anonymných údajov o incidentoch motivovaných nenávisťou vrátane trestných činov z nenávisti v súlade s príslušnými vnútroštátnymi právnymi rámcami a právnymi predpismi EÚ o ochrane údajov, ako aj primerané mechanizmy monitorovania na zlepšenie pravidelnej dostupnosti, porovnateľnosti a kvality zbieraných údajov a na posúdenie vplyvu právnych predpisov a politík na boj proti nenávistným prejavom a trestným činom z nenávisti;</w:t>
      </w:r>
    </w:p>
    <w:p w:rsidR="00630351" w:rsidRPr="00745695" w:rsidRDefault="00630351" w:rsidP="00630351">
      <w:pPr>
        <w:pStyle w:val="NormalHanging12a"/>
      </w:pPr>
      <w:r w:rsidRPr="00745695">
        <w:t>17.</w:t>
      </w:r>
      <w:r w:rsidRPr="00745695">
        <w:tab/>
        <w:t>poveruje svoju predsedníčku, aby postúpila toto uznesenie Rade a Komisii.</w:t>
      </w:r>
    </w:p>
    <w:sectPr w:rsidR="00630351" w:rsidRPr="00745695" w:rsidSect="007300F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5D71" w:rsidRPr="007300F5" w:rsidRDefault="002D5D71">
      <w:r w:rsidRPr="007300F5">
        <w:separator/>
      </w:r>
    </w:p>
  </w:endnote>
  <w:endnote w:type="continuationSeparator" w:id="0">
    <w:p w:rsidR="002D5D71" w:rsidRPr="007300F5" w:rsidRDefault="002D5D71">
      <w:r w:rsidRPr="007300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00F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00F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00F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5D71" w:rsidRPr="007300F5" w:rsidRDefault="002D5D71">
      <w:r w:rsidRPr="007300F5">
        <w:separator/>
      </w:r>
    </w:p>
  </w:footnote>
  <w:footnote w:type="continuationSeparator" w:id="0">
    <w:p w:rsidR="002D5D71" w:rsidRPr="007300F5" w:rsidRDefault="002D5D71">
      <w:r w:rsidRPr="007300F5">
        <w:continuationSeparator/>
      </w:r>
    </w:p>
  </w:footnote>
  <w:footnote w:id="1">
    <w:p w:rsidR="00630351" w:rsidRPr="007300F5" w:rsidRDefault="00630351" w:rsidP="007300F5">
      <w:pPr>
        <w:pStyle w:val="FootnoteText"/>
        <w:ind w:left="567" w:hanging="567"/>
        <w:rPr>
          <w:sz w:val="24"/>
          <w:lang w:val="sk-SK"/>
        </w:rPr>
      </w:pPr>
      <w:r w:rsidRPr="007300F5">
        <w:rPr>
          <w:rStyle w:val="FootnoteReference"/>
          <w:sz w:val="24"/>
          <w:lang w:val="sk-SK"/>
        </w:rPr>
        <w:footnoteRef/>
      </w:r>
      <w:r w:rsidR="007300F5" w:rsidRPr="007300F5">
        <w:rPr>
          <w:sz w:val="24"/>
          <w:lang w:val="sk-SK"/>
        </w:rPr>
        <w:t xml:space="preserve"> </w:t>
      </w:r>
      <w:r w:rsidR="007300F5" w:rsidRPr="007300F5">
        <w:rPr>
          <w:sz w:val="24"/>
          <w:lang w:val="sk-SK"/>
        </w:rPr>
        <w:tab/>
      </w:r>
      <w:r w:rsidRPr="007300F5">
        <w:rPr>
          <w:sz w:val="24"/>
          <w:lang w:val="sk-SK"/>
        </w:rPr>
        <w:t>Ú. v. EÚ L 328, 6.12.2008, s. 55.</w:t>
      </w:r>
    </w:p>
  </w:footnote>
  <w:footnote w:id="2">
    <w:p w:rsidR="00630351" w:rsidRPr="007300F5" w:rsidRDefault="00630351" w:rsidP="007300F5">
      <w:pPr>
        <w:pStyle w:val="FootnoteText"/>
        <w:ind w:left="567" w:hanging="567"/>
        <w:rPr>
          <w:sz w:val="24"/>
          <w:lang w:val="sk-SK"/>
        </w:rPr>
      </w:pPr>
      <w:r w:rsidRPr="007300F5">
        <w:rPr>
          <w:rStyle w:val="FootnoteReference"/>
          <w:sz w:val="24"/>
          <w:lang w:val="sk-SK"/>
        </w:rPr>
        <w:footnoteRef/>
      </w:r>
      <w:r w:rsidR="007300F5" w:rsidRPr="007300F5">
        <w:rPr>
          <w:sz w:val="24"/>
          <w:lang w:val="sk-SK"/>
        </w:rPr>
        <w:t xml:space="preserve"> </w:t>
      </w:r>
      <w:r w:rsidR="007300F5" w:rsidRPr="007300F5">
        <w:rPr>
          <w:sz w:val="24"/>
          <w:lang w:val="sk-SK"/>
        </w:rPr>
        <w:tab/>
      </w:r>
      <w:r w:rsidRPr="007300F5">
        <w:rPr>
          <w:sz w:val="24"/>
          <w:lang w:val="sk-SK"/>
        </w:rPr>
        <w:t>Ú. v. EÚ C 425, 20.10.2021, s. 28.</w:t>
      </w:r>
    </w:p>
  </w:footnote>
  <w:footnote w:id="3">
    <w:p w:rsidR="00630351" w:rsidRPr="007300F5" w:rsidRDefault="00630351" w:rsidP="007300F5">
      <w:pPr>
        <w:pStyle w:val="FootnoteText"/>
        <w:ind w:left="567" w:hanging="567"/>
        <w:rPr>
          <w:sz w:val="24"/>
          <w:lang w:val="sk-SK"/>
        </w:rPr>
      </w:pPr>
      <w:r w:rsidRPr="007300F5">
        <w:rPr>
          <w:rStyle w:val="FootnoteReference"/>
          <w:sz w:val="24"/>
          <w:lang w:val="sk-SK"/>
        </w:rPr>
        <w:footnoteRef/>
      </w:r>
      <w:r w:rsidR="007300F5" w:rsidRPr="007300F5">
        <w:rPr>
          <w:sz w:val="24"/>
          <w:lang w:val="sk-SK"/>
        </w:rPr>
        <w:t xml:space="preserve"> </w:t>
      </w:r>
      <w:r w:rsidR="007300F5" w:rsidRPr="007300F5">
        <w:rPr>
          <w:sz w:val="24"/>
          <w:lang w:val="sk-SK"/>
        </w:rPr>
        <w:tab/>
      </w:r>
      <w:r w:rsidRPr="007300F5">
        <w:rPr>
          <w:sz w:val="24"/>
          <w:lang w:val="sk-SK"/>
        </w:rPr>
        <w:t>Ú. v. EÚ C 117, 11.3.2022, s. 88.</w:t>
      </w:r>
    </w:p>
  </w:footnote>
  <w:footnote w:id="4">
    <w:p w:rsidR="00630351" w:rsidRPr="007300F5" w:rsidRDefault="00630351" w:rsidP="007300F5">
      <w:pPr>
        <w:pStyle w:val="FootnoteText"/>
        <w:ind w:left="567" w:hanging="567"/>
        <w:rPr>
          <w:sz w:val="24"/>
          <w:lang w:val="sk-SK"/>
        </w:rPr>
      </w:pPr>
      <w:r w:rsidRPr="007300F5">
        <w:rPr>
          <w:rStyle w:val="FootnoteReference"/>
          <w:sz w:val="24"/>
          <w:lang w:val="sk-SK"/>
        </w:rPr>
        <w:footnoteRef/>
      </w:r>
      <w:r w:rsidR="007300F5" w:rsidRPr="007300F5">
        <w:rPr>
          <w:sz w:val="24"/>
          <w:lang w:val="sk-SK"/>
        </w:rPr>
        <w:t xml:space="preserve"> </w:t>
      </w:r>
      <w:r w:rsidR="007300F5" w:rsidRPr="007300F5">
        <w:rPr>
          <w:sz w:val="24"/>
          <w:lang w:val="sk-SK"/>
        </w:rPr>
        <w:tab/>
      </w:r>
      <w:r w:rsidRPr="007300F5">
        <w:rPr>
          <w:sz w:val="24"/>
          <w:lang w:val="sk-SK"/>
        </w:rPr>
        <w:t>Ú. v. EÚ C 363, 28.10.2020, s. 13.</w:t>
      </w:r>
    </w:p>
  </w:footnote>
  <w:footnote w:id="5">
    <w:p w:rsidR="00630351" w:rsidRPr="00A85602" w:rsidRDefault="00630351" w:rsidP="007300F5">
      <w:pPr>
        <w:pStyle w:val="FootnoteText"/>
        <w:ind w:left="567" w:hanging="567"/>
        <w:rPr>
          <w:sz w:val="24"/>
          <w:lang w:val="sk-SK"/>
        </w:rPr>
      </w:pPr>
      <w:r w:rsidRPr="007300F5">
        <w:rPr>
          <w:rStyle w:val="FootnoteReference"/>
          <w:sz w:val="24"/>
          <w:lang w:val="sk-SK"/>
        </w:rPr>
        <w:footnoteRef/>
      </w:r>
      <w:r w:rsidR="007300F5" w:rsidRPr="007300F5">
        <w:rPr>
          <w:sz w:val="24"/>
          <w:lang w:val="sk-SK"/>
        </w:rPr>
        <w:t xml:space="preserve"> </w:t>
      </w:r>
      <w:r w:rsidR="007300F5" w:rsidRPr="007300F5">
        <w:rPr>
          <w:sz w:val="24"/>
          <w:lang w:val="sk-SK"/>
        </w:rPr>
        <w:tab/>
      </w:r>
      <w:r w:rsidRPr="00A85602">
        <w:rPr>
          <w:sz w:val="24"/>
          <w:lang w:val="sk-SK"/>
        </w:rPr>
        <w:t xml:space="preserve">Rozsudok Súdneho dvora z 30. apríla 1996, </w:t>
      </w:r>
      <w:r w:rsidRPr="00745695">
        <w:rPr>
          <w:sz w:val="24"/>
          <w:lang w:val="sk-SK"/>
        </w:rPr>
        <w:t>P</w:t>
      </w:r>
      <w:r w:rsidRPr="00A85602">
        <w:rPr>
          <w:sz w:val="24"/>
          <w:lang w:val="sk-SK"/>
        </w:rPr>
        <w:t xml:space="preserve"> proti S and </w:t>
      </w:r>
      <w:proofErr w:type="spellStart"/>
      <w:r w:rsidRPr="00745695">
        <w:rPr>
          <w:sz w:val="24"/>
          <w:lang w:val="sk-SK"/>
        </w:rPr>
        <w:t>Cornwall</w:t>
      </w:r>
      <w:proofErr w:type="spellEnd"/>
      <w:r w:rsidRPr="00745695">
        <w:rPr>
          <w:sz w:val="24"/>
          <w:lang w:val="sk-SK"/>
        </w:rPr>
        <w:t xml:space="preserve"> </w:t>
      </w:r>
      <w:proofErr w:type="spellStart"/>
      <w:r w:rsidRPr="00745695">
        <w:rPr>
          <w:sz w:val="24"/>
          <w:lang w:val="sk-SK"/>
        </w:rPr>
        <w:t>County</w:t>
      </w:r>
      <w:proofErr w:type="spellEnd"/>
      <w:r w:rsidRPr="00745695">
        <w:rPr>
          <w:sz w:val="24"/>
          <w:lang w:val="sk-SK"/>
        </w:rPr>
        <w:t xml:space="preserve"> </w:t>
      </w:r>
      <w:proofErr w:type="spellStart"/>
      <w:r w:rsidRPr="00745695">
        <w:rPr>
          <w:sz w:val="24"/>
          <w:lang w:val="sk-SK"/>
        </w:rPr>
        <w:t>Council</w:t>
      </w:r>
      <w:proofErr w:type="spellEnd"/>
      <w:r w:rsidRPr="00A85602">
        <w:rPr>
          <w:sz w:val="24"/>
          <w:lang w:val="sk-SK"/>
        </w:rPr>
        <w:t xml:space="preserve">, C-13/94, ECLI:EU:C:1996:170; rozsudok Súdneho dvora zo 7. januára 2004, </w:t>
      </w:r>
      <w:r w:rsidRPr="00745695">
        <w:rPr>
          <w:sz w:val="24"/>
          <w:lang w:val="sk-SK"/>
        </w:rPr>
        <w:t>K. B.</w:t>
      </w:r>
      <w:r w:rsidRPr="00A85602">
        <w:rPr>
          <w:sz w:val="24"/>
          <w:lang w:val="sk-SK"/>
        </w:rPr>
        <w:t xml:space="preserve"> proti National </w:t>
      </w:r>
      <w:proofErr w:type="spellStart"/>
      <w:r w:rsidRPr="00745695">
        <w:rPr>
          <w:sz w:val="24"/>
          <w:lang w:val="sk-SK"/>
        </w:rPr>
        <w:t>Health</w:t>
      </w:r>
      <w:proofErr w:type="spellEnd"/>
      <w:r w:rsidRPr="00745695">
        <w:rPr>
          <w:sz w:val="24"/>
          <w:lang w:val="sk-SK"/>
        </w:rPr>
        <w:t xml:space="preserve"> Service </w:t>
      </w:r>
      <w:proofErr w:type="spellStart"/>
      <w:r w:rsidRPr="00745695">
        <w:rPr>
          <w:sz w:val="24"/>
          <w:lang w:val="sk-SK"/>
        </w:rPr>
        <w:t>Pensions</w:t>
      </w:r>
      <w:proofErr w:type="spellEnd"/>
      <w:r w:rsidRPr="00745695">
        <w:rPr>
          <w:sz w:val="24"/>
          <w:lang w:val="sk-SK"/>
        </w:rPr>
        <w:t xml:space="preserve"> </w:t>
      </w:r>
      <w:proofErr w:type="spellStart"/>
      <w:r w:rsidRPr="00745695">
        <w:rPr>
          <w:sz w:val="24"/>
          <w:lang w:val="sk-SK"/>
        </w:rPr>
        <w:t>Agency</w:t>
      </w:r>
      <w:proofErr w:type="spellEnd"/>
      <w:r w:rsidRPr="00745695">
        <w:rPr>
          <w:sz w:val="24"/>
          <w:lang w:val="sk-SK"/>
        </w:rPr>
        <w:t xml:space="preserve"> and </w:t>
      </w:r>
      <w:proofErr w:type="spellStart"/>
      <w:r w:rsidRPr="00745695">
        <w:rPr>
          <w:sz w:val="24"/>
          <w:lang w:val="sk-SK"/>
        </w:rPr>
        <w:t>Secretary</w:t>
      </w:r>
      <w:proofErr w:type="spellEnd"/>
      <w:r w:rsidRPr="00745695">
        <w:rPr>
          <w:sz w:val="24"/>
          <w:lang w:val="sk-SK"/>
        </w:rPr>
        <w:t xml:space="preserve"> of State </w:t>
      </w:r>
      <w:proofErr w:type="spellStart"/>
      <w:r w:rsidRPr="00745695">
        <w:rPr>
          <w:sz w:val="24"/>
          <w:lang w:val="sk-SK"/>
        </w:rPr>
        <w:t>for</w:t>
      </w:r>
      <w:proofErr w:type="spellEnd"/>
      <w:r w:rsidRPr="00745695">
        <w:rPr>
          <w:sz w:val="24"/>
          <w:lang w:val="sk-SK"/>
        </w:rPr>
        <w:t xml:space="preserve"> </w:t>
      </w:r>
      <w:proofErr w:type="spellStart"/>
      <w:r w:rsidRPr="00745695">
        <w:rPr>
          <w:sz w:val="24"/>
          <w:lang w:val="sk-SK"/>
        </w:rPr>
        <w:t>Health</w:t>
      </w:r>
      <w:proofErr w:type="spellEnd"/>
      <w:r w:rsidRPr="00A85602">
        <w:rPr>
          <w:sz w:val="24"/>
          <w:lang w:val="sk-SK"/>
        </w:rPr>
        <w:t xml:space="preserve">, C-117/01, ECLI:EU:C:2004:7; rozsudok Súdneho dvora z 27. Apríla 2006, </w:t>
      </w:r>
      <w:proofErr w:type="spellStart"/>
      <w:r w:rsidRPr="00745695">
        <w:rPr>
          <w:sz w:val="24"/>
          <w:lang w:val="sk-SK"/>
        </w:rPr>
        <w:t>Sarah</w:t>
      </w:r>
      <w:proofErr w:type="spellEnd"/>
      <w:r w:rsidRPr="00745695">
        <w:rPr>
          <w:sz w:val="24"/>
          <w:lang w:val="sk-SK"/>
        </w:rPr>
        <w:t xml:space="preserve"> </w:t>
      </w:r>
      <w:proofErr w:type="spellStart"/>
      <w:r w:rsidRPr="00745695">
        <w:rPr>
          <w:sz w:val="24"/>
          <w:lang w:val="sk-SK"/>
        </w:rPr>
        <w:t>Margaret</w:t>
      </w:r>
      <w:proofErr w:type="spellEnd"/>
      <w:r w:rsidRPr="00745695">
        <w:rPr>
          <w:sz w:val="24"/>
          <w:lang w:val="sk-SK"/>
        </w:rPr>
        <w:t xml:space="preserve"> </w:t>
      </w:r>
      <w:proofErr w:type="spellStart"/>
      <w:r w:rsidRPr="00745695">
        <w:rPr>
          <w:sz w:val="24"/>
          <w:lang w:val="sk-SK"/>
        </w:rPr>
        <w:t>Richards</w:t>
      </w:r>
      <w:proofErr w:type="spellEnd"/>
      <w:r w:rsidRPr="00A85602">
        <w:rPr>
          <w:sz w:val="24"/>
          <w:lang w:val="sk-SK"/>
        </w:rPr>
        <w:t xml:space="preserve"> proti </w:t>
      </w:r>
      <w:proofErr w:type="spellStart"/>
      <w:r w:rsidRPr="00745695">
        <w:rPr>
          <w:sz w:val="24"/>
          <w:lang w:val="sk-SK"/>
        </w:rPr>
        <w:t>Secretary</w:t>
      </w:r>
      <w:proofErr w:type="spellEnd"/>
      <w:r w:rsidRPr="00745695">
        <w:rPr>
          <w:sz w:val="24"/>
          <w:lang w:val="sk-SK"/>
        </w:rPr>
        <w:t xml:space="preserve"> of State </w:t>
      </w:r>
      <w:proofErr w:type="spellStart"/>
      <w:r w:rsidRPr="00745695">
        <w:rPr>
          <w:sz w:val="24"/>
          <w:lang w:val="sk-SK"/>
        </w:rPr>
        <w:t>for</w:t>
      </w:r>
      <w:proofErr w:type="spellEnd"/>
      <w:r w:rsidRPr="00745695">
        <w:rPr>
          <w:sz w:val="24"/>
          <w:lang w:val="sk-SK"/>
        </w:rPr>
        <w:t xml:space="preserve"> </w:t>
      </w:r>
      <w:proofErr w:type="spellStart"/>
      <w:r w:rsidRPr="00745695">
        <w:rPr>
          <w:sz w:val="24"/>
          <w:lang w:val="sk-SK"/>
        </w:rPr>
        <w:t>Work</w:t>
      </w:r>
      <w:proofErr w:type="spellEnd"/>
      <w:r w:rsidRPr="00745695">
        <w:rPr>
          <w:sz w:val="24"/>
          <w:lang w:val="sk-SK"/>
        </w:rPr>
        <w:t xml:space="preserve"> and </w:t>
      </w:r>
      <w:proofErr w:type="spellStart"/>
      <w:r w:rsidRPr="00745695">
        <w:rPr>
          <w:sz w:val="24"/>
          <w:lang w:val="sk-SK"/>
        </w:rPr>
        <w:t>Pensions</w:t>
      </w:r>
      <w:proofErr w:type="spellEnd"/>
      <w:r w:rsidRPr="00A85602">
        <w:rPr>
          <w:sz w:val="24"/>
          <w:lang w:val="sk-SK"/>
        </w:rPr>
        <w:t xml:space="preserve">, C-423/04, ECLI:EU:C:2006:256; a rozsudok Súdneho dvora z 26. júna 2018, </w:t>
      </w:r>
      <w:r w:rsidRPr="00745695">
        <w:rPr>
          <w:sz w:val="24"/>
          <w:lang w:val="sk-SK"/>
        </w:rPr>
        <w:t xml:space="preserve">M. B. proti </w:t>
      </w:r>
      <w:proofErr w:type="spellStart"/>
      <w:r w:rsidRPr="00745695">
        <w:rPr>
          <w:sz w:val="24"/>
          <w:lang w:val="sk-SK"/>
        </w:rPr>
        <w:t>Secretary</w:t>
      </w:r>
      <w:proofErr w:type="spellEnd"/>
      <w:r w:rsidRPr="00745695">
        <w:rPr>
          <w:sz w:val="24"/>
          <w:lang w:val="sk-SK"/>
        </w:rPr>
        <w:t xml:space="preserve"> of State </w:t>
      </w:r>
      <w:proofErr w:type="spellStart"/>
      <w:r w:rsidRPr="00745695">
        <w:rPr>
          <w:sz w:val="24"/>
          <w:lang w:val="sk-SK"/>
        </w:rPr>
        <w:t>for</w:t>
      </w:r>
      <w:proofErr w:type="spellEnd"/>
      <w:r w:rsidRPr="00745695">
        <w:rPr>
          <w:sz w:val="24"/>
          <w:lang w:val="sk-SK"/>
        </w:rPr>
        <w:t xml:space="preserve"> </w:t>
      </w:r>
      <w:proofErr w:type="spellStart"/>
      <w:r w:rsidRPr="00745695">
        <w:rPr>
          <w:sz w:val="24"/>
          <w:lang w:val="sk-SK"/>
        </w:rPr>
        <w:t>Work</w:t>
      </w:r>
      <w:proofErr w:type="spellEnd"/>
      <w:r w:rsidRPr="00745695">
        <w:rPr>
          <w:sz w:val="24"/>
          <w:lang w:val="sk-SK"/>
        </w:rPr>
        <w:t xml:space="preserve"> and </w:t>
      </w:r>
      <w:proofErr w:type="spellStart"/>
      <w:r w:rsidRPr="00745695">
        <w:rPr>
          <w:sz w:val="24"/>
          <w:lang w:val="sk-SK"/>
        </w:rPr>
        <w:t>Pensions</w:t>
      </w:r>
      <w:proofErr w:type="spellEnd"/>
      <w:r w:rsidRPr="00A85602">
        <w:rPr>
          <w:sz w:val="24"/>
          <w:lang w:val="sk-SK"/>
        </w:rPr>
        <w:t>, C-451/16, ECLI:EU:C:2018:492.</w:t>
      </w:r>
    </w:p>
  </w:footnote>
  <w:footnote w:id="6">
    <w:p w:rsidR="00630351" w:rsidRPr="007300F5" w:rsidRDefault="00630351" w:rsidP="007300F5">
      <w:pPr>
        <w:pStyle w:val="FootnoteText"/>
        <w:ind w:left="567" w:hanging="567"/>
        <w:rPr>
          <w:sz w:val="24"/>
          <w:lang w:val="sk-SK"/>
        </w:rPr>
      </w:pPr>
      <w:r w:rsidRPr="007300F5">
        <w:rPr>
          <w:rStyle w:val="FootnoteReference"/>
          <w:sz w:val="24"/>
          <w:lang w:val="sk-SK"/>
        </w:rPr>
        <w:footnoteRef/>
      </w:r>
      <w:r w:rsidR="007300F5" w:rsidRPr="007300F5">
        <w:rPr>
          <w:sz w:val="24"/>
          <w:lang w:val="sk-SK"/>
        </w:rPr>
        <w:t xml:space="preserve"> </w:t>
      </w:r>
      <w:r w:rsidR="007300F5" w:rsidRPr="007300F5">
        <w:rPr>
          <w:sz w:val="24"/>
          <w:lang w:val="sk-SK"/>
        </w:rPr>
        <w:tab/>
      </w:r>
      <w:r w:rsidRPr="007300F5">
        <w:rPr>
          <w:sz w:val="24"/>
          <w:lang w:val="sk-SK"/>
        </w:rPr>
        <w:t>Výročné údaje Úradu OBSE pre demokratické inštitúcie a ľudské práva o trestných činoch z nenávisti.</w:t>
      </w:r>
    </w:p>
  </w:footnote>
  <w:footnote w:id="7">
    <w:p w:rsidR="00630351" w:rsidRPr="007300F5" w:rsidRDefault="00630351" w:rsidP="007300F5">
      <w:pPr>
        <w:pStyle w:val="FootnoteText"/>
        <w:ind w:left="567" w:hanging="567"/>
        <w:rPr>
          <w:sz w:val="24"/>
          <w:lang w:val="sk-SK"/>
        </w:rPr>
      </w:pPr>
      <w:r w:rsidRPr="007300F5">
        <w:rPr>
          <w:rStyle w:val="FootnoteReference"/>
          <w:sz w:val="24"/>
          <w:lang w:val="sk-SK"/>
        </w:rPr>
        <w:footnoteRef/>
      </w:r>
      <w:r w:rsidR="007300F5" w:rsidRPr="007300F5">
        <w:rPr>
          <w:sz w:val="24"/>
          <w:lang w:val="sk-SK"/>
        </w:rPr>
        <w:t xml:space="preserve"> </w:t>
      </w:r>
      <w:r w:rsidR="007300F5" w:rsidRPr="007300F5">
        <w:rPr>
          <w:sz w:val="24"/>
          <w:lang w:val="sk-SK"/>
        </w:rPr>
        <w:tab/>
      </w:r>
      <w:r w:rsidRPr="007300F5">
        <w:rPr>
          <w:sz w:val="24"/>
          <w:lang w:val="sk-SK"/>
        </w:rPr>
        <w:t>Pozri napríklad Výročnú správu o činnosti komisie ECRI za obdobie od 1. januára do 31. decembra 2019, výročnú správu o činnosti komisie ECRI za obdobie od 1. januára do 31. decembra 2020 a štúdiu s názvom Nenávistné prejavy a trestné činy z nenávisti v EÚ a hodnotenie prístupov k regulácii online obsahu, ktorej vypracovanie zadala tematická sekcia Európskeho parlamentu pre občianske práva a ústavné veci a ktorá bola uverejnená v júli 2020.</w:t>
      </w:r>
    </w:p>
  </w:footnote>
  <w:footnote w:id="8">
    <w:p w:rsidR="00630351" w:rsidRPr="007300F5" w:rsidRDefault="00630351" w:rsidP="007300F5">
      <w:pPr>
        <w:pStyle w:val="FootnoteText"/>
        <w:ind w:left="567" w:hanging="567"/>
        <w:rPr>
          <w:sz w:val="24"/>
          <w:lang w:val="sk-SK"/>
        </w:rPr>
      </w:pPr>
      <w:r w:rsidRPr="007300F5">
        <w:rPr>
          <w:rStyle w:val="FootnoteReference"/>
          <w:sz w:val="24"/>
          <w:lang w:val="sk-SK"/>
        </w:rPr>
        <w:footnoteRef/>
      </w:r>
      <w:r w:rsidR="007300F5" w:rsidRPr="007300F5">
        <w:rPr>
          <w:sz w:val="24"/>
          <w:lang w:val="sk-SK"/>
        </w:rPr>
        <w:t xml:space="preserve"> </w:t>
      </w:r>
      <w:r w:rsidR="007300F5" w:rsidRPr="007300F5">
        <w:rPr>
          <w:sz w:val="24"/>
          <w:lang w:val="sk-SK"/>
        </w:rPr>
        <w:tab/>
      </w:r>
      <w:proofErr w:type="spellStart"/>
      <w:r w:rsidRPr="007300F5">
        <w:rPr>
          <w:sz w:val="24"/>
          <w:lang w:val="sk-SK"/>
        </w:rPr>
        <w:t>Lingaas</w:t>
      </w:r>
      <w:proofErr w:type="spellEnd"/>
      <w:r w:rsidRPr="007300F5">
        <w:rPr>
          <w:sz w:val="24"/>
          <w:lang w:val="sk-SK"/>
        </w:rPr>
        <w:t xml:space="preserve">, C., </w:t>
      </w:r>
      <w:hyperlink r:id="rId1" w:history="1">
        <w:r w:rsidRPr="007300F5">
          <w:rPr>
            <w:rStyle w:val="Hyperlink"/>
            <w:sz w:val="24"/>
            <w:lang w:val="sk-SK"/>
          </w:rPr>
          <w:t xml:space="preserve">Hate </w:t>
        </w:r>
        <w:proofErr w:type="spellStart"/>
        <w:r w:rsidRPr="007300F5">
          <w:rPr>
            <w:rStyle w:val="Hyperlink"/>
            <w:sz w:val="24"/>
            <w:lang w:val="sk-SK"/>
          </w:rPr>
          <w:t>Speech</w:t>
        </w:r>
        <w:proofErr w:type="spellEnd"/>
        <w:r w:rsidRPr="007300F5">
          <w:rPr>
            <w:rStyle w:val="Hyperlink"/>
            <w:sz w:val="24"/>
            <w:lang w:val="sk-SK"/>
          </w:rPr>
          <w:t xml:space="preserve"> and </w:t>
        </w:r>
        <w:proofErr w:type="spellStart"/>
        <w:r w:rsidRPr="007300F5">
          <w:rPr>
            <w:rStyle w:val="Hyperlink"/>
            <w:sz w:val="24"/>
            <w:lang w:val="sk-SK"/>
          </w:rPr>
          <w:t>Racialised</w:t>
        </w:r>
        <w:proofErr w:type="spellEnd"/>
        <w:r w:rsidRPr="007300F5">
          <w:rPr>
            <w:rStyle w:val="Hyperlink"/>
            <w:sz w:val="24"/>
            <w:lang w:val="sk-SK"/>
          </w:rPr>
          <w:t xml:space="preserve"> </w:t>
        </w:r>
        <w:proofErr w:type="spellStart"/>
        <w:r w:rsidRPr="007300F5">
          <w:rPr>
            <w:rStyle w:val="Hyperlink"/>
            <w:sz w:val="24"/>
            <w:lang w:val="sk-SK"/>
          </w:rPr>
          <w:t>Discrimination</w:t>
        </w:r>
        <w:proofErr w:type="spellEnd"/>
        <w:r w:rsidRPr="007300F5">
          <w:rPr>
            <w:rStyle w:val="Hyperlink"/>
            <w:sz w:val="24"/>
            <w:lang w:val="sk-SK"/>
          </w:rPr>
          <w:t xml:space="preserve"> of </w:t>
        </w:r>
        <w:proofErr w:type="spellStart"/>
        <w:r w:rsidRPr="007300F5">
          <w:rPr>
            <w:rStyle w:val="Hyperlink"/>
            <w:sz w:val="24"/>
            <w:lang w:val="sk-SK"/>
          </w:rPr>
          <w:t>the</w:t>
        </w:r>
        <w:proofErr w:type="spellEnd"/>
        <w:r w:rsidRPr="007300F5">
          <w:rPr>
            <w:rStyle w:val="Hyperlink"/>
            <w:sz w:val="24"/>
            <w:lang w:val="sk-SK"/>
          </w:rPr>
          <w:t xml:space="preserve"> </w:t>
        </w:r>
        <w:proofErr w:type="spellStart"/>
        <w:r w:rsidRPr="007300F5">
          <w:rPr>
            <w:rStyle w:val="Hyperlink"/>
            <w:sz w:val="24"/>
            <w:lang w:val="sk-SK"/>
          </w:rPr>
          <w:t>Norwegian</w:t>
        </w:r>
        <w:proofErr w:type="spellEnd"/>
        <w:r w:rsidRPr="007300F5">
          <w:rPr>
            <w:rStyle w:val="Hyperlink"/>
            <w:sz w:val="24"/>
            <w:lang w:val="sk-SK"/>
          </w:rPr>
          <w:t xml:space="preserve"> </w:t>
        </w:r>
        <w:proofErr w:type="spellStart"/>
        <w:r w:rsidRPr="007300F5">
          <w:rPr>
            <w:rStyle w:val="Hyperlink"/>
            <w:sz w:val="24"/>
            <w:lang w:val="sk-SK"/>
          </w:rPr>
          <w:t>Sámi</w:t>
        </w:r>
        <w:proofErr w:type="spellEnd"/>
        <w:r w:rsidRPr="007300F5">
          <w:rPr>
            <w:rStyle w:val="Hyperlink"/>
            <w:sz w:val="24"/>
            <w:lang w:val="sk-SK"/>
          </w:rPr>
          <w:t>:</w:t>
        </w:r>
      </w:hyperlink>
      <w:hyperlink r:id="rId2" w:history="1">
        <w:r w:rsidRPr="007300F5">
          <w:rPr>
            <w:rStyle w:val="Hyperlink"/>
            <w:sz w:val="24"/>
            <w:lang w:val="sk-SK"/>
          </w:rPr>
          <w:t xml:space="preserve"> </w:t>
        </w:r>
        <w:proofErr w:type="spellStart"/>
        <w:r w:rsidRPr="007300F5">
          <w:rPr>
            <w:rStyle w:val="Hyperlink"/>
            <w:sz w:val="24"/>
            <w:lang w:val="sk-SK"/>
          </w:rPr>
          <w:t>Legal</w:t>
        </w:r>
        <w:proofErr w:type="spellEnd"/>
        <w:r w:rsidRPr="007300F5">
          <w:rPr>
            <w:rStyle w:val="Hyperlink"/>
            <w:sz w:val="24"/>
            <w:lang w:val="sk-SK"/>
          </w:rPr>
          <w:t xml:space="preserve"> </w:t>
        </w:r>
        <w:proofErr w:type="spellStart"/>
        <w:r w:rsidRPr="007300F5">
          <w:rPr>
            <w:rStyle w:val="Hyperlink"/>
            <w:sz w:val="24"/>
            <w:lang w:val="sk-SK"/>
          </w:rPr>
          <w:t>Responses</w:t>
        </w:r>
        <w:proofErr w:type="spellEnd"/>
        <w:r w:rsidRPr="007300F5">
          <w:rPr>
            <w:rStyle w:val="Hyperlink"/>
            <w:sz w:val="24"/>
            <w:lang w:val="sk-SK"/>
          </w:rPr>
          <w:t xml:space="preserve"> and </w:t>
        </w:r>
        <w:proofErr w:type="spellStart"/>
        <w:r w:rsidRPr="007300F5">
          <w:rPr>
            <w:rStyle w:val="Hyperlink"/>
            <w:sz w:val="24"/>
            <w:lang w:val="sk-SK"/>
          </w:rPr>
          <w:t>Responsibility</w:t>
        </w:r>
        <w:proofErr w:type="spellEnd"/>
      </w:hyperlink>
      <w:r w:rsidRPr="007300F5">
        <w:rPr>
          <w:sz w:val="24"/>
          <w:lang w:val="sk-SK"/>
        </w:rPr>
        <w:t xml:space="preserve">, </w:t>
      </w:r>
      <w:r w:rsidRPr="007300F5">
        <w:rPr>
          <w:i/>
          <w:sz w:val="24"/>
          <w:lang w:val="sk-SK"/>
        </w:rPr>
        <w:t xml:space="preserve">Oslo </w:t>
      </w:r>
      <w:proofErr w:type="spellStart"/>
      <w:r w:rsidRPr="007300F5">
        <w:rPr>
          <w:i/>
          <w:sz w:val="24"/>
          <w:lang w:val="sk-SK"/>
        </w:rPr>
        <w:t>Law</w:t>
      </w:r>
      <w:proofErr w:type="spellEnd"/>
      <w:r w:rsidRPr="007300F5">
        <w:rPr>
          <w:i/>
          <w:sz w:val="24"/>
          <w:lang w:val="sk-SK"/>
        </w:rPr>
        <w:t xml:space="preserve"> </w:t>
      </w:r>
      <w:proofErr w:type="spellStart"/>
      <w:r w:rsidRPr="007300F5">
        <w:rPr>
          <w:i/>
          <w:sz w:val="24"/>
          <w:lang w:val="sk-SK"/>
        </w:rPr>
        <w:t>Review</w:t>
      </w:r>
      <w:proofErr w:type="spellEnd"/>
      <w:r w:rsidRPr="007300F5">
        <w:rPr>
          <w:sz w:val="24"/>
          <w:lang w:val="sk-SK"/>
        </w:rPr>
        <w:t xml:space="preserve">, zv. 8, č. 2, 2021, s. 88 – 107. </w:t>
      </w:r>
    </w:p>
  </w:footnote>
  <w:footnote w:id="9">
    <w:p w:rsidR="00630351" w:rsidRPr="007300F5" w:rsidRDefault="00630351" w:rsidP="007300F5">
      <w:pPr>
        <w:pStyle w:val="FootnoteText"/>
        <w:ind w:left="567" w:hanging="567"/>
        <w:rPr>
          <w:sz w:val="24"/>
          <w:lang w:val="sk-SK"/>
        </w:rPr>
      </w:pPr>
      <w:r w:rsidRPr="007300F5">
        <w:rPr>
          <w:rStyle w:val="FootnoteReference"/>
          <w:sz w:val="24"/>
          <w:lang w:val="sk-SK"/>
        </w:rPr>
        <w:footnoteRef/>
      </w:r>
      <w:r w:rsidR="007300F5" w:rsidRPr="007300F5">
        <w:rPr>
          <w:sz w:val="24"/>
          <w:lang w:val="sk-SK"/>
        </w:rPr>
        <w:t xml:space="preserve"> </w:t>
      </w:r>
      <w:r w:rsidR="007300F5" w:rsidRPr="007300F5">
        <w:rPr>
          <w:sz w:val="24"/>
          <w:lang w:val="sk-SK"/>
        </w:rPr>
        <w:tab/>
      </w:r>
      <w:r w:rsidRPr="007300F5">
        <w:rPr>
          <w:sz w:val="24"/>
          <w:lang w:val="sk-SK"/>
        </w:rPr>
        <w:t xml:space="preserve">Civil </w:t>
      </w:r>
      <w:proofErr w:type="spellStart"/>
      <w:r w:rsidRPr="007300F5">
        <w:rPr>
          <w:sz w:val="24"/>
          <w:lang w:val="sk-SK"/>
        </w:rPr>
        <w:t>Rights</w:t>
      </w:r>
      <w:proofErr w:type="spellEnd"/>
      <w:r w:rsidRPr="007300F5">
        <w:rPr>
          <w:sz w:val="24"/>
          <w:lang w:val="sk-SK"/>
        </w:rPr>
        <w:t xml:space="preserve"> </w:t>
      </w:r>
      <w:proofErr w:type="spellStart"/>
      <w:r w:rsidRPr="007300F5">
        <w:rPr>
          <w:sz w:val="24"/>
          <w:lang w:val="sk-SK"/>
        </w:rPr>
        <w:t>Defenders</w:t>
      </w:r>
      <w:proofErr w:type="spellEnd"/>
      <w:r w:rsidRPr="007300F5">
        <w:rPr>
          <w:sz w:val="24"/>
          <w:lang w:val="sk-SK"/>
        </w:rPr>
        <w:t xml:space="preserve">, </w:t>
      </w:r>
      <w:hyperlink r:id="rId3" w:history="1">
        <w:proofErr w:type="spellStart"/>
        <w:r w:rsidRPr="007300F5">
          <w:rPr>
            <w:rStyle w:val="Hyperlink"/>
            <w:sz w:val="24"/>
            <w:lang w:val="sk-SK"/>
          </w:rPr>
          <w:t>Joint</w:t>
        </w:r>
        <w:proofErr w:type="spellEnd"/>
        <w:r w:rsidRPr="007300F5">
          <w:rPr>
            <w:rStyle w:val="Hyperlink"/>
            <w:sz w:val="24"/>
            <w:lang w:val="sk-SK"/>
          </w:rPr>
          <w:t xml:space="preserve"> </w:t>
        </w:r>
        <w:proofErr w:type="spellStart"/>
        <w:r w:rsidRPr="007300F5">
          <w:rPr>
            <w:rStyle w:val="Hyperlink"/>
            <w:sz w:val="24"/>
            <w:lang w:val="sk-SK"/>
          </w:rPr>
          <w:t>submission</w:t>
        </w:r>
        <w:proofErr w:type="spellEnd"/>
        <w:r w:rsidRPr="007300F5">
          <w:rPr>
            <w:rStyle w:val="Hyperlink"/>
            <w:sz w:val="24"/>
            <w:lang w:val="sk-SK"/>
          </w:rPr>
          <w:t xml:space="preserve"> to </w:t>
        </w:r>
        <w:proofErr w:type="spellStart"/>
        <w:r w:rsidRPr="007300F5">
          <w:rPr>
            <w:rStyle w:val="Hyperlink"/>
            <w:sz w:val="24"/>
            <w:lang w:val="sk-SK"/>
          </w:rPr>
          <w:t>the</w:t>
        </w:r>
        <w:proofErr w:type="spellEnd"/>
        <w:r w:rsidRPr="007300F5">
          <w:rPr>
            <w:rStyle w:val="Hyperlink"/>
            <w:sz w:val="24"/>
            <w:lang w:val="sk-SK"/>
          </w:rPr>
          <w:t xml:space="preserve"> UN </w:t>
        </w:r>
        <w:proofErr w:type="spellStart"/>
        <w:r w:rsidRPr="007300F5">
          <w:rPr>
            <w:rStyle w:val="Hyperlink"/>
            <w:sz w:val="24"/>
            <w:lang w:val="sk-SK"/>
          </w:rPr>
          <w:t>Universal</w:t>
        </w:r>
        <w:proofErr w:type="spellEnd"/>
        <w:r w:rsidRPr="007300F5">
          <w:rPr>
            <w:rStyle w:val="Hyperlink"/>
            <w:sz w:val="24"/>
            <w:lang w:val="sk-SK"/>
          </w:rPr>
          <w:t xml:space="preserve"> </w:t>
        </w:r>
        <w:proofErr w:type="spellStart"/>
        <w:r w:rsidRPr="007300F5">
          <w:rPr>
            <w:rStyle w:val="Hyperlink"/>
            <w:sz w:val="24"/>
            <w:lang w:val="sk-SK"/>
          </w:rPr>
          <w:t>Periodic</w:t>
        </w:r>
        <w:proofErr w:type="spellEnd"/>
        <w:r w:rsidRPr="007300F5">
          <w:rPr>
            <w:rStyle w:val="Hyperlink"/>
            <w:sz w:val="24"/>
            <w:lang w:val="sk-SK"/>
          </w:rPr>
          <w:t xml:space="preserve"> </w:t>
        </w:r>
        <w:proofErr w:type="spellStart"/>
        <w:r w:rsidRPr="007300F5">
          <w:rPr>
            <w:rStyle w:val="Hyperlink"/>
            <w:sz w:val="24"/>
            <w:lang w:val="sk-SK"/>
          </w:rPr>
          <w:t>Review</w:t>
        </w:r>
        <w:proofErr w:type="spellEnd"/>
        <w:r w:rsidRPr="007300F5">
          <w:rPr>
            <w:rStyle w:val="Hyperlink"/>
            <w:sz w:val="24"/>
            <w:lang w:val="sk-SK"/>
          </w:rPr>
          <w:t xml:space="preserve"> of </w:t>
        </w:r>
        <w:proofErr w:type="spellStart"/>
        <w:r w:rsidRPr="007300F5">
          <w:rPr>
            <w:rStyle w:val="Hyperlink"/>
            <w:sz w:val="24"/>
            <w:lang w:val="sk-SK"/>
          </w:rPr>
          <w:t>Sweden</w:t>
        </w:r>
        <w:proofErr w:type="spellEnd"/>
        <w:r w:rsidRPr="007300F5">
          <w:rPr>
            <w:rStyle w:val="Hyperlink"/>
            <w:sz w:val="24"/>
            <w:lang w:val="sk-SK"/>
          </w:rPr>
          <w:t xml:space="preserve"> (Spoločný príspevok k všeobecnému pravidelnému preskúmaniu Švédska), 35. zasadnutie pracovnej skupiny Rady pre ľudské práva UPR – január 2020</w:t>
        </w:r>
      </w:hyperlink>
      <w:r w:rsidRPr="007300F5">
        <w:rPr>
          <w:sz w:val="24"/>
          <w:lang w:val="sk-SK"/>
        </w:rPr>
        <w:t>, 2019.</w:t>
      </w:r>
    </w:p>
  </w:footnote>
  <w:footnote w:id="10">
    <w:p w:rsidR="00630351" w:rsidRPr="007300F5" w:rsidRDefault="00630351" w:rsidP="007300F5">
      <w:pPr>
        <w:pStyle w:val="FootnoteText"/>
        <w:ind w:left="567" w:hanging="567"/>
        <w:rPr>
          <w:sz w:val="24"/>
          <w:lang w:val="sk-SK"/>
        </w:rPr>
      </w:pPr>
      <w:r w:rsidRPr="007300F5">
        <w:rPr>
          <w:rStyle w:val="FootnoteReference"/>
          <w:sz w:val="24"/>
          <w:lang w:val="sk-SK"/>
        </w:rPr>
        <w:footnoteRef/>
      </w:r>
      <w:r w:rsidR="007300F5" w:rsidRPr="007300F5">
        <w:rPr>
          <w:sz w:val="24"/>
          <w:lang w:val="sk-SK"/>
        </w:rPr>
        <w:t xml:space="preserve"> </w:t>
      </w:r>
      <w:r w:rsidR="007300F5" w:rsidRPr="007300F5">
        <w:rPr>
          <w:sz w:val="24"/>
          <w:lang w:val="sk-SK"/>
        </w:rPr>
        <w:tab/>
      </w:r>
      <w:r w:rsidRPr="007300F5">
        <w:rPr>
          <w:sz w:val="24"/>
          <w:lang w:val="sk-SK"/>
        </w:rPr>
        <w:t xml:space="preserve">ILGA </w:t>
      </w:r>
      <w:proofErr w:type="spellStart"/>
      <w:r w:rsidRPr="007300F5">
        <w:rPr>
          <w:sz w:val="24"/>
          <w:lang w:val="sk-SK"/>
        </w:rPr>
        <w:t>Europe</w:t>
      </w:r>
      <w:proofErr w:type="spellEnd"/>
      <w:r w:rsidRPr="007300F5">
        <w:rPr>
          <w:sz w:val="24"/>
          <w:lang w:val="sk-SK"/>
        </w:rPr>
        <w:t xml:space="preserve">, 2023 </w:t>
      </w:r>
      <w:proofErr w:type="spellStart"/>
      <w:r w:rsidRPr="007300F5">
        <w:rPr>
          <w:sz w:val="24"/>
          <w:lang w:val="sk-SK"/>
        </w:rPr>
        <w:t>Annual</w:t>
      </w:r>
      <w:proofErr w:type="spellEnd"/>
      <w:r w:rsidRPr="007300F5">
        <w:rPr>
          <w:sz w:val="24"/>
          <w:lang w:val="sk-SK"/>
        </w:rPr>
        <w:t xml:space="preserve"> </w:t>
      </w:r>
      <w:proofErr w:type="spellStart"/>
      <w:r w:rsidRPr="007300F5">
        <w:rPr>
          <w:sz w:val="24"/>
          <w:lang w:val="sk-SK"/>
        </w:rPr>
        <w:t>Review</w:t>
      </w:r>
      <w:proofErr w:type="spellEnd"/>
      <w:r w:rsidRPr="007300F5">
        <w:rPr>
          <w:sz w:val="24"/>
          <w:lang w:val="sk-SK"/>
        </w:rPr>
        <w:t xml:space="preserve"> of </w:t>
      </w:r>
      <w:proofErr w:type="spellStart"/>
      <w:r w:rsidRPr="007300F5">
        <w:rPr>
          <w:sz w:val="24"/>
          <w:lang w:val="sk-SK"/>
        </w:rPr>
        <w:t>the</w:t>
      </w:r>
      <w:proofErr w:type="spellEnd"/>
      <w:r w:rsidRPr="007300F5">
        <w:rPr>
          <w:sz w:val="24"/>
          <w:lang w:val="sk-SK"/>
        </w:rPr>
        <w:t xml:space="preserve"> </w:t>
      </w:r>
      <w:proofErr w:type="spellStart"/>
      <w:r w:rsidRPr="007300F5">
        <w:rPr>
          <w:sz w:val="24"/>
          <w:lang w:val="sk-SK"/>
        </w:rPr>
        <w:t>Human</w:t>
      </w:r>
      <w:proofErr w:type="spellEnd"/>
      <w:r w:rsidRPr="007300F5">
        <w:rPr>
          <w:sz w:val="24"/>
          <w:lang w:val="sk-SK"/>
        </w:rPr>
        <w:t xml:space="preserve"> </w:t>
      </w:r>
      <w:proofErr w:type="spellStart"/>
      <w:r w:rsidRPr="007300F5">
        <w:rPr>
          <w:sz w:val="24"/>
          <w:lang w:val="sk-SK"/>
        </w:rPr>
        <w:t>Rights</w:t>
      </w:r>
      <w:proofErr w:type="spellEnd"/>
      <w:r w:rsidRPr="007300F5">
        <w:rPr>
          <w:sz w:val="24"/>
          <w:lang w:val="sk-SK"/>
        </w:rPr>
        <w:t xml:space="preserve"> </w:t>
      </w:r>
      <w:proofErr w:type="spellStart"/>
      <w:r w:rsidRPr="007300F5">
        <w:rPr>
          <w:sz w:val="24"/>
          <w:lang w:val="sk-SK"/>
        </w:rPr>
        <w:t>Situation</w:t>
      </w:r>
      <w:proofErr w:type="spellEnd"/>
      <w:r w:rsidRPr="007300F5">
        <w:rPr>
          <w:sz w:val="24"/>
          <w:lang w:val="sk-SK"/>
        </w:rPr>
        <w:t xml:space="preserve"> of </w:t>
      </w:r>
      <w:proofErr w:type="spellStart"/>
      <w:r w:rsidRPr="007300F5">
        <w:rPr>
          <w:sz w:val="24"/>
          <w:lang w:val="sk-SK"/>
        </w:rPr>
        <w:t>Lesbian</w:t>
      </w:r>
      <w:proofErr w:type="spellEnd"/>
      <w:r w:rsidRPr="007300F5">
        <w:rPr>
          <w:sz w:val="24"/>
          <w:lang w:val="sk-SK"/>
        </w:rPr>
        <w:t xml:space="preserve">, Gay, </w:t>
      </w:r>
      <w:proofErr w:type="spellStart"/>
      <w:r w:rsidRPr="007300F5">
        <w:rPr>
          <w:sz w:val="24"/>
          <w:lang w:val="sk-SK"/>
        </w:rPr>
        <w:t>Bisexual</w:t>
      </w:r>
      <w:proofErr w:type="spellEnd"/>
      <w:r w:rsidRPr="007300F5">
        <w:rPr>
          <w:sz w:val="24"/>
          <w:lang w:val="sk-SK"/>
        </w:rPr>
        <w:t xml:space="preserve">, </w:t>
      </w:r>
      <w:proofErr w:type="spellStart"/>
      <w:r w:rsidRPr="007300F5">
        <w:rPr>
          <w:sz w:val="24"/>
          <w:lang w:val="sk-SK"/>
        </w:rPr>
        <w:t>Trans</w:t>
      </w:r>
      <w:proofErr w:type="spellEnd"/>
      <w:r w:rsidRPr="007300F5">
        <w:rPr>
          <w:sz w:val="24"/>
          <w:lang w:val="sk-SK"/>
        </w:rPr>
        <w:t xml:space="preserve"> and </w:t>
      </w:r>
      <w:proofErr w:type="spellStart"/>
      <w:r w:rsidRPr="007300F5">
        <w:rPr>
          <w:sz w:val="24"/>
          <w:lang w:val="sk-SK"/>
        </w:rPr>
        <w:t>Intersex</w:t>
      </w:r>
      <w:proofErr w:type="spellEnd"/>
      <w:r w:rsidRPr="007300F5">
        <w:rPr>
          <w:sz w:val="24"/>
          <w:lang w:val="sk-SK"/>
        </w:rPr>
        <w:t xml:space="preserve"> </w:t>
      </w:r>
      <w:proofErr w:type="spellStart"/>
      <w:r w:rsidRPr="007300F5">
        <w:rPr>
          <w:sz w:val="24"/>
          <w:lang w:val="sk-SK"/>
        </w:rPr>
        <w:t>People</w:t>
      </w:r>
      <w:proofErr w:type="spellEnd"/>
      <w:r w:rsidRPr="007300F5">
        <w:rPr>
          <w:sz w:val="24"/>
          <w:lang w:val="sk-SK"/>
        </w:rPr>
        <w:t xml:space="preserve"> in </w:t>
      </w:r>
      <w:proofErr w:type="spellStart"/>
      <w:r w:rsidRPr="007300F5">
        <w:rPr>
          <w:sz w:val="24"/>
          <w:lang w:val="sk-SK"/>
        </w:rPr>
        <w:t>Europe</w:t>
      </w:r>
      <w:proofErr w:type="spellEnd"/>
      <w:r w:rsidRPr="007300F5">
        <w:rPr>
          <w:sz w:val="24"/>
          <w:lang w:val="sk-SK"/>
        </w:rPr>
        <w:t xml:space="preserve"> and </w:t>
      </w:r>
      <w:proofErr w:type="spellStart"/>
      <w:r w:rsidRPr="007300F5">
        <w:rPr>
          <w:sz w:val="24"/>
          <w:lang w:val="sk-SK"/>
        </w:rPr>
        <w:t>Central</w:t>
      </w:r>
      <w:proofErr w:type="spellEnd"/>
      <w:r w:rsidRPr="007300F5">
        <w:rPr>
          <w:sz w:val="24"/>
          <w:lang w:val="sk-SK"/>
        </w:rPr>
        <w:t xml:space="preserve"> </w:t>
      </w:r>
      <w:proofErr w:type="spellStart"/>
      <w:r w:rsidRPr="007300F5">
        <w:rPr>
          <w:sz w:val="24"/>
          <w:lang w:val="sk-SK"/>
        </w:rPr>
        <w:t>Asia</w:t>
      </w:r>
      <w:proofErr w:type="spellEnd"/>
      <w:r w:rsidRPr="007300F5">
        <w:rPr>
          <w:sz w:val="24"/>
          <w:lang w:val="sk-SK"/>
        </w:rPr>
        <w:t>, február 2023.</w:t>
      </w:r>
    </w:p>
  </w:footnote>
  <w:footnote w:id="11">
    <w:p w:rsidR="00630351" w:rsidRPr="007300F5" w:rsidRDefault="00630351" w:rsidP="007300F5">
      <w:pPr>
        <w:pStyle w:val="FootnoteText"/>
        <w:ind w:left="567" w:hanging="567"/>
        <w:rPr>
          <w:sz w:val="24"/>
          <w:lang w:val="sk-SK"/>
        </w:rPr>
      </w:pPr>
      <w:r w:rsidRPr="007300F5">
        <w:rPr>
          <w:rStyle w:val="FootnoteReference"/>
          <w:sz w:val="24"/>
          <w:lang w:val="sk-SK"/>
        </w:rPr>
        <w:footnoteRef/>
      </w:r>
      <w:r w:rsidR="007300F5" w:rsidRPr="007300F5">
        <w:rPr>
          <w:sz w:val="24"/>
          <w:lang w:val="sk-SK"/>
        </w:rPr>
        <w:t xml:space="preserve"> </w:t>
      </w:r>
      <w:r w:rsidR="007300F5" w:rsidRPr="007300F5">
        <w:rPr>
          <w:sz w:val="24"/>
          <w:lang w:val="sk-SK"/>
        </w:rPr>
        <w:tab/>
      </w:r>
      <w:r w:rsidRPr="007300F5">
        <w:rPr>
          <w:sz w:val="24"/>
          <w:lang w:val="sk-SK"/>
        </w:rPr>
        <w:t xml:space="preserve">Agentúra Európskej únie pre základné práva, </w:t>
      </w:r>
      <w:hyperlink r:id="rId4" w:history="1">
        <w:proofErr w:type="spellStart"/>
        <w:r w:rsidRPr="007300F5">
          <w:rPr>
            <w:rStyle w:val="Hyperlink"/>
            <w:sz w:val="24"/>
            <w:lang w:val="sk-SK"/>
          </w:rPr>
          <w:t>Encouraging</w:t>
        </w:r>
        <w:proofErr w:type="spellEnd"/>
        <w:r w:rsidRPr="007300F5">
          <w:rPr>
            <w:rStyle w:val="Hyperlink"/>
            <w:sz w:val="24"/>
            <w:lang w:val="sk-SK"/>
          </w:rPr>
          <w:t xml:space="preserve"> hate </w:t>
        </w:r>
        <w:proofErr w:type="spellStart"/>
        <w:r w:rsidRPr="007300F5">
          <w:rPr>
            <w:rStyle w:val="Hyperlink"/>
            <w:sz w:val="24"/>
            <w:lang w:val="sk-SK"/>
          </w:rPr>
          <w:t>crime</w:t>
        </w:r>
        <w:proofErr w:type="spellEnd"/>
        <w:r w:rsidRPr="007300F5">
          <w:rPr>
            <w:rStyle w:val="Hyperlink"/>
            <w:sz w:val="24"/>
            <w:lang w:val="sk-SK"/>
          </w:rPr>
          <w:t xml:space="preserve"> </w:t>
        </w:r>
        <w:proofErr w:type="spellStart"/>
        <w:r w:rsidRPr="007300F5">
          <w:rPr>
            <w:rStyle w:val="Hyperlink"/>
            <w:sz w:val="24"/>
            <w:lang w:val="sk-SK"/>
          </w:rPr>
          <w:t>reporting</w:t>
        </w:r>
        <w:proofErr w:type="spellEnd"/>
        <w:r w:rsidRPr="007300F5">
          <w:rPr>
            <w:rStyle w:val="Hyperlink"/>
            <w:sz w:val="24"/>
            <w:lang w:val="sk-SK"/>
          </w:rPr>
          <w:t xml:space="preserve"> – </w:t>
        </w:r>
        <w:proofErr w:type="spellStart"/>
        <w:r w:rsidRPr="007300F5">
          <w:rPr>
            <w:rStyle w:val="Hyperlink"/>
            <w:sz w:val="24"/>
            <w:lang w:val="sk-SK"/>
          </w:rPr>
          <w:t>The</w:t>
        </w:r>
        <w:proofErr w:type="spellEnd"/>
        <w:r w:rsidRPr="007300F5">
          <w:rPr>
            <w:rStyle w:val="Hyperlink"/>
            <w:sz w:val="24"/>
            <w:lang w:val="sk-SK"/>
          </w:rPr>
          <w:t xml:space="preserve"> role of </w:t>
        </w:r>
        <w:proofErr w:type="spellStart"/>
        <w:r w:rsidRPr="007300F5">
          <w:rPr>
            <w:rStyle w:val="Hyperlink"/>
            <w:sz w:val="24"/>
            <w:lang w:val="sk-SK"/>
          </w:rPr>
          <w:t>law</w:t>
        </w:r>
        <w:proofErr w:type="spellEnd"/>
        <w:r w:rsidRPr="007300F5">
          <w:rPr>
            <w:rStyle w:val="Hyperlink"/>
            <w:sz w:val="24"/>
            <w:lang w:val="sk-SK"/>
          </w:rPr>
          <w:t xml:space="preserve"> </w:t>
        </w:r>
        <w:proofErr w:type="spellStart"/>
        <w:r w:rsidRPr="007300F5">
          <w:rPr>
            <w:rStyle w:val="Hyperlink"/>
            <w:sz w:val="24"/>
            <w:lang w:val="sk-SK"/>
          </w:rPr>
          <w:t>enforcement</w:t>
        </w:r>
        <w:proofErr w:type="spellEnd"/>
        <w:r w:rsidRPr="007300F5">
          <w:rPr>
            <w:rStyle w:val="Hyperlink"/>
            <w:sz w:val="24"/>
            <w:lang w:val="sk-SK"/>
          </w:rPr>
          <w:t xml:space="preserve"> and </w:t>
        </w:r>
        <w:proofErr w:type="spellStart"/>
        <w:r w:rsidRPr="007300F5">
          <w:rPr>
            <w:rStyle w:val="Hyperlink"/>
            <w:sz w:val="24"/>
            <w:lang w:val="sk-SK"/>
          </w:rPr>
          <w:t>other</w:t>
        </w:r>
        <w:proofErr w:type="spellEnd"/>
        <w:r w:rsidRPr="007300F5">
          <w:rPr>
            <w:rStyle w:val="Hyperlink"/>
            <w:sz w:val="24"/>
            <w:lang w:val="sk-SK"/>
          </w:rPr>
          <w:t xml:space="preserve"> </w:t>
        </w:r>
        <w:proofErr w:type="spellStart"/>
        <w:r w:rsidRPr="007300F5">
          <w:rPr>
            <w:rStyle w:val="Hyperlink"/>
            <w:sz w:val="24"/>
            <w:lang w:val="sk-SK"/>
          </w:rPr>
          <w:t>authorities</w:t>
        </w:r>
        <w:proofErr w:type="spellEnd"/>
      </w:hyperlink>
      <w:r w:rsidRPr="007300F5">
        <w:rPr>
          <w:sz w:val="24"/>
          <w:lang w:val="sk-SK"/>
        </w:rPr>
        <w:t xml:space="preserve"> (Podpora nahlasovania trestných činov z nenávisti – úloha orgánov presadzovania práva a iných orgánov), 2021.</w:t>
      </w:r>
    </w:p>
  </w:footnote>
  <w:footnote w:id="12">
    <w:p w:rsidR="00630351" w:rsidRPr="007300F5" w:rsidRDefault="00630351" w:rsidP="007300F5">
      <w:pPr>
        <w:pStyle w:val="FootnoteText"/>
        <w:ind w:left="567" w:hanging="567"/>
        <w:rPr>
          <w:sz w:val="24"/>
          <w:lang w:val="sk-SK"/>
        </w:rPr>
      </w:pPr>
      <w:r w:rsidRPr="007300F5">
        <w:rPr>
          <w:rStyle w:val="FootnoteReference"/>
          <w:sz w:val="24"/>
          <w:lang w:val="sk-SK"/>
        </w:rPr>
        <w:footnoteRef/>
      </w:r>
      <w:r w:rsidR="007300F5" w:rsidRPr="007300F5">
        <w:rPr>
          <w:sz w:val="24"/>
          <w:lang w:val="sk-SK"/>
        </w:rPr>
        <w:t xml:space="preserve"> </w:t>
      </w:r>
      <w:r w:rsidR="007300F5" w:rsidRPr="007300F5">
        <w:rPr>
          <w:sz w:val="24"/>
          <w:lang w:val="sk-SK"/>
        </w:rPr>
        <w:tab/>
      </w:r>
      <w:r w:rsidRPr="007300F5">
        <w:rPr>
          <w:sz w:val="24"/>
          <w:lang w:val="sk-SK"/>
        </w:rPr>
        <w:t>Nariadenie Európskeho parlamentu a Rady (EÚ) 2022/2065 z 19. októbra 2022 o jednotnom trhu s digitálnymi službami a o zmene smernice 2000/31/ES (akt o digitálnych službách) (Ú. v. EÚ L 277, 27.10.2022,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00F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00F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00F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7/2023"/>
    <w:docVar w:name="dvlangue" w:val="SK"/>
    <w:docVar w:name="dvnumam" w:val="0"/>
    <w:docVar w:name="dvpe" w:val="750.074"/>
    <w:docVar w:name="dvrapporteur" w:val="Spravodajkyňa: "/>
    <w:docVar w:name="dvtitre" w:val="Uznesenie Európskeho parlamentu z xx. januára 2024 o rozšírení zoznamu trestných činov v EÚ o nenávistné prejavy a trestné činy páchané z nenávisti(2023/2068(INI))"/>
  </w:docVars>
  <w:rsids>
    <w:rsidRoot w:val="002D5D71"/>
    <w:rsid w:val="00002272"/>
    <w:rsid w:val="00064002"/>
    <w:rsid w:val="000677B9"/>
    <w:rsid w:val="000831BA"/>
    <w:rsid w:val="000A42CC"/>
    <w:rsid w:val="000E7DD9"/>
    <w:rsid w:val="0010095E"/>
    <w:rsid w:val="00125B37"/>
    <w:rsid w:val="00187494"/>
    <w:rsid w:val="001F32AE"/>
    <w:rsid w:val="002767FF"/>
    <w:rsid w:val="002B18FE"/>
    <w:rsid w:val="002B5493"/>
    <w:rsid w:val="002D5D7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0351"/>
    <w:rsid w:val="006631B6"/>
    <w:rsid w:val="00680577"/>
    <w:rsid w:val="006F74FA"/>
    <w:rsid w:val="007300F5"/>
    <w:rsid w:val="00731ADD"/>
    <w:rsid w:val="00734777"/>
    <w:rsid w:val="00745695"/>
    <w:rsid w:val="00747932"/>
    <w:rsid w:val="00751A4A"/>
    <w:rsid w:val="00756632"/>
    <w:rsid w:val="00762C74"/>
    <w:rsid w:val="0077058C"/>
    <w:rsid w:val="00786EC0"/>
    <w:rsid w:val="007D1690"/>
    <w:rsid w:val="007E22AD"/>
    <w:rsid w:val="00817416"/>
    <w:rsid w:val="00842779"/>
    <w:rsid w:val="00865F67"/>
    <w:rsid w:val="00881A7B"/>
    <w:rsid w:val="008840E5"/>
    <w:rsid w:val="00887B3E"/>
    <w:rsid w:val="008C2AC6"/>
    <w:rsid w:val="00930C23"/>
    <w:rsid w:val="0093193B"/>
    <w:rsid w:val="0093752A"/>
    <w:rsid w:val="009509D8"/>
    <w:rsid w:val="00950B64"/>
    <w:rsid w:val="00981893"/>
    <w:rsid w:val="00A1687D"/>
    <w:rsid w:val="00A43E52"/>
    <w:rsid w:val="00A4678D"/>
    <w:rsid w:val="00A778C7"/>
    <w:rsid w:val="00A85602"/>
    <w:rsid w:val="00AB441E"/>
    <w:rsid w:val="00AB6293"/>
    <w:rsid w:val="00AE0928"/>
    <w:rsid w:val="00AF3B82"/>
    <w:rsid w:val="00B12E95"/>
    <w:rsid w:val="00B22876"/>
    <w:rsid w:val="00B558F0"/>
    <w:rsid w:val="00BD48FE"/>
    <w:rsid w:val="00BD7BD8"/>
    <w:rsid w:val="00BE6ADC"/>
    <w:rsid w:val="00C05BFE"/>
    <w:rsid w:val="00C23CD4"/>
    <w:rsid w:val="00C47CDE"/>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1267"/>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0B6AA5"/>
  <w15:chartTrackingRefBased/>
  <w15:docId w15:val="{7B6914A4-486F-4CA5-8DDA-7CC8C7600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30351"/>
    <w:pPr>
      <w:spacing w:after="240"/>
      <w:ind w:left="567" w:hanging="567"/>
    </w:pPr>
  </w:style>
  <w:style w:type="paragraph" w:customStyle="1" w:styleId="EPComma">
    <w:name w:val="EPComma"/>
    <w:basedOn w:val="Normal"/>
    <w:rsid w:val="00630351"/>
    <w:pPr>
      <w:spacing w:before="480" w:after="240"/>
    </w:pPr>
  </w:style>
  <w:style w:type="character" w:customStyle="1" w:styleId="Italic">
    <w:name w:val="Italic"/>
    <w:uiPriority w:val="1"/>
    <w:rsid w:val="00630351"/>
    <w:rPr>
      <w:i/>
      <w:iCs w:val="0"/>
    </w:rPr>
  </w:style>
  <w:style w:type="character" w:customStyle="1" w:styleId="NormalHanging12aChar">
    <w:name w:val="NormalHanging12a Char"/>
    <w:basedOn w:val="DefaultParagraphFont"/>
    <w:link w:val="NormalHanging12a"/>
    <w:rsid w:val="00630351"/>
    <w:rPr>
      <w:sz w:val="24"/>
      <w:lang w:val="sk-SK"/>
    </w:rPr>
  </w:style>
  <w:style w:type="paragraph" w:customStyle="1" w:styleId="Normal12Hanging">
    <w:name w:val="Normal12Hanging"/>
    <w:basedOn w:val="Normal"/>
    <w:rsid w:val="00630351"/>
    <w:pPr>
      <w:spacing w:after="240"/>
      <w:ind w:left="567" w:hanging="567"/>
    </w:pPr>
  </w:style>
  <w:style w:type="character" w:styleId="Hyperlink">
    <w:name w:val="Hyperlink"/>
    <w:basedOn w:val="DefaultParagraphFont"/>
    <w:rsid w:val="0063035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crd.org/wp-content/uploads/2019/08/Civil-Rights-Defenders-Joint-UPR-Submission-Sweden-2020.pdf" TargetMode="External"/><Relationship Id="rId2" Type="http://schemas.openxmlformats.org/officeDocument/2006/relationships/hyperlink" Target="https://www.idunn.no/doi/10.18261/issn.2387-3299-2021-02-02" TargetMode="External"/><Relationship Id="rId1" Type="http://schemas.openxmlformats.org/officeDocument/2006/relationships/hyperlink" Target="https://www.idunn.no/doi/10.18261/issn.2387-3299-2021-02-02" TargetMode="External"/><Relationship Id="rId4" Type="http://schemas.openxmlformats.org/officeDocument/2006/relationships/hyperlink" Target="https://fra.europa.eu/sites/default/files/fra_uploads/fra-2021-hate-crime-reporting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B97FAC-0122-496E-B5D4-94695E779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3150</Words>
  <Characters>18307</Characters>
  <Application>Microsoft Office Word</Application>
  <DocSecurity>0</DocSecurity>
  <Lines>508</Lines>
  <Paragraphs>258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2024-01-18T11:10:00Z</dcterms:created>
  <dcterms:modified xsi:type="dcterms:W3CDTF">2024-01-18T11:10:00Z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A9-0377/2023</vt:lpwstr>
  </property>
  <property fmtid="{D5CDD505-2E9C-101B-9397-08002B2CF9AE}" pid="4" name="&lt;Type&gt;">
    <vt:lpwstr>RR</vt:lpwstr>
  </property>
</Properties>
</file>