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396" w:rsidTr="0010095E">
        <w:trPr>
          <w:trHeight w:hRule="exact" w:val="1418"/>
        </w:trPr>
        <w:tc>
          <w:tcPr>
            <w:tcW w:w="6804" w:type="dxa"/>
            <w:shd w:val="clear" w:color="auto" w:fill="auto"/>
            <w:vAlign w:val="center"/>
          </w:tcPr>
          <w:p w:rsidR="00751A4A" w:rsidRPr="00595396" w:rsidRDefault="00334CDD" w:rsidP="0010095E">
            <w:pPr>
              <w:pStyle w:val="EPName"/>
            </w:pPr>
            <w:bookmarkStart w:id="0" w:name="_GoBack"/>
            <w:bookmarkEnd w:id="0"/>
            <w:r w:rsidRPr="00595396">
              <w:t>Evropski parlament</w:t>
            </w:r>
          </w:p>
          <w:p w:rsidR="00751A4A" w:rsidRPr="00595396" w:rsidRDefault="00817416" w:rsidP="00756632">
            <w:pPr>
              <w:pStyle w:val="EPTerm"/>
              <w:rPr>
                <w:rStyle w:val="HideTWBExt"/>
                <w:noProof w:val="0"/>
                <w:vanish w:val="0"/>
                <w:color w:val="auto"/>
              </w:rPr>
            </w:pPr>
            <w:r w:rsidRPr="00595396">
              <w:t>2019-2024</w:t>
            </w:r>
          </w:p>
        </w:tc>
        <w:tc>
          <w:tcPr>
            <w:tcW w:w="2268" w:type="dxa"/>
            <w:shd w:val="clear" w:color="auto" w:fill="auto"/>
          </w:tcPr>
          <w:p w:rsidR="00751A4A" w:rsidRPr="00595396" w:rsidRDefault="00187494" w:rsidP="0010095E">
            <w:pPr>
              <w:pStyle w:val="EPLogo"/>
            </w:pPr>
            <w:r w:rsidRPr="005953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5396" w:rsidRDefault="00D058B8" w:rsidP="004C5D52">
      <w:pPr>
        <w:pStyle w:val="LineTop"/>
      </w:pPr>
    </w:p>
    <w:p w:rsidR="00680577" w:rsidRPr="00595396" w:rsidRDefault="00334CDD" w:rsidP="00680577">
      <w:pPr>
        <w:pStyle w:val="EPBodyTA1"/>
      </w:pPr>
      <w:r w:rsidRPr="00595396">
        <w:t>SPREJETA BESEDILA</w:t>
      </w:r>
    </w:p>
    <w:p w:rsidR="00D058B8" w:rsidRPr="00595396" w:rsidRDefault="00D058B8" w:rsidP="00D058B8">
      <w:pPr>
        <w:pStyle w:val="LineBottom"/>
      </w:pPr>
    </w:p>
    <w:p w:rsidR="00334CDD" w:rsidRPr="00595396" w:rsidRDefault="00334CDD" w:rsidP="00595396">
      <w:pPr>
        <w:pStyle w:val="ATHeading1"/>
      </w:pPr>
      <w:bookmarkStart w:id="1" w:name="TANumber"/>
      <w:r w:rsidRPr="00595396">
        <w:t>P9_TA(202</w:t>
      </w:r>
      <w:r w:rsidR="006E0434" w:rsidRPr="00595396">
        <w:t>4</w:t>
      </w:r>
      <w:r w:rsidRPr="00595396">
        <w:t>)00</w:t>
      </w:r>
      <w:r w:rsidR="00595396" w:rsidRPr="00595396">
        <w:t>44</w:t>
      </w:r>
      <w:bookmarkEnd w:id="1"/>
    </w:p>
    <w:p w:rsidR="00334CDD" w:rsidRPr="00595396" w:rsidRDefault="00334CDD" w:rsidP="00334CDD">
      <w:pPr>
        <w:pStyle w:val="ATHeading2"/>
      </w:pPr>
      <w:bookmarkStart w:id="2" w:name="title"/>
      <w:r w:rsidRPr="00595396">
        <w:t>Vključitev sovražnega govora in kaznivih dejanj iz sovraštva na evropski seznam kaznivih dejanj</w:t>
      </w:r>
      <w:bookmarkEnd w:id="2"/>
    </w:p>
    <w:p w:rsidR="00334CDD" w:rsidRPr="00595396" w:rsidRDefault="00334CDD" w:rsidP="00334CDD">
      <w:pPr>
        <w:rPr>
          <w:i/>
          <w:vanish/>
        </w:rPr>
      </w:pPr>
      <w:r w:rsidRPr="00595396">
        <w:rPr>
          <w:i/>
        </w:rPr>
        <w:fldChar w:fldCharType="begin"/>
      </w:r>
      <w:r w:rsidRPr="00595396">
        <w:rPr>
          <w:i/>
        </w:rPr>
        <w:instrText xml:space="preserve"> TC"(</w:instrText>
      </w:r>
      <w:bookmarkStart w:id="3" w:name="DocNumber"/>
      <w:r w:rsidRPr="00595396">
        <w:rPr>
          <w:i/>
        </w:rPr>
        <w:instrText>A9-0377/2023</w:instrText>
      </w:r>
      <w:bookmarkEnd w:id="3"/>
      <w:r w:rsidRPr="00595396">
        <w:rPr>
          <w:i/>
        </w:rPr>
        <w:instrText xml:space="preserve"> - Poročevalka: Maite Pagazaurtundúa)"\l3 \n&gt; \* MERGEFORMAT </w:instrText>
      </w:r>
      <w:r w:rsidRPr="00595396">
        <w:rPr>
          <w:i/>
        </w:rPr>
        <w:fldChar w:fldCharType="end"/>
      </w:r>
    </w:p>
    <w:p w:rsidR="00334CDD" w:rsidRPr="00595396" w:rsidRDefault="00334CDD" w:rsidP="00334CDD">
      <w:pPr>
        <w:rPr>
          <w:vanish/>
        </w:rPr>
      </w:pPr>
      <w:bookmarkStart w:id="4" w:name="Commission"/>
      <w:r w:rsidRPr="00595396">
        <w:rPr>
          <w:vanish/>
        </w:rPr>
        <w:t>Odbor za državljanske svoboščine, pravosodje in notranje zadeve</w:t>
      </w:r>
      <w:bookmarkEnd w:id="4"/>
    </w:p>
    <w:p w:rsidR="00334CDD" w:rsidRPr="00595396" w:rsidRDefault="00334CDD" w:rsidP="00334CDD">
      <w:pPr>
        <w:rPr>
          <w:vanish/>
        </w:rPr>
      </w:pPr>
      <w:bookmarkStart w:id="5" w:name="PE"/>
      <w:r w:rsidRPr="00595396">
        <w:rPr>
          <w:vanish/>
        </w:rPr>
        <w:t>PE750.074</w:t>
      </w:r>
      <w:bookmarkEnd w:id="5"/>
    </w:p>
    <w:p w:rsidR="00334CDD" w:rsidRPr="00595396" w:rsidRDefault="00334CDD" w:rsidP="00595396">
      <w:pPr>
        <w:pStyle w:val="ATHeading3"/>
      </w:pPr>
      <w:bookmarkStart w:id="6" w:name="Sujet"/>
      <w:r w:rsidRPr="00595396">
        <w:t xml:space="preserve">Resolucija Evropskega parlamenta z dne </w:t>
      </w:r>
      <w:r w:rsidR="00595396" w:rsidRPr="00595396">
        <w:t>18</w:t>
      </w:r>
      <w:r w:rsidR="00A350D0" w:rsidRPr="00595396">
        <w:t xml:space="preserve">. </w:t>
      </w:r>
      <w:r w:rsidR="006E0434" w:rsidRPr="00595396">
        <w:t>januarja 2024</w:t>
      </w:r>
      <w:r w:rsidRPr="00595396">
        <w:t xml:space="preserve"> o vključitvi sovražnega govora in kaznivih dejanj iz sovraštva na evropski seznam kaznivih dejanj</w:t>
      </w:r>
      <w:bookmarkEnd w:id="6"/>
      <w:r w:rsidRPr="00595396">
        <w:t xml:space="preserve"> </w:t>
      </w:r>
      <w:bookmarkStart w:id="7" w:name="References"/>
      <w:r w:rsidRPr="00595396">
        <w:t>(2023/2068(INI))</w:t>
      </w:r>
      <w:bookmarkEnd w:id="7"/>
    </w:p>
    <w:p w:rsidR="00D76B06" w:rsidRPr="00595396" w:rsidRDefault="00D76B06" w:rsidP="00D76B06">
      <w:pPr>
        <w:pStyle w:val="EPComma"/>
      </w:pPr>
      <w:bookmarkStart w:id="8" w:name="TextBodyBegin"/>
      <w:bookmarkEnd w:id="8"/>
      <w:r w:rsidRPr="00595396">
        <w:rPr>
          <w:rStyle w:val="Italic"/>
        </w:rPr>
        <w:t>Evropski parlament</w:t>
      </w:r>
      <w:r w:rsidRPr="00595396">
        <w:t>,</w:t>
      </w:r>
    </w:p>
    <w:p w:rsidR="00D76B06" w:rsidRPr="00595396" w:rsidRDefault="00D76B06" w:rsidP="00D76B06">
      <w:pPr>
        <w:pStyle w:val="NormalHanging12a"/>
        <w:rPr>
          <w:szCs w:val="24"/>
        </w:rPr>
      </w:pPr>
      <w:r w:rsidRPr="00595396">
        <w:t>–</w:t>
      </w:r>
      <w:r w:rsidRPr="00595396">
        <w:tab/>
        <w:t>ob upoštevanju Listine Evropske unije o temeljnih pravicah (v nadaljnjem besedilu: Listina), zlasti členov 1, 7, 20, 21, 22, 23, 25 in 26,</w:t>
      </w:r>
    </w:p>
    <w:p w:rsidR="00D76B06" w:rsidRPr="00595396" w:rsidRDefault="00D76B06" w:rsidP="00D76B06">
      <w:pPr>
        <w:pStyle w:val="NormalHanging12a"/>
      </w:pPr>
      <w:r w:rsidRPr="00595396">
        <w:t>–</w:t>
      </w:r>
      <w:r w:rsidRPr="00595396">
        <w:tab/>
        <w:t>ob upoštevanju Pogodbe o Evropski uniji (PEU), zlasti členov 2, 3 in 6,</w:t>
      </w:r>
    </w:p>
    <w:p w:rsidR="00D76B06" w:rsidRPr="00595396" w:rsidRDefault="00D76B06" w:rsidP="00D76B06">
      <w:pPr>
        <w:pStyle w:val="NormalHanging12a"/>
      </w:pPr>
      <w:r w:rsidRPr="00595396">
        <w:t>–</w:t>
      </w:r>
      <w:r w:rsidRPr="00595396">
        <w:tab/>
        <w:t>ob upoštevanju Pogodbe o delovanju Evropske unije (PDEU), zlasti člena 19 in člena 83(1),</w:t>
      </w:r>
    </w:p>
    <w:p w:rsidR="00D76B06" w:rsidRPr="00595396" w:rsidRDefault="00D76B06" w:rsidP="00D76B06">
      <w:pPr>
        <w:pStyle w:val="NormalHanging12a"/>
      </w:pPr>
      <w:r w:rsidRPr="00595396">
        <w:t>–</w:t>
      </w:r>
      <w:r w:rsidRPr="00595396">
        <w:tab/>
        <w:t>ob upoštevanju Evropske konvencije o človekovih pravicah in s tem povezane sodne prakse Evropskega sodišča za človekove pravice,</w:t>
      </w:r>
    </w:p>
    <w:p w:rsidR="00D76B06" w:rsidRPr="00595396" w:rsidRDefault="00D76B06" w:rsidP="00D76B06">
      <w:pPr>
        <w:pStyle w:val="NormalHanging12a"/>
      </w:pPr>
      <w:r w:rsidRPr="00595396">
        <w:t>–</w:t>
      </w:r>
      <w:r w:rsidRPr="00595396">
        <w:tab/>
        <w:t>ob upoštevanju Splošne deklaracije o človekovih pravicah,</w:t>
      </w:r>
    </w:p>
    <w:p w:rsidR="00D76B06" w:rsidRPr="00595396" w:rsidRDefault="00D76B06" w:rsidP="00D76B06">
      <w:pPr>
        <w:pStyle w:val="NormalHanging12a"/>
      </w:pPr>
      <w:r w:rsidRPr="00595396">
        <w:t>–</w:t>
      </w:r>
      <w:r w:rsidRPr="00595396">
        <w:tab/>
        <w:t>ob upoštevanju sodne prakse Sodišča Evropske unije,</w:t>
      </w:r>
    </w:p>
    <w:p w:rsidR="00D76B06" w:rsidRPr="00595396" w:rsidRDefault="00D76B06" w:rsidP="00D76B06">
      <w:pPr>
        <w:pStyle w:val="NormalHanging12a"/>
      </w:pPr>
      <w:r w:rsidRPr="00595396">
        <w:t>–</w:t>
      </w:r>
      <w:r w:rsidRPr="00595396">
        <w:tab/>
        <w:t>ob upoštevanju sporočila Komisije z dne 9. decembra 2021 z naslovom Za večje vključevanje in zaščito v Evropi: vključitev sovražnega govora in kaznivih dejanj iz sovraštva na evropski seznam kaznivih dejanj (COM(2021)0777) ter priloženega predloga sklepa Sveta,</w:t>
      </w:r>
    </w:p>
    <w:p w:rsidR="00D76B06" w:rsidRPr="00595396" w:rsidRDefault="00D76B06" w:rsidP="00D76B06">
      <w:pPr>
        <w:pStyle w:val="NormalHanging12a"/>
      </w:pPr>
      <w:r w:rsidRPr="00595396">
        <w:t>–</w:t>
      </w:r>
      <w:r w:rsidRPr="00595396">
        <w:tab/>
        <w:t>ob upoštevanju Okvirnega sklepa Sveta 2008/913/PNZ z dne 28. novembra 2008 o boju proti nekaterim oblikam in izrazom rasizma in ksenofobije s kazensko-pravnimi sredstvi</w:t>
      </w:r>
      <w:r w:rsidRPr="00595396">
        <w:rPr>
          <w:rStyle w:val="FootnoteReference"/>
        </w:rPr>
        <w:footnoteReference w:id="1"/>
      </w:r>
      <w:r w:rsidRPr="00595396">
        <w:t>,</w:t>
      </w:r>
    </w:p>
    <w:p w:rsidR="00D76B06" w:rsidRPr="00595396" w:rsidRDefault="00D76B06" w:rsidP="00D76B06">
      <w:pPr>
        <w:pStyle w:val="NormalHanging12a"/>
      </w:pPr>
      <w:r w:rsidRPr="00595396">
        <w:t>–</w:t>
      </w:r>
      <w:r w:rsidRPr="00595396">
        <w:tab/>
        <w:t xml:space="preserve">ob upoštevanju sporočila Komisije z dne 5. marca 2020 z naslovom Unija enakosti: </w:t>
      </w:r>
      <w:r w:rsidRPr="00595396">
        <w:lastRenderedPageBreak/>
        <w:t>strategija za enakost spolov za obdobje 2020–2025 (COM(2020)0152),</w:t>
      </w:r>
    </w:p>
    <w:p w:rsidR="00D76B06" w:rsidRPr="00595396" w:rsidRDefault="00D76B06" w:rsidP="00D76B06">
      <w:pPr>
        <w:pStyle w:val="NormalHanging12a"/>
      </w:pPr>
      <w:r w:rsidRPr="00595396">
        <w:t>–</w:t>
      </w:r>
      <w:r w:rsidRPr="00595396">
        <w:tab/>
        <w:t>ob upoštevanju sporočila Komisije z dne 18. septembra 2020 z naslovom Unija enakosti: akcijski načrt EU za boj proti rasizmu za obdobje 2020–2025 (COM(2020)0565),</w:t>
      </w:r>
    </w:p>
    <w:p w:rsidR="00D76B06" w:rsidRPr="00595396" w:rsidRDefault="00D76B06" w:rsidP="00D76B06">
      <w:pPr>
        <w:pStyle w:val="NormalHanging12a"/>
      </w:pPr>
      <w:r w:rsidRPr="00595396">
        <w:t>–</w:t>
      </w:r>
      <w:r w:rsidRPr="00595396">
        <w:tab/>
        <w:t>ob upoštevanju sporočila Komisije z dne 12. novembra 2020 z naslovom Unija enakosti: strategija za enakost LGBTIQ oseb za obdobje 2020–2025 (COM(2020)0698);</w:t>
      </w:r>
    </w:p>
    <w:p w:rsidR="00D76B06" w:rsidRPr="00595396" w:rsidRDefault="00D76B06" w:rsidP="00D76B06">
      <w:pPr>
        <w:pStyle w:val="NormalHanging12a"/>
      </w:pPr>
      <w:r w:rsidRPr="00595396">
        <w:t>–</w:t>
      </w:r>
      <w:r w:rsidRPr="00595396">
        <w:tab/>
        <w:t>ob upoštevanju sporočila Komisije z dne 3. marca 2021 z naslovom Unija enakosti: strategija o pravicah invalidov za obdobje 2021–2030 (COM(2021)0101) in Konvencije Združenih narodov o pravicah invalidov, ki so jo ratificirale EU in vse njene države članice,</w:t>
      </w:r>
    </w:p>
    <w:p w:rsidR="00D76B06" w:rsidRPr="00595396" w:rsidRDefault="00D76B06" w:rsidP="00D76B06">
      <w:pPr>
        <w:pStyle w:val="NormalHanging12a"/>
      </w:pPr>
      <w:r w:rsidRPr="00595396">
        <w:t>–</w:t>
      </w:r>
      <w:r w:rsidRPr="00595396">
        <w:tab/>
        <w:t>ob upoštevanju sporočila Komisije z dne 24. junija 2020 z naslovom Strategija EU o pravicah žrtev (2020–2025) (COM(2020)0258),</w:t>
      </w:r>
    </w:p>
    <w:p w:rsidR="00D76B06" w:rsidRPr="00595396" w:rsidRDefault="00D76B06" w:rsidP="00D76B06">
      <w:pPr>
        <w:pStyle w:val="NormalHanging12a"/>
      </w:pPr>
      <w:r w:rsidRPr="00595396">
        <w:t>–</w:t>
      </w:r>
      <w:r w:rsidRPr="00595396">
        <w:tab/>
        <w:t>ob upoštevanju priporočila Odbora ministrov Sveta Evrope z dne 20. maja 2022 državam članicam o boju proti sovražnemu govoru (CM/Rec(2022)16),</w:t>
      </w:r>
    </w:p>
    <w:p w:rsidR="00D76B06" w:rsidRPr="00595396" w:rsidRDefault="00D76B06" w:rsidP="00D76B06">
      <w:pPr>
        <w:pStyle w:val="NormalHanging12a"/>
      </w:pPr>
      <w:r w:rsidRPr="00595396">
        <w:t>–</w:t>
      </w:r>
      <w:r w:rsidRPr="00595396">
        <w:tab/>
        <w:t>ob upoštevanju splošnega političnega priporočila Komisije Sveta Evrope proti rasizmu in nestrpnosti (ECRI) št. 15 o boju proti sovražnemu govoru, sprejetega 8. decembra 2015,</w:t>
      </w:r>
    </w:p>
    <w:p w:rsidR="00D76B06" w:rsidRPr="00595396" w:rsidRDefault="00D76B06" w:rsidP="00D76B06">
      <w:pPr>
        <w:pStyle w:val="NormalHanging12a"/>
        <w:rPr>
          <w:szCs w:val="24"/>
        </w:rPr>
      </w:pPr>
      <w:r w:rsidRPr="00595396">
        <w:t>–</w:t>
      </w:r>
      <w:r w:rsidRPr="00595396">
        <w:tab/>
        <w:t>ob upoštevanju Okvirne konvencije za varstvo narodnih manjšin in Evropske listine o regionalnih ali manjšinskih jezikih, ki ju je sprejel Svet Evrope,</w:t>
      </w:r>
    </w:p>
    <w:p w:rsidR="00D76B06" w:rsidRPr="00595396" w:rsidRDefault="00D76B06" w:rsidP="00D76B06">
      <w:pPr>
        <w:pStyle w:val="NormalHanging12a"/>
      </w:pPr>
      <w:r w:rsidRPr="00595396">
        <w:t>–</w:t>
      </w:r>
      <w:r w:rsidRPr="00595396">
        <w:tab/>
        <w:t>ob upoštevanju priporočil, poročil in resolucij Evropske komisije za boj proti rasizmu in nestrpnosti, usmerjevalnega odbora za boj proti diskriminaciji, raznolikost in vključevanje, parlamentarne skupščine, Beneške komisije in drugih organov Sveta Evrope,</w:t>
      </w:r>
    </w:p>
    <w:p w:rsidR="00D76B06" w:rsidRPr="00595396" w:rsidRDefault="00D76B06" w:rsidP="00D76B06">
      <w:pPr>
        <w:pStyle w:val="NormalHanging12a"/>
      </w:pPr>
      <w:r w:rsidRPr="00595396">
        <w:t>–</w:t>
      </w:r>
      <w:r w:rsidRPr="00595396">
        <w:tab/>
        <w:t>ob upoštevanju smernic za izboljšanje zbiranja in uporabe podatkov o enakosti, ki jih je pripravila podskupina za podatke o enakosti v okviru skupine Komisije na visoki ravni za nediskriminacijo, enakost in raznolikost ter jih objavila leta 2021,</w:t>
      </w:r>
    </w:p>
    <w:p w:rsidR="00D76B06" w:rsidRPr="00595396" w:rsidRDefault="00D76B06" w:rsidP="00D76B06">
      <w:pPr>
        <w:pStyle w:val="NormalHanging12a"/>
      </w:pPr>
      <w:r w:rsidRPr="00595396">
        <w:t>–</w:t>
      </w:r>
      <w:r w:rsidRPr="00595396">
        <w:tab/>
        <w:t>ob upoštevanju pogodb in instrumentov OZN na področju človekovih pravic o varstvu človekovih pravic in temeljnih svoboščin, predvsem Splošne deklaracije človekovih pravic, Mednarodnega pakta o državljanskih in političnih pravicah, Konvencije o odpravi vseh oblik rasne diskriminacije in Konvencije o odpravi vseh oblik diskriminacije žensk, ter priporočil v okviru letnega foruma OZN o manjšinskih vprašanjih,</w:t>
      </w:r>
    </w:p>
    <w:p w:rsidR="00D76B06" w:rsidRPr="00595396" w:rsidRDefault="00D76B06" w:rsidP="00D76B06">
      <w:pPr>
        <w:pStyle w:val="NormalHanging12a"/>
        <w:rPr>
          <w:szCs w:val="24"/>
        </w:rPr>
      </w:pPr>
      <w:r w:rsidRPr="00595396">
        <w:t>–</w:t>
      </w:r>
      <w:r w:rsidRPr="00595396">
        <w:tab/>
        <w:t>ob upoštevanju letnih podatkov o kaznivih dejanjih iz sovraštva, ki jih vsako leto 16. novembra objavi Urad OVSE za demokratične institucije in človekove pravice,</w:t>
      </w:r>
    </w:p>
    <w:p w:rsidR="00D76B06" w:rsidRPr="00595396" w:rsidRDefault="00D76B06" w:rsidP="00D76B06">
      <w:pPr>
        <w:pStyle w:val="NormalHanging12a"/>
      </w:pPr>
      <w:r w:rsidRPr="00595396">
        <w:t>–</w:t>
      </w:r>
      <w:r w:rsidRPr="00595396">
        <w:tab/>
        <w:t>ob upoštevanju svoje resolucije z dne 25. novembra 2020 o krepitvi medijske svobode: varstvo novinarjev v Evropi, sovražni govor, dezinformacije in vloga platform</w:t>
      </w:r>
      <w:r w:rsidRPr="00595396">
        <w:rPr>
          <w:rStyle w:val="FootnoteReference"/>
        </w:rPr>
        <w:footnoteReference w:id="2"/>
      </w:r>
      <w:r w:rsidRPr="00595396">
        <w:t>,</w:t>
      </w:r>
    </w:p>
    <w:p w:rsidR="00D76B06" w:rsidRPr="00595396" w:rsidRDefault="00D76B06" w:rsidP="00D76B06">
      <w:pPr>
        <w:pStyle w:val="NormalHanging12a"/>
      </w:pPr>
      <w:r w:rsidRPr="00595396">
        <w:lastRenderedPageBreak/>
        <w:t>–</w:t>
      </w:r>
      <w:r w:rsidRPr="00595396">
        <w:tab/>
        <w:t>ob upoštevanju svoje resolucije z dne 16. septembra 2021 s priporočili Komisiji o opredelitvi nasilja na podlagi spola kot novega področja kriminala, vključenega na seznam iz člena 83(1) PDEU</w:t>
      </w:r>
      <w:r w:rsidRPr="00595396">
        <w:rPr>
          <w:rStyle w:val="FootnoteReference"/>
        </w:rPr>
        <w:footnoteReference w:id="3"/>
      </w:r>
      <w:r w:rsidRPr="00595396">
        <w:t>,</w:t>
      </w:r>
    </w:p>
    <w:p w:rsidR="00D76B06" w:rsidRPr="00595396" w:rsidRDefault="00D76B06" w:rsidP="00D76B06">
      <w:pPr>
        <w:pStyle w:val="NormalHanging12a"/>
        <w:rPr>
          <w:szCs w:val="24"/>
        </w:rPr>
      </w:pPr>
      <w:r w:rsidRPr="00595396">
        <w:t>–</w:t>
      </w:r>
      <w:r w:rsidRPr="00595396">
        <w:tab/>
        <w:t>ob upoštevanju svoje resolucije z dne 13. novembra 2018 o minimalnih standardih za manjšine v EU</w:t>
      </w:r>
      <w:r w:rsidRPr="00595396">
        <w:rPr>
          <w:rStyle w:val="FootnoteReference"/>
        </w:rPr>
        <w:footnoteReference w:id="4"/>
      </w:r>
      <w:r w:rsidRPr="00595396">
        <w:t>,</w:t>
      </w:r>
    </w:p>
    <w:p w:rsidR="00D76B06" w:rsidRPr="00595396" w:rsidRDefault="00D76B06" w:rsidP="00D76B06">
      <w:pPr>
        <w:pStyle w:val="NormalHanging12a"/>
      </w:pPr>
      <w:r w:rsidRPr="00595396">
        <w:t>–</w:t>
      </w:r>
      <w:r w:rsidRPr="00595396">
        <w:tab/>
        <w:t>ob upoštevanju člena 105(5) Poslovnika,</w:t>
      </w:r>
    </w:p>
    <w:p w:rsidR="00D76B06" w:rsidRPr="00595396" w:rsidRDefault="00D76B06" w:rsidP="00D76B06">
      <w:pPr>
        <w:pStyle w:val="Normal12Hanging"/>
      </w:pPr>
      <w:r w:rsidRPr="00595396">
        <w:t>–</w:t>
      </w:r>
      <w:r w:rsidRPr="00595396">
        <w:tab/>
        <w:t>ob upoštevanju mnenja Odbora za pravice žensk in enakost spolov,</w:t>
      </w:r>
    </w:p>
    <w:p w:rsidR="00D76B06" w:rsidRPr="00595396" w:rsidRDefault="00D76B06" w:rsidP="00D76B06">
      <w:pPr>
        <w:pStyle w:val="NormalHanging12a"/>
      </w:pPr>
      <w:r w:rsidRPr="00595396">
        <w:t>–</w:t>
      </w:r>
      <w:r w:rsidRPr="00595396">
        <w:tab/>
        <w:t>ob upoštevanju poročila Odbora za državljanske svoboščine, pravosodje in notranje zadeve (A9-0377/2023),</w:t>
      </w:r>
    </w:p>
    <w:p w:rsidR="00D76B06" w:rsidRPr="00595396" w:rsidRDefault="00D76B06" w:rsidP="00D76B06">
      <w:pPr>
        <w:pStyle w:val="NormalHanging12a"/>
        <w:rPr>
          <w:szCs w:val="24"/>
        </w:rPr>
      </w:pPr>
      <w:r w:rsidRPr="00595396">
        <w:t>A.</w:t>
      </w:r>
      <w:r w:rsidRPr="00595396">
        <w:tab/>
        <w:t>ker je prepovedana vsaka oblika diskriminacije na kateri koli podlagi, npr. spola, rase, barve kože, etničnega ali socialnega porekla, genetskih značilnosti, jezika, veroizpovedi ali prepričanja, političnega ali drugega mnenja, pripadnosti narodnostni manjšini, premoženja, rojstva, invalidnosti, starosti ali spolne usmerjenosti, kot določa člen 21 Listine; ker je na področju uporabe Pogodb brez poseganja v njune posebne določbe prepovedana tudi vsakršna diskriminacija na podlagi državljanstva; ker je v skladu s široko razlago Sodišča Evropske unije treba podlago „spola“ razumeti široko, tako da vključuje vse oblike diskriminacije v zvezi s spolno identiteto, spolnim izrazom in spolnimi značilnostmi</w:t>
      </w:r>
      <w:r w:rsidRPr="00595396">
        <w:rPr>
          <w:vertAlign w:val="superscript"/>
        </w:rPr>
        <w:footnoteReference w:id="5"/>
      </w:r>
      <w:r w:rsidRPr="00595396">
        <w:t>;</w:t>
      </w:r>
    </w:p>
    <w:p w:rsidR="00D76B06" w:rsidRPr="00595396" w:rsidRDefault="00D76B06" w:rsidP="00D76B06">
      <w:pPr>
        <w:pStyle w:val="NormalHanging12a"/>
      </w:pPr>
      <w:r w:rsidRPr="00595396">
        <w:t>B.</w:t>
      </w:r>
      <w:r w:rsidRPr="00595396">
        <w:tab/>
        <w:t>ker so vse oblike in izrazi sovraštva in nestrpnosti, vključno s sovražnim govorom in kaznivimi dejanji iz sovraštva, nezdružljivi z vrednotami Unije, kot so človekovo dostojanstvo, svoboda, demokracija, enakost, pravna država in spoštovanje človekovih pravic, vključno s pravicami pripadnikov manjšin, kot je določeno v členu 2 PEU; ker sta spodbujanje in varstvo teh temeljnih vrednot Unije odvisna od institucij EU, držav članic in vseh drugih ustreznih akterjev, ki se borijo proti pristranskosti, predsodkom in nestrpnosti ter za izkoreninjenje sovraštva;</w:t>
      </w:r>
    </w:p>
    <w:p w:rsidR="00D76B06" w:rsidRPr="00595396" w:rsidRDefault="00D76B06" w:rsidP="00D76B06">
      <w:pPr>
        <w:pStyle w:val="NormalHanging12a"/>
        <w:rPr>
          <w:szCs w:val="24"/>
        </w:rPr>
      </w:pPr>
      <w:r w:rsidRPr="00595396">
        <w:t>C.</w:t>
      </w:r>
      <w:r w:rsidRPr="00595396">
        <w:tab/>
        <w:t>ker so sovražni govor in kazniva dejanja iz sovraštva kompleksen in večplasten pojav z daljnosežnimi posledicami za človekove pravice in pravno državo v demokratičnih družbah; ker morajo EU in njene države članice v boju proti ksenofobiji, rasizmu, mizoginiji, homofobiji, transfobiji ter drugim oblikam predsodkov, nestrpnosti, diskriminacije, tudi na podlagi političnih ali drugih mnenj, in sovraštva do nekaterih posameznikov ali družbenih skupin oblikovati celovit odziv in pri tem tesno sodelovati z zadevnimi deležniki, tudi s civilno družbo; ker je kriminalizacija eno od orodij za boj proti sovražnemu govoru in kaznivim dejanjem iz sovraštva;</w:t>
      </w:r>
    </w:p>
    <w:p w:rsidR="00D76B06" w:rsidRPr="00595396" w:rsidRDefault="00D76B06" w:rsidP="00D76B06">
      <w:pPr>
        <w:pStyle w:val="NormalHanging12a"/>
        <w:rPr>
          <w:szCs w:val="24"/>
        </w:rPr>
      </w:pPr>
      <w:r w:rsidRPr="00595396">
        <w:t>D.</w:t>
      </w:r>
      <w:r w:rsidRPr="00595396">
        <w:tab/>
        <w:t xml:space="preserve">ker so za boj proti sovražnemu govoru in kaznivim dejanjem iz sovraštva, tako na spletu </w:t>
      </w:r>
      <w:r w:rsidRPr="00595396">
        <w:lastRenderedPageBreak/>
        <w:t>kot drugje, potrebni večdimenzionalen pristop in po potrebi različna sredstva za boj proti njim, tudi s kazenskim pravom, civilnimi in upravnimi postopki ter drugimi pomembnimi politikami ali socialnimi ukrepi; ker so se države članice že zavezale, da bodo sprejele zakonodajo in ukrepe, s katerimi bodo kaznovale kazniva dejanja iz sovraštva, obravnavale problem nezadostnega prijavljanja ter uvedle ali nadalje razvijale dejavnosti krepitve zmogljivosti za uradnike organov kazenskega pregona in sodstva</w:t>
      </w:r>
      <w:r w:rsidRPr="00595396">
        <w:rPr>
          <w:vertAlign w:val="superscript"/>
        </w:rPr>
        <w:footnoteReference w:id="6"/>
      </w:r>
      <w:r w:rsidRPr="00595396">
        <w:t>; ker je za učinkovit boj proti sovražnemu govoru in kaznivim dejanjem iz sovraštva bistveno odpraviti njihove temeljne vzroke, zlasti stereotipe; ker so pri tem ključni preventivni ukrepi, izobraževanje, vključno z digitalnim izobraževanjem, pismenost ter veščine za spodbujanje varnih digitalnih prostorov, pa tudi usposabljanje in ozaveščanje; ker bi morale EU in države članice spodbujati boljše razumevanje potrebe po raznovrstnosti in dialogu v okviru demokracije, človekovih pravic in pravne države, ozaveščati, kako pomembno je spoštovati pluralnost, ter se boriti proti negativni stereotipizaciji in stigmatizaciji;</w:t>
      </w:r>
    </w:p>
    <w:p w:rsidR="00D76B06" w:rsidRPr="00595396" w:rsidRDefault="00D76B06" w:rsidP="00D76B06">
      <w:pPr>
        <w:pStyle w:val="NormalHanging12a"/>
        <w:rPr>
          <w:szCs w:val="24"/>
        </w:rPr>
      </w:pPr>
      <w:r w:rsidRPr="00595396">
        <w:t>E.</w:t>
      </w:r>
      <w:r w:rsidRPr="00595396">
        <w:tab/>
        <w:t>ker sovražni govor in kazniva dejanja iz sovraštva lahko pomenijo še posebej huda kazniva dejanja in ne prizadenejo le posameznih žrtev in njihovih skupnosti, ki jim povzročajo trpljenje in omejujejo njihove temeljne pravice in svoboščine, temveč tudi družbo kot celoto, saj spodkopavajo temelje EU;</w:t>
      </w:r>
    </w:p>
    <w:p w:rsidR="00D76B06" w:rsidRPr="00595396" w:rsidRDefault="00D76B06" w:rsidP="00D76B06">
      <w:pPr>
        <w:pStyle w:val="NormalHanging12a"/>
        <w:rPr>
          <w:szCs w:val="24"/>
        </w:rPr>
      </w:pPr>
      <w:r w:rsidRPr="00595396">
        <w:t>F.</w:t>
      </w:r>
      <w:r w:rsidRPr="00595396">
        <w:tab/>
        <w:t>ker ni vsak sovražni govor kaznivo dejanje, vendar še vedno prispeva k normalizaciji izražanja sovraštva, nasilja in nestrpnosti v družbi;</w:t>
      </w:r>
    </w:p>
    <w:p w:rsidR="00D76B06" w:rsidRPr="00595396" w:rsidRDefault="00D76B06" w:rsidP="00D76B06">
      <w:pPr>
        <w:pStyle w:val="NormalHanging12a"/>
      </w:pPr>
      <w:r w:rsidRPr="00595396">
        <w:t>G.</w:t>
      </w:r>
      <w:r w:rsidRPr="00595396">
        <w:tab/>
        <w:t>ker so se v zadnjih desetletjih po vsej EU močno povečali diskriminacija, kazniva dejanja iz sovraštva in sovražni govor</w:t>
      </w:r>
      <w:r w:rsidRPr="00595396">
        <w:rPr>
          <w:rStyle w:val="FootnoteReference"/>
        </w:rPr>
        <w:footnoteReference w:id="7"/>
      </w:r>
      <w:r w:rsidRPr="00595396">
        <w:t>, pa tudi različne oblike rasizma, antisemitizma, islamofobije, ksenofobije, homofobije, transfobije in druge oblike nestrpnosti, zaskrbljujoče pa sta narasla tudi sovražni govor in hujskanje na spletu in zunaj njega; ker so osebe, ki pripadajo ranljivim skupinam, kot so osebe LGBTIQ+, rasizirane osebe, etnične, verske ali jezikovne manjšine, domorodne skupnosti</w:t>
      </w:r>
      <w:r w:rsidRPr="00595396">
        <w:rPr>
          <w:vertAlign w:val="superscript"/>
        </w:rPr>
        <w:footnoteReference w:id="8"/>
      </w:r>
      <w:r w:rsidRPr="00595396">
        <w:t xml:space="preserve"> </w:t>
      </w:r>
      <w:r w:rsidRPr="00595396">
        <w:rPr>
          <w:rStyle w:val="FootnoteReference"/>
        </w:rPr>
        <w:footnoteReference w:id="9"/>
      </w:r>
      <w:r w:rsidRPr="00595396">
        <w:t xml:space="preserve">, invalidi, osebe iz prikrajšanih socialno-ekonomskih okolij, prosilci za azil, begunci in migranti, stalne tarče sovražnega govora in kaznivih dejanj iz sovraštva; ker so se v Evropi bistveno povečali kazniva dejanja iz sovraštva in sovražni govor, uperjeni proti osebam </w:t>
      </w:r>
      <w:r w:rsidRPr="00595396">
        <w:lastRenderedPageBreak/>
        <w:t>LGBTIQ</w:t>
      </w:r>
      <w:r w:rsidRPr="00595396">
        <w:rPr>
          <w:vertAlign w:val="superscript"/>
        </w:rPr>
        <w:footnoteReference w:id="10"/>
      </w:r>
      <w:r w:rsidRPr="00595396">
        <w:t>, povečala pa sta se tudi diskriminacija žensk in sovraštvo do njih; ker večplastna in presečna diskriminacija predstavlja plodno okolje za pojav sovražnega govora in kaznivih dejanj iz sovraštva; ker so tarče sovražnega govora vse bolj izključene iz družbe;</w:t>
      </w:r>
    </w:p>
    <w:p w:rsidR="00D76B06" w:rsidRPr="00595396" w:rsidRDefault="00D76B06" w:rsidP="00D76B06">
      <w:pPr>
        <w:pStyle w:val="NormalHanging12a"/>
        <w:rPr>
          <w:szCs w:val="24"/>
        </w:rPr>
      </w:pPr>
      <w:r w:rsidRPr="00595396">
        <w:t>H.</w:t>
      </w:r>
      <w:r w:rsidRPr="00595396">
        <w:tab/>
        <w:t>ker porast diskriminacije in sovraštva v številnih državah članicah zaostrujejo ekstremistična in populistična gibanja ter multiplikacijski učinek spletnega okolja in družbenih medijev, kar spodbuja ponovno viktimizacijo; ker ta porast vodi v nevarne delitve v družbi kot celoti in ogroža demokracijo;</w:t>
      </w:r>
    </w:p>
    <w:p w:rsidR="00D76B06" w:rsidRPr="00595396" w:rsidRDefault="00D76B06" w:rsidP="00D76B06">
      <w:pPr>
        <w:pStyle w:val="NormalHanging12a"/>
        <w:rPr>
          <w:szCs w:val="24"/>
        </w:rPr>
      </w:pPr>
      <w:r w:rsidRPr="00595396">
        <w:t>I.</w:t>
      </w:r>
      <w:r w:rsidRPr="00595396">
        <w:tab/>
        <w:t>ker obstajajo dokazi, da se sovražni govor in incidenti iz sovraštva v EU še vedno premalo prijavljajo</w:t>
      </w:r>
      <w:r w:rsidRPr="00595396">
        <w:rPr>
          <w:vertAlign w:val="superscript"/>
        </w:rPr>
        <w:footnoteReference w:id="11"/>
      </w:r>
      <w:r w:rsidRPr="00595396">
        <w:t>, zaradi česar je težko količinsko opredeliti obseg te težave;</w:t>
      </w:r>
    </w:p>
    <w:p w:rsidR="00D76B06" w:rsidRPr="00595396" w:rsidRDefault="00D76B06" w:rsidP="00D76B06">
      <w:pPr>
        <w:pStyle w:val="NormalHanging12a"/>
        <w:rPr>
          <w:szCs w:val="24"/>
        </w:rPr>
      </w:pPr>
      <w:r w:rsidRPr="00595396">
        <w:t>J.</w:t>
      </w:r>
      <w:r w:rsidRPr="00595396">
        <w:tab/>
        <w:t>ker imajo mediji in novinarji osrednjo vlogo pri obveščanju družbe in prispevanju k demokratičnim procesom;</w:t>
      </w:r>
    </w:p>
    <w:p w:rsidR="00D76B06" w:rsidRPr="00595396" w:rsidRDefault="00D76B06" w:rsidP="00D76B06">
      <w:pPr>
        <w:pStyle w:val="NormalHanging12a"/>
        <w:rPr>
          <w:szCs w:val="24"/>
        </w:rPr>
      </w:pPr>
      <w:r w:rsidRPr="00595396">
        <w:t>K.</w:t>
      </w:r>
      <w:r w:rsidRPr="00595396">
        <w:tab/>
        <w:t>ker se sovražni govor vse pogosteje pojavlja v političnem diskurzu; ker volilne kampanje predstavljajo posebej plodna tla za sovražni govor in spodbujanje sovraštva, kar ne vpliva le na politični prostor, ampak tudi na delovanje družbe na splošno in poglablja politično polarizacijo; ker se je zaskrbljujoče razširil sovražni govor, uperjen proti ženskam v javnih vlogah; ker imajo politični voditelji pomembno vlogo in odgovornost v boju proti sovražnemu govoru in nestrpnosti; ker bi morali biti zgled in javno obsoditi primere sovraštva;</w:t>
      </w:r>
    </w:p>
    <w:p w:rsidR="00D76B06" w:rsidRPr="00595396" w:rsidRDefault="00D76B06" w:rsidP="00D76B06">
      <w:pPr>
        <w:pStyle w:val="NormalHanging12a"/>
        <w:rPr>
          <w:szCs w:val="24"/>
        </w:rPr>
      </w:pPr>
      <w:r w:rsidRPr="00595396">
        <w:t>L.</w:t>
      </w:r>
      <w:r w:rsidRPr="00595396">
        <w:tab/>
        <w:t>ker so mladoletniki še posebej ranljive žrtve sovražnega govora in kaznivih dejanj iz sovraštva, med drugim v šolah ali prek ustrahovanja na spletu; ker taki napadi ogrožajo njihovo fizično in duševno celovitost ter vplivajo na njihov razvoj ter telesno in duševno zdravje; ker jim je treba nameniti posebno pozornost;</w:t>
      </w:r>
    </w:p>
    <w:p w:rsidR="00D76B06" w:rsidRPr="00595396" w:rsidRDefault="00D76B06" w:rsidP="00D76B06">
      <w:pPr>
        <w:pStyle w:val="NormalHanging12a"/>
        <w:rPr>
          <w:szCs w:val="24"/>
        </w:rPr>
      </w:pPr>
      <w:r w:rsidRPr="00595396">
        <w:t>M.</w:t>
      </w:r>
      <w:r w:rsidRPr="00595396">
        <w:tab/>
        <w:t>ker države članice sovražnega govora in kaznivih dejanj iz sovraštva ne obravnavajo enako v svoji kazenski zakonodaji, zaradi česar nekatere skupine ponekod po Uniji niso dovolj zaščitene; ker je zaradi tega težko opredeliti skupni evropski pristop k boju proti sovražnemu govoru in kaznivim dejanjem iz sovraštva; ker ima lahko pomanjkanje pravne zaščite uničujoče posledice za žrtve;</w:t>
      </w:r>
    </w:p>
    <w:p w:rsidR="00D76B06" w:rsidRPr="00595396" w:rsidRDefault="00D76B06" w:rsidP="00D76B06">
      <w:pPr>
        <w:pStyle w:val="NormalHanging12a"/>
        <w:rPr>
          <w:szCs w:val="24"/>
        </w:rPr>
      </w:pPr>
      <w:r w:rsidRPr="00595396">
        <w:t>N.</w:t>
      </w:r>
      <w:r w:rsidRPr="00595396">
        <w:tab/>
        <w:t xml:space="preserve">ker sedanji okvir EU zajema samo sovražni govor in kazniva dejanja iz sovraštva na podlagi rase, barve kože, veroizpovedi, porekla ter nacionalne ali etnične pripadnosti; ker na ravni EU še ni celovite skupne pravne opredelitve sovražnega govora in kaznivih dejanj iz sovraštva; ker obstaja jasna potreba po učinkoviti obravnavi sovražnega govora in kaznivih dejanj iz sovraštva zaradi drugih razlogov, kot so spol, spolna usmerjenost, družbeni spol, spolna identiteta, spolni izraz, spolne značilnosti, starost, invalidnost in vse druge temeljne lastnosti, zlasti tiste, ki so zaščitene v skladu s členom 21 Listine, in katera koli kombinacija teh lastnosti; ker mora EU zaščititi </w:t>
      </w:r>
      <w:r w:rsidRPr="00595396">
        <w:lastRenderedPageBreak/>
        <w:t>najranljivejše v družbi; ker bi bilo treba nameniti posebno pozornost opredelitvi oseb, skupin ali skupnosti, ki so najbolj izpostavljene sovražnemu govoru in kaznivim dejanjem iz sovraštva, da bi preprečili negativne posledice za zaščito žrtev;</w:t>
      </w:r>
    </w:p>
    <w:p w:rsidR="00D76B06" w:rsidRPr="00595396" w:rsidRDefault="00D76B06" w:rsidP="00D76B06">
      <w:pPr>
        <w:pStyle w:val="NormalHanging12a"/>
        <w:rPr>
          <w:szCs w:val="24"/>
        </w:rPr>
      </w:pPr>
      <w:r w:rsidRPr="00595396">
        <w:t>O.</w:t>
      </w:r>
      <w:r w:rsidRPr="00595396">
        <w:tab/>
        <w:t>ker so v členu 83(1) PDEU določene jasne zahteve za vključitev novih področij kriminala na evropski seznam čezmejnih kaznivih dejanj; ker so posebne čezmejne posledice sovražnega govora na spletu jasne; ker digitalna preobrazba kaže, da je treba ta pojav obravnavati na evropski ravni; ker se je treba proti sovražnemu govoru in kaznivim dejanjem iz sovraštva boriti na skupni podlagi in na ravni EU; ker ima EU odgovornost, da ukrepa;</w:t>
      </w:r>
    </w:p>
    <w:p w:rsidR="00D76B06" w:rsidRPr="00595396" w:rsidRDefault="00D76B06" w:rsidP="00D76B06">
      <w:pPr>
        <w:pStyle w:val="NormalHanging12a"/>
        <w:rPr>
          <w:szCs w:val="24"/>
        </w:rPr>
      </w:pPr>
      <w:r w:rsidRPr="00595396">
        <w:t>P.</w:t>
      </w:r>
      <w:r w:rsidRPr="00595396">
        <w:tab/>
        <w:t>ker bi moral biti odziv kazenskega prava EU na sovražni govor in kazniva dejanja iz sovraštva odločen, sorazmeren in prilagojen svojemu namenu, da bi ustrezno zaščitili žrtev ter ustrezno upoštevali svobodo izražanja in svobodo obveščanja, ki sta temelja demokracije; ker bi morala EU zagotoviti, da omejitev svobode izražanja za preprečevanje in odpravo sovražnega govora ne bi zlorabljali pristojni organi držav članic, da bi utišali manjšine ali zatrli kritiko; ker je treba pri vzpostavljanju zaščite pred sovražnim govorom spoštovati sodbe Evropskega sodišča za človekove pravice v zvezi s svobodo izražanja;</w:t>
      </w:r>
    </w:p>
    <w:p w:rsidR="00D76B06" w:rsidRPr="00595396" w:rsidRDefault="00D76B06" w:rsidP="00D76B06">
      <w:pPr>
        <w:pStyle w:val="NormalHanging12a"/>
        <w:rPr>
          <w:szCs w:val="24"/>
        </w:rPr>
      </w:pPr>
      <w:r w:rsidRPr="00595396">
        <w:t>Q.</w:t>
      </w:r>
      <w:r w:rsidRPr="00595396">
        <w:tab/>
        <w:t>ker sta temeljni pravici, ki sta zaščiteni v boju proti sovražnemu govoru in kaznivim dejanjem iz sovraštva, predvsem človekovo dostojanstvo in načelo nediskriminacije; ker bi morala biti taka zaščita univerzalna; ker zaščita pred nestrpnostjo, bodisi rasno ali na podlagi nacionalne pripadnosti, spolne usmerjenosti, veroizpovedi, ideologije, starosti, mnenja ali katerega koli drugega osebnega, fizičnega ali socialnega stanja oziroma okoliščine, ne glede na obliko izražanja, ne sme biti omejena zgolj na določene razloge ali vzgibe;</w:t>
      </w:r>
    </w:p>
    <w:p w:rsidR="00D76B06" w:rsidRPr="00595396" w:rsidRDefault="00D76B06" w:rsidP="00D76B06">
      <w:pPr>
        <w:pStyle w:val="NormalHanging12a"/>
        <w:rPr>
          <w:szCs w:val="24"/>
        </w:rPr>
      </w:pPr>
      <w:r w:rsidRPr="00595396">
        <w:t>R.</w:t>
      </w:r>
      <w:r w:rsidRPr="00595396">
        <w:tab/>
        <w:t>ker lahko spremembe v družbeni dinamiki ustvarijo nove vzgibe za sovražni govor in kazniva dejanja iz sovraštva, ki jih je treba obravnavati v skupnem okviru EU, zato je treba razširiti člen 83(1) PDEU, v katerem je določen evropski seznam kaznivih dejanj;</w:t>
      </w:r>
    </w:p>
    <w:p w:rsidR="00D76B06" w:rsidRPr="00595396" w:rsidRDefault="00D76B06" w:rsidP="00D76B06">
      <w:pPr>
        <w:pStyle w:val="NormalHanging12a"/>
      </w:pPr>
      <w:r w:rsidRPr="00595396">
        <w:t>S.</w:t>
      </w:r>
      <w:r w:rsidRPr="00595396">
        <w:tab/>
        <w:t>ker je Komisija leta 2021 predstavila sporočilo z naslovom Za večje vključevanje in zaščito v Evropi: vključitev sovražnega govora in kaznivih dejanj iz sovraštva na evropski seznam kaznivih dejanj, da bi sovražni govor in kazniva dejanja iz sovraštva dodala na seznam področij kriminala, za katera lahko Parlament in Svet določita minimalna pravila glede opredelitve kaznivih dejanj in sankcij, ki veljajo v vseh državah članicah EU, kot določa člen 83(1) PDEU; ker mora Svet sprejeti sklep v zvezi s tem;</w:t>
      </w:r>
    </w:p>
    <w:p w:rsidR="00D76B06" w:rsidRPr="00595396" w:rsidRDefault="00D76B06" w:rsidP="00D76B06">
      <w:pPr>
        <w:pStyle w:val="NormalHanging12a"/>
        <w:rPr>
          <w:szCs w:val="24"/>
        </w:rPr>
      </w:pPr>
      <w:r w:rsidRPr="00595396">
        <w:t>T.</w:t>
      </w:r>
      <w:r w:rsidRPr="00595396">
        <w:tab/>
        <w:t>ker bi bil ta sklep Sveta prvi korak pri oblikovanju potrebne pravne podlage za sprejetje, kot drugi korak, skupnega pravnega okvira za boj proti sovražnemu govoru in kaznivim dejanjem iz sovraštva po vsej EU; ker je tak skupni pravni okvir nujno potreben za določitev minimalnih standardov za opredelitev kaznivih dejanj in sankcij ter s tem za boj proti sovražnemu govoru in kaznivim dejanjem iz sovraštva na skupni evropski podlagi, da bi zagotovili dosledno zaščito morebitnih žrtev takih dejanj po vsej Uniji;</w:t>
      </w:r>
    </w:p>
    <w:p w:rsidR="00D76B06" w:rsidRPr="00595396" w:rsidRDefault="00D76B06" w:rsidP="00D76B06">
      <w:pPr>
        <w:pStyle w:val="NormalHanging12a"/>
      </w:pPr>
      <w:r w:rsidRPr="00595396">
        <w:t>U.</w:t>
      </w:r>
      <w:r w:rsidRPr="00595396">
        <w:tab/>
        <w:t>ker Svet še ni sprejel sklepa; ker nekatere države članice ovirajo konkreten napredek v zvezi s to zadevo v Svetu;</w:t>
      </w:r>
    </w:p>
    <w:p w:rsidR="00D76B06" w:rsidRPr="00595396" w:rsidRDefault="00D76B06" w:rsidP="00D76B06">
      <w:pPr>
        <w:pStyle w:val="NormalHanging12a"/>
        <w:rPr>
          <w:szCs w:val="24"/>
        </w:rPr>
      </w:pPr>
      <w:r w:rsidRPr="00595396">
        <w:t>V.</w:t>
      </w:r>
      <w:r w:rsidRPr="00595396">
        <w:tab/>
        <w:t xml:space="preserve">ker člen 83(1) PDEU zahteva soglasje v Svetu za opredelitev „drugih področij </w:t>
      </w:r>
      <w:r w:rsidRPr="00595396">
        <w:lastRenderedPageBreak/>
        <w:t>kriminala“; ker se je izkazalo, da ta zahteva otežuje doseganje potrebnega skupnega napredka v boju proti sovražnemu govoru in kaznivim dejanjem iz sovraštva po vsej Uniji;</w:t>
      </w:r>
    </w:p>
    <w:p w:rsidR="00D76B06" w:rsidRPr="00595396" w:rsidRDefault="00D76B06" w:rsidP="00D76B06">
      <w:pPr>
        <w:pStyle w:val="NormalHanging12a"/>
        <w:rPr>
          <w:szCs w:val="24"/>
        </w:rPr>
      </w:pPr>
      <w:r w:rsidRPr="00595396">
        <w:t>1.</w:t>
      </w:r>
      <w:r w:rsidRPr="00595396">
        <w:tab/>
        <w:t>poziva Svet, naj sprejme sklep o vključitvi sovražnega govora in kaznivih dejanj iz sovraštva kot kaznivih dejanj na seznam iz člena 83(1) PDEU, da bo Komisija lahko začela drugo fazo postopka;</w:t>
      </w:r>
    </w:p>
    <w:p w:rsidR="00D76B06" w:rsidRPr="00595396" w:rsidRDefault="00D76B06" w:rsidP="00D76B06">
      <w:pPr>
        <w:pStyle w:val="NormalHanging12a"/>
        <w:rPr>
          <w:szCs w:val="24"/>
        </w:rPr>
      </w:pPr>
      <w:r w:rsidRPr="00595396">
        <w:t>2.</w:t>
      </w:r>
      <w:r w:rsidRPr="00595396">
        <w:tab/>
        <w:t>opozarja, da kazensko pravo držav članic obravnava sovražni govor in kazniva dejanja iz sovraštva na različne načine in da minimalna harmonizirana pravila na ravni EU obstajajo le, če so taka kazniva dejanja storjena proti skupini ali posameznikom na podlagi rase, barve kože, veroizpovedi ali nacionalne oziroma etnične pripadnosti, zaradi česar je težko izvajati uspešno skupno strategijo za učinkovit boj proti sovraštvu;</w:t>
      </w:r>
    </w:p>
    <w:p w:rsidR="00D76B06" w:rsidRPr="00595396" w:rsidRDefault="00D76B06" w:rsidP="00D76B06">
      <w:pPr>
        <w:pStyle w:val="NormalHanging12a"/>
        <w:rPr>
          <w:szCs w:val="24"/>
        </w:rPr>
      </w:pPr>
      <w:r w:rsidRPr="00595396">
        <w:t>3.</w:t>
      </w:r>
      <w:r w:rsidRPr="00595396">
        <w:tab/>
        <w:t>močno obžaluje, da sta od objave sporočila Komisije minili skoraj dve leti in da Svet v zvezi s tem doslej ni dosegel napredka, čeprav je uspel hitro razširiti evropski seznam kaznivih dejanj za druge namene; obžaluje to neukrepanje, saj je sovražnega govora in kaznivih dejanj iz sovraštva vse več;</w:t>
      </w:r>
    </w:p>
    <w:p w:rsidR="00D76B06" w:rsidRPr="00595396" w:rsidRDefault="00D76B06" w:rsidP="00D76B06">
      <w:pPr>
        <w:pStyle w:val="NormalHanging12a"/>
      </w:pPr>
      <w:r w:rsidRPr="00595396">
        <w:t>4.</w:t>
      </w:r>
      <w:r w:rsidRPr="00595396">
        <w:tab/>
        <w:t>poziva države članice, naj odgovorno in konstruktivno sodelujejo pri nadaljevanju pogajanj v Svetu, da bi sklep Sveta sprejeli pred koncem sedanjega parlamentarnega obdobja;</w:t>
      </w:r>
    </w:p>
    <w:p w:rsidR="00D76B06" w:rsidRPr="00595396" w:rsidRDefault="00D76B06" w:rsidP="00D76B06">
      <w:pPr>
        <w:pStyle w:val="NormalHanging12a"/>
        <w:rPr>
          <w:szCs w:val="24"/>
        </w:rPr>
      </w:pPr>
      <w:r w:rsidRPr="00595396">
        <w:t>5.</w:t>
      </w:r>
      <w:r w:rsidRPr="00595396">
        <w:tab/>
        <w:t>poziva države članice, naj podprejo sprejetje osnutka sklepa ali mu vsaj ne nasprotujejo;</w:t>
      </w:r>
    </w:p>
    <w:p w:rsidR="00D76B06" w:rsidRPr="00595396" w:rsidRDefault="00D76B06" w:rsidP="00D76B06">
      <w:pPr>
        <w:pStyle w:val="NormalHanging12a"/>
      </w:pPr>
      <w:r w:rsidRPr="00595396">
        <w:t>6.</w:t>
      </w:r>
      <w:r w:rsidRPr="00595396">
        <w:tab/>
        <w:t>poziva sedanje in prihodnje predsedstvo Sveta Unije, naj predlog Komisije obravnavata kot prednostno nalogo pri pripravi svojega programa in opredelitvi ciljev;</w:t>
      </w:r>
    </w:p>
    <w:p w:rsidR="00D76B06" w:rsidRPr="00595396" w:rsidRDefault="00D76B06" w:rsidP="00D76B06">
      <w:pPr>
        <w:pStyle w:val="NormalHanging12a"/>
        <w:rPr>
          <w:szCs w:val="24"/>
        </w:rPr>
      </w:pPr>
      <w:r w:rsidRPr="00595396">
        <w:t>7.</w:t>
      </w:r>
      <w:r w:rsidRPr="00595396">
        <w:tab/>
        <w:t>priporoča, naj se člen 83 PDEU spremeni tako, da se bodo odločitve namesto s sedanjim potrebnim soglasjem sprejemale z okrepljeno kvalificirano večino; v zvezi s tem poziva k uporabi premostitvene klavzule;</w:t>
      </w:r>
    </w:p>
    <w:p w:rsidR="00D76B06" w:rsidRPr="00595396" w:rsidRDefault="00D76B06" w:rsidP="00D76B06">
      <w:pPr>
        <w:pStyle w:val="NormalHanging12a"/>
      </w:pPr>
      <w:r w:rsidRPr="00595396">
        <w:t>8.</w:t>
      </w:r>
      <w:r w:rsidRPr="00595396">
        <w:tab/>
        <w:t>poudarja, da je treba v prihodnji zakonodaji EU za določitev minimalnih standardov za opredelitev kaznivih dejanj in sankcij za sovražni govor in kazniva dejanja iz sovraštva varovati človekovo dostojanstvo, si prizadevati za preprečevanje škode, zagotavljati enakost ter se boriti proti sovraštvu in nestrpnosti ne glede na motivacijo;</w:t>
      </w:r>
    </w:p>
    <w:p w:rsidR="00D76B06" w:rsidRPr="00595396" w:rsidRDefault="00D76B06" w:rsidP="00D76B06">
      <w:pPr>
        <w:pStyle w:val="NormalHanging12a"/>
        <w:rPr>
          <w:szCs w:val="24"/>
        </w:rPr>
      </w:pPr>
      <w:r w:rsidRPr="00595396">
        <w:t>9.</w:t>
      </w:r>
      <w:r w:rsidRPr="00595396">
        <w:tab/>
        <w:t>opozarja, da mora biti zaščita univerzalna, s posebnim poudarkom na ciljnih osebah ter ranljivih skupinah in skupnostih;</w:t>
      </w:r>
    </w:p>
    <w:p w:rsidR="00D76B06" w:rsidRPr="00595396" w:rsidRDefault="00D76B06" w:rsidP="00D76B06">
      <w:pPr>
        <w:pStyle w:val="NormalHanging12a"/>
        <w:rPr>
          <w:szCs w:val="24"/>
        </w:rPr>
      </w:pPr>
      <w:r w:rsidRPr="00595396">
        <w:t>10.</w:t>
      </w:r>
      <w:r w:rsidRPr="00595396">
        <w:tab/>
        <w:t>opozarja, da je svoboda izražanja temeljna vrednota demokratičnih družb in ne bi smela biti neupravičeno omejena; opozarja tudi, da bi morala vsaka zakonodaja o sovražnem govoru in kaznivih dejanjih iz sovraštva temeljiti na načelih nujnosti in sorazmernosti; poudarja, da je treba svobodo izražanja uresničevati v okviru prava in v skladu s členom 11 Listine ter se ne bi smela izkoriščati kot ščit za sovražni govor in kazniva dejanja iz sovraštva;</w:t>
      </w:r>
    </w:p>
    <w:p w:rsidR="00D76B06" w:rsidRPr="00595396" w:rsidRDefault="00D76B06" w:rsidP="00D76B06">
      <w:pPr>
        <w:pStyle w:val="NormalHanging12a"/>
        <w:rPr>
          <w:szCs w:val="24"/>
        </w:rPr>
      </w:pPr>
      <w:r w:rsidRPr="00595396">
        <w:t>11.</w:t>
      </w:r>
      <w:r w:rsidRPr="00595396">
        <w:tab/>
        <w:t>poziva Komisijo, naj razmisli o odprtem pristopu, ki ne bo omejen na zaprt seznam razlogov za diskriminacijo, da bi se učinkovito borili proti sovražnemu govoru in kaznivim dejanjem iz sovraštva, ki so posledica novih in spreminjajočih se družbenih dinamik;</w:t>
      </w:r>
    </w:p>
    <w:p w:rsidR="00D76B06" w:rsidRPr="00595396" w:rsidRDefault="00D76B06" w:rsidP="00D76B06">
      <w:pPr>
        <w:pStyle w:val="NormalHanging12a"/>
      </w:pPr>
      <w:r w:rsidRPr="00595396">
        <w:lastRenderedPageBreak/>
        <w:t>12.</w:t>
      </w:r>
      <w:r w:rsidRPr="00595396">
        <w:tab/>
        <w:t>poudarja, da zlorabe interneta in poslovnega modela platform družbenih medijev, ki temelji na mikrociljnem oglaševanju, prispevajo k širjenju in krepitvi sovražnega govora, spodbujanju diskriminacije in nasilja ter povečanju tveganja za ponovno viktimizacijo; poziva Komisijo in države članice, naj zagotovijo pravilno izvajanje veljavne zakonodaje, kot je Uredba (EU) 2022/2065</w:t>
      </w:r>
      <w:r w:rsidRPr="00595396">
        <w:rPr>
          <w:rStyle w:val="FootnoteReference"/>
        </w:rPr>
        <w:footnoteReference w:id="12"/>
      </w:r>
      <w:r w:rsidRPr="00595396">
        <w:t>, ter uporabijo vsa razpoložljiva sredstva in instrumente za preprečevanje širjenja sovražnega govora na spletu;</w:t>
      </w:r>
    </w:p>
    <w:p w:rsidR="00D76B06" w:rsidRPr="00595396" w:rsidRDefault="00D76B06" w:rsidP="00D76B06">
      <w:pPr>
        <w:pStyle w:val="NormalHanging12a"/>
        <w:rPr>
          <w:szCs w:val="24"/>
        </w:rPr>
      </w:pPr>
      <w:r w:rsidRPr="00595396">
        <w:t>13.</w:t>
      </w:r>
      <w:r w:rsidRPr="00595396">
        <w:tab/>
        <w:t>želi spomniti, da so javni organi odgovorni za preprečevanje, preiskovanje, pregon in prijavljanje sovražnega govora in kaznivih dejanj iz sovraštva ter da morajo pri tem upoštevati dejstva, ki kažejo na sovraštvo; poudarja, da bi morala prihodnja zakonodaja EU podpirati in spodbujati tesno sodelovanje s civilno družbo, organi za enakost in nacionalnimi institucijami za človekove pravice;</w:t>
      </w:r>
    </w:p>
    <w:p w:rsidR="00D76B06" w:rsidRPr="00595396" w:rsidRDefault="00D76B06" w:rsidP="00D76B06">
      <w:pPr>
        <w:pStyle w:val="NormalHanging12a"/>
      </w:pPr>
      <w:r w:rsidRPr="00595396">
        <w:t>14.</w:t>
      </w:r>
      <w:r w:rsidRPr="00595396">
        <w:tab/>
        <w:t>poziva Komisijo in države članice, naj posebno pozornost namenijo mladoletnikom, zlasti tistim iz ranljivih skupin, da bi jih še posebej zaščitili pred sovražnim govorom in kaznivimi dejanji iz sovraštva, da bi preprečili pojav teh incidentov, vključno z ustrahovanjem v šolah in na spletu, ter čim bolj zmanjšali njihov vpliv na razvoj in duševno zdravje mladoletnikov;</w:t>
      </w:r>
    </w:p>
    <w:p w:rsidR="00D76B06" w:rsidRPr="00595396" w:rsidRDefault="00D76B06" w:rsidP="00D76B06">
      <w:pPr>
        <w:pStyle w:val="NormalHanging12a"/>
        <w:rPr>
          <w:szCs w:val="24"/>
        </w:rPr>
      </w:pPr>
      <w:r w:rsidRPr="00595396">
        <w:t>15.</w:t>
      </w:r>
      <w:r w:rsidRPr="00595396">
        <w:tab/>
        <w:t>poziva Komisijo, naj zagotovi vzpostavitev trdnega okvira EU za pravno zaščito, da bodo žrtve, zlasti tiste iz vseh ranljivih skupin po vsej EU, učinkovito zaščitene; poudarja, da je treba uporabiti presečni pristop in sprejeti celovite ukrepe, vključno z usposabljanjem strokovnih delavcev, ki bodo verjetno prišli v stik z žrtvami, ter ukrepe za zagotavljanje zaščite, varnega dostopa do neodvisnega sodstva, strokovnih podpornih služb in odškodnin žrtvam; poudarja, da bi morale imeti žrtve možnost, da zlorabe prijavijo pristojnim organom in so zaščitene; opozarja, da bi z zagotavljanjem pravnega varstva žrtev ustvarili varno okolje, ki bi prispevalo k bolj učinkovitemu prijavljanju, kar je bistveno za dokumentiranje sovražnega govora in kaznivih dejanj iz sovraštva;</w:t>
      </w:r>
    </w:p>
    <w:p w:rsidR="00D76B06" w:rsidRPr="00595396" w:rsidRDefault="00D76B06" w:rsidP="00D76B06">
      <w:pPr>
        <w:pStyle w:val="NormalHanging12a"/>
        <w:rPr>
          <w:szCs w:val="24"/>
        </w:rPr>
      </w:pPr>
      <w:r w:rsidRPr="00595396">
        <w:t>16.</w:t>
      </w:r>
      <w:r w:rsidRPr="00595396">
        <w:tab/>
        <w:t>poziva Komisijo in države članice, naj v sodelovanju z ustreznimi organi in agencijami Unije vzpostavijo ustrezne sisteme zbiranja podatkov, da bi pridobile zanesljive, primerljive, razčlenjene in anonimne podatke o incidentih iz sovraštva, vključno s kaznivimi dejanji iz sovraštva, v skladu z ustreznimi nacionalnimi pravnimi okviri in zakonodajo EU o varstvu podatkov, pa tudi ustrezne mehanizme spremljanja, s katerimi bi izboljšale redno razpoložljivost, primerljivost in kakovost zbranih podatkov ter ocenile učinek, ki ga imajo zakonodaja in politike na boj proti sovražnemu govoru in kaznivim dejanjem iz sovraštva;</w:t>
      </w:r>
    </w:p>
    <w:p w:rsidR="00E365E1" w:rsidRPr="00595396" w:rsidRDefault="00D76B06" w:rsidP="00A350D0">
      <w:pPr>
        <w:pStyle w:val="NormalHanging12a"/>
      </w:pPr>
      <w:r w:rsidRPr="00595396">
        <w:t>17.</w:t>
      </w:r>
      <w:r w:rsidRPr="00595396">
        <w:tab/>
        <w:t>naroči svoji predsednici, naj to resolucijo posreduje Svetu in Komisiji.</w:t>
      </w:r>
      <w:bookmarkStart w:id="9" w:name="TextBodyEnd"/>
      <w:bookmarkEnd w:id="9"/>
    </w:p>
    <w:sectPr w:rsidR="00E365E1" w:rsidRPr="00595396" w:rsidSect="002D2D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CDD" w:rsidRPr="002D2D4E" w:rsidRDefault="00334CDD">
      <w:r w:rsidRPr="002D2D4E">
        <w:separator/>
      </w:r>
    </w:p>
  </w:endnote>
  <w:endnote w:type="continuationSeparator" w:id="0">
    <w:p w:rsidR="00334CDD" w:rsidRPr="002D2D4E" w:rsidRDefault="00334CDD">
      <w:r w:rsidRPr="002D2D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CDD" w:rsidRPr="002D2D4E" w:rsidRDefault="00334CDD">
      <w:r w:rsidRPr="002D2D4E">
        <w:separator/>
      </w:r>
    </w:p>
  </w:footnote>
  <w:footnote w:type="continuationSeparator" w:id="0">
    <w:p w:rsidR="00334CDD" w:rsidRPr="002D2D4E" w:rsidRDefault="00334CDD">
      <w:r w:rsidRPr="002D2D4E">
        <w:continuationSeparator/>
      </w:r>
    </w:p>
  </w:footnote>
  <w:footnote w:id="1">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UL L 328, 6.12.2008, str. 55.</w:t>
      </w:r>
    </w:p>
  </w:footnote>
  <w:footnote w:id="2">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UL C 425, 20.10.2021, str. 28.</w:t>
      </w:r>
    </w:p>
  </w:footnote>
  <w:footnote w:id="3">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UL C 117, 11.3.2022, str. 88.</w:t>
      </w:r>
    </w:p>
  </w:footnote>
  <w:footnote w:id="4">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UL C 363, 28.10.2020, str. 13.</w:t>
      </w:r>
    </w:p>
  </w:footnote>
  <w:footnote w:id="5">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Sodba Sodišča z dne 30. aprila 1996, P/S in Cornwall County Council, C-13/94, ECLI:EU:C:1996:170; sodba Sodišča z dne 7. januarja 2004, K.B./ National Health Service Pensions Agency and Secretary of State for Health, C-117/01, ECLI:EU:C:2004:7; sodba Sodišča z dne 27. aprila 2006, Sarah Margaret Richards/Secretary of State for Work and Pensions, C-423/04, ECLI:EU:C:2006:256; in sodba Sodišča z dne 26. junija 2018, M.B./ Secretary of State for Work and Pensions, C-451/16, ECLI:EU:C:2018:492.</w:t>
      </w:r>
    </w:p>
  </w:footnote>
  <w:footnote w:id="6">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Letni podatki o kaznivih dejanjih iz sovraštva, ki jih je objavil Urad OVSE za demokratične institucije in človekove pravice.</w:t>
      </w:r>
    </w:p>
  </w:footnote>
  <w:footnote w:id="7">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 xml:space="preserve">Glej na primer letno poročilo o dejavnostih ECRI za obdobje od 1. januarja do 31. decembra 2019, letno poročilo o dejavnostih ECRI za obdobje od 1. januarja do 31. decembra 2020 ter študijo, ki jo je naročil tematski sektor Evropskega parlamenta za pravice državljanov in ustavne zadeve, z naslovom </w:t>
      </w:r>
      <w:r w:rsidRPr="002D2D4E">
        <w:rPr>
          <w:i/>
          <w:iCs/>
          <w:sz w:val="24"/>
          <w:lang w:val="sl-SI"/>
        </w:rPr>
        <w:t>Hate speech and hate crime in the EU and the evaluation of online content regulation approaches</w:t>
      </w:r>
      <w:r w:rsidRPr="002D2D4E">
        <w:rPr>
          <w:sz w:val="24"/>
          <w:lang w:val="sl-SI"/>
        </w:rPr>
        <w:t xml:space="preserve"> (Sovražni govor in kazniva dejanja iz sovraštva v EU ter ocena pristopov k regulaciji spletnih vsebin), ki je bila objavljena julija 2020.</w:t>
      </w:r>
    </w:p>
  </w:footnote>
  <w:footnote w:id="8">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 xml:space="preserve">Lingaas, C., </w:t>
      </w:r>
      <w:hyperlink r:id="rId1" w:history="1">
        <w:r w:rsidRPr="002D2D4E">
          <w:rPr>
            <w:rStyle w:val="Hyperlink"/>
            <w:i/>
            <w:iCs/>
            <w:sz w:val="24"/>
            <w:lang w:val="sl-SI"/>
          </w:rPr>
          <w:t>Hate Speech and Racialised Discrimination of the Norwegian Sámi:</w:t>
        </w:r>
      </w:hyperlink>
      <w:hyperlink r:id="rId2" w:history="1">
        <w:r w:rsidRPr="002D2D4E">
          <w:rPr>
            <w:rStyle w:val="Hyperlink"/>
            <w:sz w:val="24"/>
            <w:lang w:val="sl-SI"/>
          </w:rPr>
          <w:t xml:space="preserve"> </w:t>
        </w:r>
        <w:r w:rsidRPr="002D2D4E">
          <w:rPr>
            <w:rStyle w:val="Hyperlink"/>
            <w:i/>
            <w:iCs/>
            <w:sz w:val="24"/>
            <w:lang w:val="sl-SI"/>
          </w:rPr>
          <w:t>Legal Responses and Responsibility</w:t>
        </w:r>
      </w:hyperlink>
      <w:r w:rsidRPr="002D2D4E">
        <w:rPr>
          <w:sz w:val="24"/>
          <w:lang w:val="sl-SI"/>
        </w:rPr>
        <w:t xml:space="preserve"> (Sovražni govor in rasna diskriminacija norveških Samijev: pravni odzivi in odgovornost), </w:t>
      </w:r>
      <w:r w:rsidRPr="002D2D4E">
        <w:rPr>
          <w:i/>
          <w:sz w:val="24"/>
          <w:lang w:val="sl-SI"/>
        </w:rPr>
        <w:t>Oslo Law Review</w:t>
      </w:r>
      <w:r w:rsidRPr="002D2D4E">
        <w:rPr>
          <w:sz w:val="24"/>
          <w:lang w:val="sl-SI"/>
        </w:rPr>
        <w:t xml:space="preserve">, zvezek 8, št. 2, 2021, str. 88–107. </w:t>
      </w:r>
    </w:p>
  </w:footnote>
  <w:footnote w:id="9">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 xml:space="preserve">Civil Rights Defenders, </w:t>
      </w:r>
      <w:hyperlink r:id="rId3" w:history="1">
        <w:r w:rsidRPr="002D2D4E">
          <w:rPr>
            <w:rStyle w:val="Hyperlink"/>
            <w:i/>
            <w:iCs/>
            <w:sz w:val="24"/>
            <w:lang w:val="sl-SI"/>
          </w:rPr>
          <w:t>Joint submission to the UN Universal Periodic Review of Sweden –35th Session of the UPR Working Group of the Human Rights Council – January 2020</w:t>
        </w:r>
      </w:hyperlink>
      <w:r w:rsidRPr="002D2D4E">
        <w:rPr>
          <w:sz w:val="24"/>
          <w:lang w:val="sl-SI"/>
        </w:rPr>
        <w:t xml:space="preserve"> (Skupni prispevek k splošnemu rednemu pregledu OZN o Švedski – 35. zasedanje delovne skupine za splošni redni pregled Sveta za človekove pravice – januar 2020), 2019.</w:t>
      </w:r>
    </w:p>
  </w:footnote>
  <w:footnote w:id="10">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 xml:space="preserve">ILGA Europe, </w:t>
      </w:r>
      <w:r w:rsidRPr="002D2D4E">
        <w:rPr>
          <w:i/>
          <w:iCs/>
          <w:sz w:val="24"/>
          <w:lang w:val="sl-SI"/>
        </w:rPr>
        <w:t>2023 Annual Review of the Human Rights Situation of Lesbian, Gay, Bisexual, Trans and Intersex People in Europe and Central Asia</w:t>
      </w:r>
      <w:r w:rsidRPr="002D2D4E">
        <w:rPr>
          <w:sz w:val="24"/>
          <w:lang w:val="sl-SI"/>
        </w:rPr>
        <w:t xml:space="preserve"> (Letni pregled človekovih pravic lezbijk, gejev, biseksualcev, transseksualcev in interseksualcev v Evropi in osrednji Aziji za leto 2023), februar 2023.</w:t>
      </w:r>
    </w:p>
  </w:footnote>
  <w:footnote w:id="11">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 xml:space="preserve">Agencija Evropske unije za temeljne pravice, </w:t>
      </w:r>
      <w:hyperlink r:id="rId4" w:history="1">
        <w:r w:rsidRPr="002D2D4E">
          <w:rPr>
            <w:rStyle w:val="Hyperlink"/>
            <w:i/>
            <w:iCs/>
            <w:sz w:val="24"/>
            <w:lang w:val="sl-SI"/>
          </w:rPr>
          <w:t>Encouraging hate crime reporting – The role of law enforcement and other authorities</w:t>
        </w:r>
      </w:hyperlink>
      <w:r w:rsidRPr="002D2D4E">
        <w:rPr>
          <w:sz w:val="24"/>
          <w:lang w:val="sl-SI"/>
        </w:rPr>
        <w:t xml:space="preserve"> (Spodbujanje k prijavljanju kaznivih dejanj iz sovraštva – vloga organov preprečevanja, odkrivanja in preiskovanja kaznivih dejanj in drugih organov), 2021.</w:t>
      </w:r>
    </w:p>
  </w:footnote>
  <w:footnote w:id="12">
    <w:p w:rsidR="00D76B06" w:rsidRPr="002D2D4E" w:rsidRDefault="00D76B06" w:rsidP="002D2D4E">
      <w:pPr>
        <w:pStyle w:val="FootnoteText"/>
        <w:ind w:left="567" w:hanging="567"/>
        <w:rPr>
          <w:sz w:val="24"/>
          <w:lang w:val="sl-SI"/>
        </w:rPr>
      </w:pPr>
      <w:r w:rsidRPr="002D2D4E">
        <w:rPr>
          <w:rStyle w:val="FootnoteReference"/>
          <w:sz w:val="24"/>
          <w:lang w:val="sl-SI"/>
        </w:rPr>
        <w:footnoteRef/>
      </w:r>
      <w:r w:rsidR="002D2D4E" w:rsidRPr="002D2D4E">
        <w:rPr>
          <w:sz w:val="24"/>
          <w:lang w:val="sl-SI"/>
        </w:rPr>
        <w:t xml:space="preserve"> </w:t>
      </w:r>
      <w:r w:rsidR="002D2D4E" w:rsidRPr="002D2D4E">
        <w:rPr>
          <w:sz w:val="24"/>
          <w:lang w:val="sl-SI"/>
        </w:rPr>
        <w:tab/>
      </w:r>
      <w:r w:rsidRPr="002D2D4E">
        <w:rPr>
          <w:sz w:val="24"/>
          <w:lang w:val="sl-SI"/>
        </w:rPr>
        <w:t>Uredba (EU) 2022/2065 Evropskega parlamenta in Sveta z dne 19. oktobra 2022 o enotnem trgu digitalnih storitev in spremembi Direktive 2000/31/ES (Akt o digitalnih storitvah) (UL L 277, 27.10.2022,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SL"/>
    <w:docVar w:name="dvnumam" w:val="0"/>
    <w:docVar w:name="dvpe" w:val="750.074"/>
    <w:docVar w:name="dvrapporteur" w:val="Poročevalka: "/>
    <w:docVar w:name="dvtitre" w:val="Resolucija Evropskega parlamenta z dne … 2023 o vključitvi sovražnega govora in kaznivih dejanj iz sovraštva na evropski seznam kaznivih dejanj(2023/2068(INI))"/>
  </w:docVars>
  <w:rsids>
    <w:rsidRoot w:val="00334CDD"/>
    <w:rsid w:val="00002272"/>
    <w:rsid w:val="00064002"/>
    <w:rsid w:val="000677B9"/>
    <w:rsid w:val="000831BA"/>
    <w:rsid w:val="000A42CC"/>
    <w:rsid w:val="000E7DD9"/>
    <w:rsid w:val="0010095E"/>
    <w:rsid w:val="00125B37"/>
    <w:rsid w:val="00187494"/>
    <w:rsid w:val="001F32AE"/>
    <w:rsid w:val="002767FF"/>
    <w:rsid w:val="002B18FE"/>
    <w:rsid w:val="002B5493"/>
    <w:rsid w:val="002D2D4E"/>
    <w:rsid w:val="00334CD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396"/>
    <w:rsid w:val="005C2568"/>
    <w:rsid w:val="006037C0"/>
    <w:rsid w:val="006631B6"/>
    <w:rsid w:val="00680577"/>
    <w:rsid w:val="006E043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0D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B0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74A86"/>
  <w15:chartTrackingRefBased/>
  <w15:docId w15:val="{F36F4961-82FD-4B3F-BF9C-E2C23A3B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6B06"/>
    <w:pPr>
      <w:spacing w:after="240"/>
      <w:ind w:left="567" w:hanging="567"/>
    </w:pPr>
  </w:style>
  <w:style w:type="paragraph" w:customStyle="1" w:styleId="EPComma">
    <w:name w:val="EPComma"/>
    <w:basedOn w:val="Normal"/>
    <w:rsid w:val="00D76B06"/>
    <w:pPr>
      <w:spacing w:before="480" w:after="240"/>
    </w:pPr>
  </w:style>
  <w:style w:type="character" w:customStyle="1" w:styleId="Italic">
    <w:name w:val="Italic"/>
    <w:uiPriority w:val="1"/>
    <w:rsid w:val="00D76B06"/>
    <w:rPr>
      <w:i/>
      <w:iCs w:val="0"/>
    </w:rPr>
  </w:style>
  <w:style w:type="character" w:customStyle="1" w:styleId="NormalHanging12aChar">
    <w:name w:val="NormalHanging12a Char"/>
    <w:basedOn w:val="DefaultParagraphFont"/>
    <w:link w:val="NormalHanging12a"/>
    <w:rsid w:val="00D76B06"/>
    <w:rPr>
      <w:sz w:val="24"/>
      <w:lang w:val="sl-SI"/>
    </w:rPr>
  </w:style>
  <w:style w:type="paragraph" w:customStyle="1" w:styleId="Normal12Hanging">
    <w:name w:val="Normal12Hanging"/>
    <w:basedOn w:val="Normal"/>
    <w:rsid w:val="00D76B06"/>
    <w:pPr>
      <w:spacing w:after="240"/>
      <w:ind w:left="567" w:hanging="567"/>
    </w:pPr>
  </w:style>
  <w:style w:type="character" w:styleId="Hyperlink">
    <w:name w:val="Hyperlink"/>
    <w:basedOn w:val="DefaultParagraphFont"/>
    <w:rsid w:val="00D76B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E7E3B-EED2-42B2-99DF-7E970D79E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3000</Words>
  <Characters>17762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2024-01-18T12:29:00Z</dcterms:created>
  <dcterms:modified xsi:type="dcterms:W3CDTF">2024-01-18T12:29:00Z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A9-0377/2023</vt:lpwstr>
  </property>
  <property fmtid="{D5CDD505-2E9C-101B-9397-08002B2CF9AE}" pid="4" name="&lt;Type&gt;">
    <vt:lpwstr>RR</vt:lpwstr>
  </property>
</Properties>
</file>