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E023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E023B" w:rsidRDefault="003A7BC0">
            <w:pPr>
              <w:pStyle w:val="EPName"/>
            </w:pPr>
            <w:r>
              <w:t>Európsky parlament</w:t>
            </w:r>
          </w:p>
          <w:p w:rsidR="00CE023B" w:rsidRDefault="003A7BC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E023B" w:rsidRDefault="003A7BC0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023B" w:rsidRDefault="00CE023B">
      <w:pPr>
        <w:pStyle w:val="LineTop"/>
      </w:pPr>
    </w:p>
    <w:p w:rsidR="00CE023B" w:rsidRDefault="003A7BC0">
      <w:pPr>
        <w:pStyle w:val="EPBodyTA1"/>
      </w:pPr>
      <w:r>
        <w:t>PRIJATÉ TEXTY</w:t>
      </w:r>
    </w:p>
    <w:p w:rsidR="00CE023B" w:rsidRDefault="00CE023B">
      <w:pPr>
        <w:pStyle w:val="LineBottom"/>
      </w:pPr>
    </w:p>
    <w:p w:rsidR="00CE023B" w:rsidRDefault="003A7BC0">
      <w:pPr>
        <w:pStyle w:val="ATHeading1"/>
      </w:pPr>
      <w:bookmarkStart w:id="0" w:name="TANumber"/>
      <w:r>
        <w:t>P9_TA(2024)0045</w:t>
      </w:r>
      <w:bookmarkEnd w:id="0"/>
    </w:p>
    <w:p w:rsidR="00CE023B" w:rsidRDefault="003A7BC0">
      <w:pPr>
        <w:pStyle w:val="ATHeading2"/>
      </w:pPr>
      <w:bookmarkStart w:id="1" w:name="title"/>
      <w:r>
        <w:t>Vykonávanie spoločnej rybárskej politiky a budúce perspektívy</w:t>
      </w:r>
      <w:bookmarkEnd w:id="1"/>
    </w:p>
    <w:p w:rsidR="00CE023B" w:rsidRDefault="003A7BC0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A9-0357/2023</w:instrText>
      </w:r>
      <w:bookmarkEnd w:id="2"/>
      <w:r>
        <w:rPr>
          <w:i/>
        </w:rPr>
        <w:instrText xml:space="preserve"> - Spravodajca: Gabriel Mato)"\l3 \n&gt; \* MERGEFORMAT </w:instrText>
      </w:r>
      <w:r>
        <w:rPr>
          <w:i/>
        </w:rPr>
        <w:fldChar w:fldCharType="end"/>
      </w:r>
    </w:p>
    <w:p w:rsidR="00CE023B" w:rsidRDefault="003A7BC0">
      <w:pPr>
        <w:rPr>
          <w:vanish/>
        </w:rPr>
      </w:pPr>
      <w:bookmarkStart w:id="3" w:name="Commission"/>
      <w:r>
        <w:rPr>
          <w:vanish/>
        </w:rPr>
        <w:t>Výbor pre rybárstvo</w:t>
      </w:r>
      <w:bookmarkEnd w:id="3"/>
    </w:p>
    <w:p w:rsidR="00CE023B" w:rsidRDefault="003A7BC0">
      <w:pPr>
        <w:rPr>
          <w:vanish/>
        </w:rPr>
      </w:pPr>
      <w:bookmarkStart w:id="4" w:name="PE"/>
      <w:r>
        <w:rPr>
          <w:vanish/>
        </w:rPr>
        <w:t>PE719.724</w:t>
      </w:r>
      <w:bookmarkEnd w:id="4"/>
    </w:p>
    <w:p w:rsidR="00CE023B" w:rsidRDefault="003A7BC0">
      <w:pPr>
        <w:pStyle w:val="ATHeading3"/>
      </w:pPr>
      <w:bookmarkStart w:id="5" w:name="Sujet"/>
      <w:r>
        <w:t xml:space="preserve">Uznesenie Európskeho </w:t>
      </w:r>
      <w:r>
        <w:t>parlamentu z 18. januára 2024 o súčasnom stave vykonávania spoločnej rybárskej politiky a budúcich perspektívach</w:t>
      </w:r>
      <w:bookmarkEnd w:id="5"/>
      <w:r>
        <w:t xml:space="preserve"> </w:t>
      </w:r>
      <w:bookmarkStart w:id="6" w:name="References"/>
      <w:r>
        <w:t>(2021/2169(INI))</w:t>
      </w:r>
      <w:bookmarkEnd w:id="6"/>
    </w:p>
    <w:p w:rsidR="00CE023B" w:rsidRDefault="003A7BC0">
      <w:pPr>
        <w:pStyle w:val="EPComma"/>
      </w:pPr>
      <w:bookmarkStart w:id="7" w:name="TextBodyBegin"/>
      <w:bookmarkEnd w:id="7"/>
      <w:r>
        <w:rPr>
          <w:rStyle w:val="Italic"/>
          <w:iCs/>
        </w:rPr>
        <w:t>Európsky parlament</w:t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 xml:space="preserve">so zreteľom na Zmluvu o fungovaní Európskej únie (ďalej len „ZFEÚ“), a najmä na jej články 3, 4, 5, 11, </w:t>
      </w:r>
      <w:r>
        <w:t>13, 38, 39, 43 a 349,</w:t>
      </w:r>
    </w:p>
    <w:p w:rsidR="00CE023B" w:rsidRDefault="003A7BC0">
      <w:pPr>
        <w:pStyle w:val="NormalHanging12a"/>
      </w:pPr>
      <w:r>
        <w:t>–</w:t>
      </w:r>
      <w:r>
        <w:tab/>
        <w:t>so zreteľom na nariadenie Európskeho parlamentu a Rady (EÚ) č. 1380/2013 z 11. decembra 2013 o spoločnej rybárskej politike (ďalej len „SRP“)</w:t>
      </w:r>
      <w:r>
        <w:rPr>
          <w:rStyle w:val="FootnoteReference"/>
        </w:rPr>
        <w:footnoteReference w:id="1"/>
      </w:r>
      <w:r>
        <w:t>,</w:t>
      </w:r>
    </w:p>
    <w:p w:rsidR="00CE023B" w:rsidRDefault="003A7BC0">
      <w:pPr>
        <w:pStyle w:val="NormalHanging12a"/>
        <w:rPr>
          <w:snapToGrid/>
          <w:szCs w:val="24"/>
        </w:rPr>
      </w:pPr>
      <w:r>
        <w:rPr>
          <w:snapToGrid/>
        </w:rPr>
        <w:t>–</w:t>
      </w:r>
      <w:r>
        <w:rPr>
          <w:snapToGrid/>
        </w:rPr>
        <w:tab/>
      </w:r>
      <w:r>
        <w:t>so zreteľom na smernicu Európskeho parlamentu a Rady 2014/89/EÚ z 23. júla 2014, ktoro</w:t>
      </w:r>
      <w:r>
        <w:t>u sa stanovuje rámec pre námorné priestorové plánovanie (smernica o námornom priestorovom plánovaní)</w:t>
      </w:r>
      <w:r>
        <w:rPr>
          <w:rStyle w:val="FootnoteReference"/>
          <w:snapToGrid/>
          <w:szCs w:val="24"/>
        </w:rPr>
        <w:footnoteReference w:id="2"/>
      </w:r>
      <w:r>
        <w:rPr>
          <w:snapToGrid/>
        </w:rPr>
        <w:t>,</w:t>
      </w:r>
    </w:p>
    <w:p w:rsidR="00CE023B" w:rsidRDefault="003A7BC0">
      <w:pPr>
        <w:pStyle w:val="NormalHanging12a"/>
      </w:pPr>
      <w:r>
        <w:t>–</w:t>
      </w:r>
      <w:r>
        <w:tab/>
        <w:t xml:space="preserve">so zreteľom na svoje uznesenie z 22. novembra 2012 o maloobjemovom pobrežnom rybolove, drobnom rybolove a reforme spoločnej politiky rybného </w:t>
      </w:r>
      <w:r>
        <w:t>hospodárstva</w:t>
      </w:r>
      <w:r>
        <w:rPr>
          <w:rStyle w:val="FootnoteReference"/>
          <w:szCs w:val="24"/>
        </w:rPr>
        <w:footnoteReference w:id="3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na svoje uznesenie z 21. januára 2021 o téme Viac rýb v moriach? Opatrenia na podporu obnovy populácií nad úrovňou maximálneho udržateľného výnosu (MSY) vrátane oblastí obnovy rýb a chránených morských oblastí</w:t>
      </w:r>
      <w:r>
        <w:rPr>
          <w:rStyle w:val="FootnoteReference"/>
        </w:rPr>
        <w:footnoteReference w:id="4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</w:t>
      </w:r>
      <w:r>
        <w:t>a svoje uznesenie z 18. mája 2021 o zabezpečení plnenia cieľov týkajúcich sa povinnosti vylodiť úlovky podľa článku 15 spoločnej rybárskej politiky</w:t>
      </w:r>
      <w:r>
        <w:rPr>
          <w:rStyle w:val="FootnoteReference"/>
        </w:rPr>
        <w:footnoteReference w:id="5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na svoje uznesenie z 9. júna 2021 o stratégii EÚ v oblasti biodiverzity do roku 2030: Prinav</w:t>
      </w:r>
      <w:r>
        <w:t>rátenie prírody do našich životov</w:t>
      </w:r>
      <w:r>
        <w:rPr>
          <w:rStyle w:val="FootnoteReference"/>
        </w:rPr>
        <w:footnoteReference w:id="6"/>
      </w:r>
      <w:r>
        <w:t>,</w:t>
      </w:r>
    </w:p>
    <w:p w:rsidR="00CE023B" w:rsidRDefault="003A7BC0">
      <w:pPr>
        <w:pStyle w:val="NormalHanging12a"/>
      </w:pPr>
      <w:r>
        <w:lastRenderedPageBreak/>
        <w:t>–</w:t>
      </w:r>
      <w:r>
        <w:tab/>
        <w:t>so zreteľom na svoje uznesenie zo 16. septembra 2021 o budúcich rybároch: ako pritiahnuť novú generáciu pracovníkov k odvetviu rybárstva a vytvárať pracovné miesta v pobrežných komunitách</w:t>
      </w:r>
      <w:r>
        <w:rPr>
          <w:rStyle w:val="FootnoteReference"/>
        </w:rPr>
        <w:footnoteReference w:id="7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na svoje uznes</w:t>
      </w:r>
      <w:r>
        <w:t>enie z 20. októbra 2021 o stratégii Z farmy na stôl v záujme spravodlivého, zdravého potravinového systému šetrného k životnému prostrediu</w:t>
      </w:r>
      <w:r>
        <w:rPr>
          <w:rStyle w:val="FootnoteReference"/>
        </w:rPr>
        <w:footnoteReference w:id="8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na svoje uznesenie z 5. apríla 2022 o budúcnosti rybolovu v Lamanšskom prielive, Severnom mori, Írsko</w:t>
      </w:r>
      <w:r>
        <w:t>m mori a Atlantickom oceáne vzhľadom na vystúpenie Spojeného kráľovstva z EÚ</w:t>
      </w:r>
      <w:r>
        <w:rPr>
          <w:rStyle w:val="FootnoteReference"/>
        </w:rPr>
        <w:footnoteReference w:id="9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na svoje uznesenie zo 7. júna 2022 o vykonávaní článku 17 nariadenia o spoločnej rybárskej politike</w:t>
      </w:r>
      <w:r>
        <w:rPr>
          <w:rStyle w:val="FootnoteReference"/>
        </w:rPr>
        <w:footnoteReference w:id="10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 xml:space="preserve">so zreteľom na svoje uznesenie z 19. januára 2023 </w:t>
      </w:r>
      <w:r>
        <w:t>o situácii v oblasti maloobjemového rybolovu v EÚ a o vyhliadkach do budúcnosti</w:t>
      </w:r>
      <w:r>
        <w:rPr>
          <w:rStyle w:val="FootnoteReference"/>
        </w:rPr>
        <w:footnoteReference w:id="11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>so zreteľom na uznesenie Rady z 3. novembra 1976 o určitých vonkajších aspektoch vytvorenia 200 míľ dlhej rybolovnej zóny v Spoločenstve s účinnosťou od 1. januára 1977</w:t>
      </w:r>
      <w:r>
        <w:rPr>
          <w:rStyle w:val="FootnoteReference"/>
        </w:rPr>
        <w:footnoteReference w:id="12"/>
      </w:r>
      <w:r>
        <w:t xml:space="preserve"> (t</w:t>
      </w:r>
      <w:r>
        <w:t>zv. Haagska rezolúcia z roku 1976), a najmä na jej prílohu VII,</w:t>
      </w:r>
    </w:p>
    <w:p w:rsidR="00CE023B" w:rsidRDefault="003A7BC0">
      <w:pPr>
        <w:pStyle w:val="NormalHanging12a"/>
      </w:pPr>
      <w:r>
        <w:t>–</w:t>
      </w:r>
      <w:r>
        <w:tab/>
        <w:t>so zreteľom na oznámenie Komisie z 10. októbra 2007 s názvom Integrovaná námorná politika Európskej únie (COM(2007)0575),</w:t>
      </w:r>
    </w:p>
    <w:p w:rsidR="00CE023B" w:rsidRDefault="003A7BC0">
      <w:pPr>
        <w:pStyle w:val="NormalHanging12a"/>
        <w:rPr>
          <w:b/>
          <w:i/>
        </w:rPr>
      </w:pPr>
      <w:r>
        <w:t>–</w:t>
      </w:r>
      <w:r>
        <w:rPr>
          <w:b/>
          <w:i/>
        </w:rPr>
        <w:tab/>
      </w:r>
      <w:r>
        <w:t>so zreteľom na oznámenie Komisie z 20. mája 2020 s názvom Stratégi</w:t>
      </w:r>
      <w:r>
        <w:t>a EÚ v oblasti biodiverzity do roku 2030: prinavrátenie prírody do našich životov (COM(2020)0380),</w:t>
      </w:r>
    </w:p>
    <w:p w:rsidR="00CE023B" w:rsidRDefault="003A7BC0">
      <w:pPr>
        <w:pStyle w:val="NormalHanging12a"/>
      </w:pPr>
      <w:r>
        <w:t>–</w:t>
      </w:r>
      <w:r>
        <w:tab/>
        <w:t>so zreteľom na oznámenie Komisie z 21. februára 2023 s názvom Súčasnosť a budúcnosť spoločnej rybárskej politiky: pakt o rybárstve a oceánoch v záujme udrž</w:t>
      </w:r>
      <w:r>
        <w:t>ateľného, inovatívneho a inkluzívneho riadenia rybárstva založeného na vede (COM(2023)0103),</w:t>
      </w:r>
    </w:p>
    <w:p w:rsidR="00CE023B" w:rsidRDefault="003A7BC0">
      <w:pPr>
        <w:pStyle w:val="NormalHanging12a"/>
      </w:pPr>
      <w:r>
        <w:t>–</w:t>
      </w:r>
      <w:r>
        <w:tab/>
        <w:t>so zreteľom na správu Vedeckého, technického a hospodárskeho výboru pre rybárstvo (ďalej len „STECF“) z 26. septembra 2019 s názvom Sociálne údaje v rybárskom se</w:t>
      </w:r>
      <w:r>
        <w:t>ktore EÚ (STECF 19-03),</w:t>
      </w:r>
    </w:p>
    <w:p w:rsidR="00CE023B" w:rsidRDefault="003A7BC0">
      <w:pPr>
        <w:pStyle w:val="NormalHanging12a"/>
      </w:pPr>
      <w:r>
        <w:t>–</w:t>
      </w:r>
      <w:r>
        <w:tab/>
        <w:t>so zreteľom na správu STECF z 10. decembra 2020 s názvom Sociálny rozmer spoločnej rybárskej politiky (STECF 20-14),</w:t>
      </w:r>
    </w:p>
    <w:p w:rsidR="00CE023B" w:rsidRDefault="003A7BC0">
      <w:pPr>
        <w:pStyle w:val="NormalHanging12a"/>
      </w:pPr>
      <w:r>
        <w:t>–</w:t>
      </w:r>
      <w:r>
        <w:tab/>
        <w:t>so zreteľom na štúdiu z júla 2021 vypracovanú pre Výbor pre rybárstvo s názvom Vplyv pandémie COVID-19 na rybol</w:t>
      </w:r>
      <w:r>
        <w:t>ov a akvakultúru EÚ,</w:t>
      </w:r>
    </w:p>
    <w:p w:rsidR="00CE023B" w:rsidRDefault="003A7BC0">
      <w:pPr>
        <w:pStyle w:val="NormalHanging12a"/>
      </w:pPr>
      <w:r>
        <w:t>–</w:t>
      </w:r>
      <w:r>
        <w:tab/>
        <w:t>so zreteľom na správu STECF z 8. decembra 2021 s názvom Výročná hospodárska správa o rybárskej flotile EÚ za rok 2021 (STECF 21-08),</w:t>
      </w:r>
    </w:p>
    <w:p w:rsidR="00CE023B" w:rsidRDefault="003A7BC0">
      <w:pPr>
        <w:pStyle w:val="NormalHanging12a"/>
      </w:pPr>
      <w:r>
        <w:lastRenderedPageBreak/>
        <w:t>–</w:t>
      </w:r>
      <w:r>
        <w:tab/>
        <w:t>so zreteľom na dokument o námornom hospodárstve č. 8/2020 z 9. marca 2021 s názvom Rybárska flotil</w:t>
      </w:r>
      <w:r>
        <w:t>a EÚ 2020: trendy a hospodárske výsledky, ktorý vypracovalo Generálne riaditeľstvo Komisie pre námorné záležitosti a rybárstvo,</w:t>
      </w:r>
    </w:p>
    <w:p w:rsidR="00CE023B" w:rsidRDefault="003A7BC0">
      <w:pPr>
        <w:pStyle w:val="NormalHanging12a"/>
      </w:pPr>
      <w:r>
        <w:t>–</w:t>
      </w:r>
      <w:r>
        <w:tab/>
        <w:t xml:space="preserve">so zreteľom na správu Výkonnej agentúry Európskej komisie pre klímu, infraštruktúru a životné prostredie zo 7. októbra 2022 s </w:t>
      </w:r>
      <w:r>
        <w:t>názvom Zmena klímy a spoločná rybárska politika</w:t>
      </w:r>
      <w:r>
        <w:rPr>
          <w:rStyle w:val="FootnoteReference"/>
        </w:rPr>
        <w:footnoteReference w:id="13"/>
      </w:r>
      <w:r>
        <w:t>,</w:t>
      </w:r>
    </w:p>
    <w:p w:rsidR="00CE023B" w:rsidRDefault="003A7BC0">
      <w:pPr>
        <w:pStyle w:val="NormalHanging12a"/>
      </w:pPr>
      <w:r>
        <w:t>–</w:t>
      </w:r>
      <w:r>
        <w:tab/>
        <w:t xml:space="preserve">so zreteľom na správu Svetovej banky z roku 2017 s názvom </w:t>
      </w:r>
      <w:r>
        <w:rPr>
          <w:i/>
          <w:iCs/>
        </w:rPr>
        <w:t>The Sunken Billions Revisited - Progress and Challenges in Global Marine Fisheries</w:t>
      </w:r>
      <w:r>
        <w:t xml:space="preserve"> (Utopené miliardy ešte raz: pokrok a problémy svetového morskéh</w:t>
      </w:r>
      <w:r>
        <w:t>o rybolovu),</w:t>
      </w:r>
    </w:p>
    <w:p w:rsidR="00CE023B" w:rsidRDefault="003A7BC0">
      <w:pPr>
        <w:pStyle w:val="NormalHanging12a"/>
      </w:pPr>
      <w:r>
        <w:t>–</w:t>
      </w:r>
      <w:r>
        <w:tab/>
        <w:t>so zreteľom na stanovisko galícijskej rady pre rybárstvo z 8. februára 2022 k preskúmaniu spoločnej rybárskej politiky,</w:t>
      </w:r>
    </w:p>
    <w:p w:rsidR="00CE023B" w:rsidRDefault="003A7BC0">
      <w:pPr>
        <w:pStyle w:val="NormalHanging12a"/>
      </w:pPr>
      <w:r>
        <w:t>–</w:t>
      </w:r>
      <w:r>
        <w:tab/>
        <w:t>so zreteľom na článok 54 rokovacieho poriadku,</w:t>
      </w:r>
    </w:p>
    <w:p w:rsidR="00CE023B" w:rsidRDefault="003A7BC0">
      <w:pPr>
        <w:pStyle w:val="NormalHanging12a"/>
      </w:pPr>
      <w:r>
        <w:t>–</w:t>
      </w:r>
      <w:r>
        <w:tab/>
        <w:t>so zreteľom na správu Výboru pre rybárstvo (A9-0357/2023),</w:t>
      </w:r>
    </w:p>
    <w:p w:rsidR="00CE023B" w:rsidRDefault="003A7BC0">
      <w:pPr>
        <w:pStyle w:val="NormalHanging12a"/>
      </w:pPr>
      <w:r>
        <w:t>A.</w:t>
      </w:r>
      <w:r>
        <w:tab/>
        <w:t>keďže Eu</w:t>
      </w:r>
      <w:r>
        <w:t>rópsky parlament sa už vyjadril k viacerým špecifikám SRP, táto správa vychádza z predchádzajúcich sektorových správ a je všeobecným politickým posúdením fungovania SRP, ako aj úvahou o budúcich plánoch, pričom sa zameriava najmä na ochranu živých morských</w:t>
      </w:r>
      <w:r>
        <w:t xml:space="preserve"> zdrojov a riadenie rybárstva podľa SRP;</w:t>
      </w:r>
    </w:p>
    <w:p w:rsidR="00CE023B" w:rsidRDefault="003A7BC0">
      <w:pPr>
        <w:pStyle w:val="NormalHanging12a"/>
      </w:pPr>
      <w:r>
        <w:t>B.</w:t>
      </w:r>
      <w:r>
        <w:tab/>
        <w:t xml:space="preserve">keďže v článku 39 ZFEÚ sa vyžaduje, aby SRP vo všetkých svojich oblastiach, no zvlášť pokiaľ ide o ochranu morských biologických zdrojov, zabezpečovala, okrem iného, primeranú životnú úroveň zástupcom rybárskych </w:t>
      </w:r>
      <w:r>
        <w:t>komunít a zároveň zaručovala dostupnosť zásob (potravinová bezpečnosť); keďže aj v článku 11 ZFEÚ sa stanovuje, že požiadavky ochrany životného prostredia musia byť začlenené do vymedzenia a uskutočňovania politík Únie a činností, a to predovšetkým s ohľad</w:t>
      </w:r>
      <w:r>
        <w:t>om na podporu trvalo udržateľného rozvoja;</w:t>
      </w:r>
    </w:p>
    <w:p w:rsidR="00CE023B" w:rsidRDefault="003A7BC0">
      <w:pPr>
        <w:pStyle w:val="NormalHanging12a"/>
      </w:pPr>
      <w:r>
        <w:t>C.</w:t>
      </w:r>
      <w:r>
        <w:tab/>
        <w:t>keďže zámerom SRP je zabezpečiť, „aby činnosti v odvetviach rybolovu a akvakultúry boli z environmentálneho hľadiska dlhodobo udržateľné a aby boli riadené spôsobom, ktorý je v súlade s cieľmi dosahovania príno</w:t>
      </w:r>
      <w:r>
        <w:t>sov v ekonomickej, sociálnej oblasti a v oblasti zamestnanosti“; keďže SRP zahŕňa aj cieľ prispievať k „dostupnosti dodávok potravín“ a spomína aj ciele uplatňovať „ekosystémový prístup k riadeniu rybárstva, aby sa minimalizoval negatívny vplyv rybolovných</w:t>
      </w:r>
      <w:r>
        <w:t xml:space="preserve"> činností na morský ekosystém“, „prispievať k primeranej životnej úrovni tých, ktorí sú závislí od rybolovných činností, pamätajúc pritom na pobrežný rybolov a socio-ekonomické aspekty“ a presadzovať „pobrežné rybolovné činnosti s prihliadnutím na socio-ek</w:t>
      </w:r>
      <w:r>
        <w:t>onomické aspekty“;</w:t>
      </w:r>
    </w:p>
    <w:p w:rsidR="00CE023B" w:rsidRDefault="003A7BC0">
      <w:pPr>
        <w:pStyle w:val="NormalHanging12a"/>
      </w:pPr>
      <w:r>
        <w:lastRenderedPageBreak/>
        <w:t>D.</w:t>
      </w:r>
      <w:r>
        <w:tab/>
        <w:t>keďže dosiahnutie ochrany lovených populácií a environmentálnych cieľov SRP by samé osebe nestačilo na to, aby bolo možné konštatovať, že SRP je úspešná;</w:t>
      </w:r>
    </w:p>
    <w:p w:rsidR="00CE023B" w:rsidRDefault="003A7BC0">
      <w:pPr>
        <w:pStyle w:val="NormalHanging12a"/>
      </w:pPr>
      <w:r>
        <w:t>E.</w:t>
      </w:r>
      <w:r>
        <w:tab/>
        <w:t>keďže je vhodné zachovať rovnováhu medzi tromi piliermi udržateľnosti a zárov</w:t>
      </w:r>
      <w:r>
        <w:t>eň riešiť nedostatky v sociálnom rozmere SRP;</w:t>
      </w:r>
    </w:p>
    <w:p w:rsidR="00CE023B" w:rsidRDefault="003A7BC0">
      <w:pPr>
        <w:pStyle w:val="NormalHanging12a"/>
      </w:pPr>
      <w:r>
        <w:t>F.</w:t>
      </w:r>
      <w:r>
        <w:tab/>
        <w:t>keďže úlohou SRP je prispievať aj k dodávkam udržateľných potravín na trh EÚ a k znižovaniu jeho závislosti od dovozu potravín;</w:t>
      </w:r>
    </w:p>
    <w:p w:rsidR="00CE023B" w:rsidRDefault="003A7BC0">
      <w:pPr>
        <w:pStyle w:val="NormalHanging12a"/>
      </w:pPr>
      <w:r>
        <w:t>G.</w:t>
      </w:r>
      <w:r>
        <w:tab/>
        <w:t xml:space="preserve">keďže potravinová bezpečnosť je jedným z cieľov udržateľného rozvoja; keďže </w:t>
      </w:r>
      <w:r>
        <w:t>rybie bielkoviny majú mimoriadnu strategickú hodnotu a sú neoddeliteľnou súčasťou potravinovej bezpečnosti; keďže rybolov patrí medzi systémy s najnižším vplyvom na produkciu živočíšnych bielkovín;</w:t>
      </w:r>
    </w:p>
    <w:p w:rsidR="00CE023B" w:rsidRDefault="003A7BC0">
      <w:pPr>
        <w:pStyle w:val="NormalHanging12a"/>
      </w:pPr>
      <w:r>
        <w:t>H.</w:t>
      </w:r>
      <w:r>
        <w:tab/>
        <w:t>keďže Komisia označila potrebu získavať viac potravín z</w:t>
      </w:r>
      <w:r>
        <w:t xml:space="preserve"> oceánov za strategický cieľ; keďže v správe vedeckej skupiny na vysokej úrovni z roku 2017, ktorú vymenoval vtedajší komisár Karmenu Vella, sa odporúča „zohľadniť paradigmu zodpovednej kultúry „potraviny z oceánov“ a začleniť ju do všeobecných politických</w:t>
      </w:r>
      <w:r>
        <w:t xml:space="preserve"> programov tak na úrovni EÚ, ako aj na globálnej úrovni;</w:t>
      </w:r>
    </w:p>
    <w:p w:rsidR="00CE023B" w:rsidRDefault="003A7BC0">
      <w:pPr>
        <w:pStyle w:val="NormalHanging12a"/>
      </w:pPr>
      <w:r>
        <w:t>I.</w:t>
      </w:r>
      <w:r>
        <w:tab/>
        <w:t>keďže rybárstvo EÚ je strategickým odvetvím Únie, ktoré vytvára značný počet priamych a nepriamych pracovných miest v rybolovných a pobrežných oblastiach, pomáha pri zaisťovaní potravinovej bezpeč</w:t>
      </w:r>
      <w:r>
        <w:t>nosti a zachováva udržateľné hospodárstvo tým, že zamestnanosť a živobytie ľudí viaže na danú oblasť, a tým pomáha udržiavať kultúrne tradície;</w:t>
      </w:r>
    </w:p>
    <w:p w:rsidR="00CE023B" w:rsidRDefault="003A7BC0">
      <w:pPr>
        <w:pStyle w:val="NormalHanging12a"/>
      </w:pPr>
      <w:r>
        <w:t>J.</w:t>
      </w:r>
      <w:r>
        <w:tab/>
        <w:t>keďže rybolov vytvára pracovné miesta na mori aj na súši; keďže niektoré regióny závisia od vylodení v miestn</w:t>
      </w:r>
      <w:r>
        <w:t>ych prístavoch, ak chcú zaistiť životaschopnosť mnohých podnikov a zachovať živé pobrežné komunity;</w:t>
      </w:r>
    </w:p>
    <w:p w:rsidR="00CE023B" w:rsidRDefault="003A7BC0">
      <w:pPr>
        <w:pStyle w:val="NormalHanging12a"/>
      </w:pPr>
      <w:r>
        <w:t>K.</w:t>
      </w:r>
      <w:r>
        <w:tab/>
        <w:t>keďže výrobcovia potravín z vodných živočíchov a všetky súvisiace odvetvia zohrávajú kľúčovú úlohu pre spoločnosť a komunity, ktoré z nich žijú;</w:t>
      </w:r>
    </w:p>
    <w:p w:rsidR="00CE023B" w:rsidRDefault="003A7BC0">
      <w:pPr>
        <w:pStyle w:val="NormalHanging12a"/>
      </w:pPr>
      <w:r>
        <w:t>L.</w:t>
      </w:r>
      <w:r>
        <w:tab/>
        <w:t>keďže</w:t>
      </w:r>
      <w:r>
        <w:t xml:space="preserve"> rybolov je nenahraditeľným prínosom k potravinovej bezpečnosti EÚ;</w:t>
      </w:r>
    </w:p>
    <w:p w:rsidR="00CE023B" w:rsidRDefault="003A7BC0">
      <w:pPr>
        <w:pStyle w:val="NormalHanging12a"/>
      </w:pPr>
      <w:r>
        <w:t>M.</w:t>
      </w:r>
      <w:r>
        <w:tab/>
        <w:t>keďže ciele zabezpečiť dodávky potravín z rybárstva EÚ a zaručiť primeranú životnú úroveň by mali zohrávať významnejšiu úlohu v rozhodovacom procese;</w:t>
      </w:r>
    </w:p>
    <w:p w:rsidR="00CE023B" w:rsidRDefault="003A7BC0">
      <w:pPr>
        <w:pStyle w:val="NormalHanging12a"/>
      </w:pPr>
      <w:r>
        <w:t>N.</w:t>
      </w:r>
      <w:r>
        <w:tab/>
        <w:t>keďže zdravé európske odvetvie r</w:t>
      </w:r>
      <w:r>
        <w:t>ybárstva je nevyhnutné na zníženie závislosti od dodávky potravín do EÚ z tretích krajín, ako je Čína;</w:t>
      </w:r>
    </w:p>
    <w:p w:rsidR="00CE023B" w:rsidRDefault="003A7BC0">
      <w:pPr>
        <w:pStyle w:val="NormalHanging12a"/>
      </w:pPr>
      <w:r>
        <w:t>O.</w:t>
      </w:r>
      <w:r>
        <w:tab/>
        <w:t>keďže oceán sa v medzinárodných rokovaniach pod záštitou Organizácie Spojených národov musí uznávať za spoločný statok ľudstva;</w:t>
      </w:r>
    </w:p>
    <w:p w:rsidR="00CE023B" w:rsidRDefault="003A7BC0">
      <w:pPr>
        <w:pStyle w:val="NormalHanging12a"/>
      </w:pPr>
      <w:r>
        <w:t>P.</w:t>
      </w:r>
      <w:r>
        <w:tab/>
        <w:t>keďže EÚ by mala pr</w:t>
      </w:r>
      <w:r>
        <w:t>esadzovať ciele SRP na medzinárodnej úrovni, vytvárať rovnaké podmienky a spolupracovať s tretími krajinami a medzinárodnými organizáciami s cieľom zlepšiť dodržiavanie medzinárodných pravidiel, vrátane opatrení v boji proti nezákonnému, nenahlásenému a ne</w:t>
      </w:r>
      <w:r>
        <w:t>regulovanému rybolovu, a to na základe najlepších dostupných vedeckých poznatkov;</w:t>
      </w:r>
    </w:p>
    <w:p w:rsidR="00CE023B" w:rsidRDefault="003A7BC0">
      <w:pPr>
        <w:pStyle w:val="NormalHanging12a"/>
      </w:pPr>
      <w:r>
        <w:t>Q.</w:t>
      </w:r>
      <w:r>
        <w:tab/>
        <w:t xml:space="preserve">keďže treba zvoliť takú politiku riadenia rybolovných zdrojov, ktorá rešpektuje kolektívny prístup k rybolovným zdrojom, je založená primárne na ich biologických </w:t>
      </w:r>
      <w:r>
        <w:lastRenderedPageBreak/>
        <w:t>aspektoch</w:t>
      </w:r>
      <w:r>
        <w:t xml:space="preserve"> a funguje ako systém spoločného riadenia rybárstva, ktorý zohľadňuje osobitné podmienky rybolovných zdrojov a príslušných morských oblastí s efektívnym zapojením ľudí pracujúcich v tomto odvetví;</w:t>
      </w:r>
    </w:p>
    <w:p w:rsidR="00CE023B" w:rsidRDefault="003A7BC0">
      <w:pPr>
        <w:pStyle w:val="NormalHanging12a"/>
      </w:pPr>
      <w:r>
        <w:t>R.</w:t>
      </w:r>
      <w:r>
        <w:tab/>
        <w:t>keďže Komisia vo svojom oznámení s názvom Súčasnosť a bu</w:t>
      </w:r>
      <w:r>
        <w:t>dúcnosť spoločnej rybárskej politiky: pakt o rybárstve a oceánoch v záujme udržateľného, inovatívneho a inkluzívneho riadenia rybárstva založeného na vede navrhuje skôr zlepšiť vykonávanie SRP, než túto politiku revidovať;</w:t>
      </w:r>
    </w:p>
    <w:p w:rsidR="00CE023B" w:rsidRDefault="003A7BC0">
      <w:pPr>
        <w:pStyle w:val="NormalHanging12a"/>
      </w:pPr>
      <w:r>
        <w:t>S.</w:t>
      </w:r>
      <w:r>
        <w:tab/>
        <w:t>keďže od roku 2016 už Európsky</w:t>
      </w:r>
      <w:r>
        <w:t xml:space="preserve"> parlament a Rada pri prijímaní regionálnych viacročných plánov vyžadujú, aby sa úrovne rybolovnej úmrtnosti založené na maximálnych udržateľných výnosoch používali len v prípade hlavných cieľových populácií; keďže tieto plány poskytujú aj istú nevyhnutnú </w:t>
      </w:r>
      <w:r>
        <w:t>dodatočnú flexibilitu pri referenčných úrovniach úmrtnosti, konkrétne s úmyslom zohľadniť vzájomný vzťah medzi populáciami a rybolovom (účinky tzv. blokačných druhov); keďže vo viacročnom pláne pre západné Stredozemie sa zákonodarca rozhodol posunúť lehotu</w:t>
      </w:r>
      <w:r>
        <w:t xml:space="preserve"> na uplatňovanie úrovní rybolovnej úmrtnosti založenej na maximálnych udržateľných výnosoch na rok 2025;</w:t>
      </w:r>
    </w:p>
    <w:p w:rsidR="00CE023B" w:rsidRDefault="003A7BC0">
      <w:pPr>
        <w:pStyle w:val="NormalHanging12a"/>
      </w:pPr>
      <w:r>
        <w:t>T.</w:t>
      </w:r>
      <w:r>
        <w:tab/>
        <w:t>keďže vedci uznávajú, že dosiahnutie maximálneho udržateľného výnosu u všetkých populácií súčasne je prakticky nemožné;</w:t>
      </w:r>
    </w:p>
    <w:p w:rsidR="00CE023B" w:rsidRDefault="003A7BC0">
      <w:pPr>
        <w:pStyle w:val="NormalHanging12a"/>
      </w:pPr>
      <w:r>
        <w:t>U.</w:t>
      </w:r>
      <w:r>
        <w:tab/>
        <w:t>keďže zdravotný stav popu</w:t>
      </w:r>
      <w:r>
        <w:t>lácií rýb sa v jednotlivých vodách EÚ líši;</w:t>
      </w:r>
    </w:p>
    <w:p w:rsidR="00CE023B" w:rsidRDefault="003A7BC0">
      <w:pPr>
        <w:pStyle w:val="NormalHanging12a"/>
      </w:pPr>
      <w:r>
        <w:t>V.</w:t>
      </w:r>
      <w:r>
        <w:tab/>
        <w:t>keďže opatrenia na riadenie rybárstva prijaté v rámci SRP prinášajú výsledky, pretože počet populácií rýb využívaných na udržateľnej úrovni sa zvyšuje, čím sa umožňuje dosahovanie vyšších výnosov v prípade pop</w:t>
      </w:r>
      <w:r>
        <w:t>ulácií, ktoré boli využívané nadmerne;</w:t>
      </w:r>
    </w:p>
    <w:p w:rsidR="00CE023B" w:rsidRDefault="003A7BC0">
      <w:pPr>
        <w:pStyle w:val="NormalHanging12a"/>
      </w:pPr>
      <w:r>
        <w:t>W.</w:t>
      </w:r>
      <w:r>
        <w:tab/>
        <w:t>keďže EÚ nedodržala konečný termín na dosiahnutie miery využívania maximálneho udržateľného výnosu u všetkých populácií rýb do roku 2020; keďže sa ale na druhej strane dosiahol značný pokrok pri plnení cieľa maximá</w:t>
      </w:r>
      <w:r>
        <w:t>lneho udržateľného výnosu, a to najmä v severovýchodnom Atlantiku a Baltskom mori, kde bolo 99 % vylodení v roku 2020, ktoré riadi výlučne EÚ a pre ktoré boli k dispozícii vedecké odporúčania, v súlade s „udržateľným riadením populácií“;</w:t>
      </w:r>
    </w:p>
    <w:p w:rsidR="00CE023B" w:rsidRDefault="003A7BC0">
      <w:pPr>
        <w:pStyle w:val="NormalHanging12a"/>
      </w:pPr>
      <w:r>
        <w:t>X.</w:t>
      </w:r>
      <w:r>
        <w:tab/>
        <w:t>keďže EÚ sa zav</w:t>
      </w:r>
      <w:r>
        <w:t>iazala plniť Agendu OSN 2030, ktorá zahŕňa cieľ udržateľného rozvoja č. 14 „zachovať a udržateľne využívať oceány, moria a morské zdroje na účely udržateľného rozvoja“;</w:t>
      </w:r>
    </w:p>
    <w:p w:rsidR="00CE023B" w:rsidRDefault="003A7BC0">
      <w:pPr>
        <w:pStyle w:val="NormalHanging12a"/>
      </w:pPr>
      <w:r>
        <w:t>Y.</w:t>
      </w:r>
      <w:r>
        <w:tab/>
        <w:t>keďže preskúmanie SRP z roku 2013 viedlo k zásadnej zmene paradigmy po desaťročia ri</w:t>
      </w:r>
      <w:r>
        <w:t>adeného rybárstva, keď sa začalo vyžadovať, aby všetky úlovky, najmä úlovky druhov mimo kvót alebo rýb nedosahujúcich predpísanú veľkosť, boli ponechané na palube plavidiel a vylodené; keďže sa však zdá, že tento nástroj, ktorý bol navrhnutý tak, aby prisp</w:t>
      </w:r>
      <w:r>
        <w:t>el k realizácii cieľa postupného odstránenia odhadzovania nechcených úlovkov v rybolove, sa sám osebe stal cieľom;</w:t>
      </w:r>
    </w:p>
    <w:p w:rsidR="00CE023B" w:rsidRDefault="003A7BC0">
      <w:pPr>
        <w:pStyle w:val="NormalHanging12a"/>
      </w:pPr>
      <w:r>
        <w:t>Z.</w:t>
      </w:r>
      <w:r>
        <w:tab/>
        <w:t>keďže povinnosť vylodiť úlovky spôsobuje, že mnohé viacdruhové rybárstva sú nerentabilné, najmä preto, že rybári musia na palube triediť a</w:t>
      </w:r>
      <w:r>
        <w:t xml:space="preserve"> skladovať ryby s nízkou alebo nepredajnou hodnotou, čo znamená viac práce, menej času na odpočinok a menej skladovacích priestorov na palube; keďže povinnosť vylodiť úlovky môže viesť aj k nedostatočnému využívaniu oprávnených rybolovných možností u niekt</w:t>
      </w:r>
      <w:r>
        <w:t xml:space="preserve">orých populácií </w:t>
      </w:r>
      <w:r>
        <w:lastRenderedPageBreak/>
        <w:t>rýb, pretože plavidlá musia po vyčerpaní svojej kvóty pre jednu populáciu (tzv. blokačné druhy) zastaviť všetky rybolovné činnosti;</w:t>
      </w:r>
    </w:p>
    <w:p w:rsidR="00CE023B" w:rsidRDefault="003A7BC0">
      <w:pPr>
        <w:pStyle w:val="NormalHanging12a"/>
      </w:pPr>
      <w:r>
        <w:t>AA.</w:t>
      </w:r>
      <w:r>
        <w:tab/>
        <w:t xml:space="preserve">keďže úroveň nechcených úlovkov je pri rôznych druhoch rybolovu veľmi rôznorodá; keďže uplatňovanie </w:t>
      </w:r>
      <w:r>
        <w:t>rôznych možností flexibility stanovených v článku 15 základného nariadenia o SRP viedlo k mnohým zložitým, neustále sa meniacim a nekontrolovateľným druhom výnimiek z povinnosti vylodiť úlovky;</w:t>
      </w:r>
    </w:p>
    <w:p w:rsidR="00CE023B" w:rsidRDefault="003A7BC0">
      <w:pPr>
        <w:pStyle w:val="NormalHanging12a"/>
      </w:pPr>
      <w:r>
        <w:t>AB.</w:t>
      </w:r>
      <w:r>
        <w:tab/>
        <w:t>keďže najúspešnejšie politiky zamerané na zníženie a elimi</w:t>
      </w:r>
      <w:r>
        <w:t>náciu odhadzovania úlovkov vo svete sú realizované postupným prístupom, pri ktorom sa politika vyvíja na základe skúseností získaných z praxe;</w:t>
      </w:r>
    </w:p>
    <w:p w:rsidR="00CE023B" w:rsidRDefault="003A7BC0">
      <w:pPr>
        <w:pStyle w:val="NormalHanging12a"/>
      </w:pPr>
      <w:r>
        <w:t>AC.</w:t>
      </w:r>
      <w:r>
        <w:tab/>
        <w:t>keďže udržateľný rybolov si vyžaduje nové techniky so selektívnym rybárskym výstrojom, ktoré vedia tiež zaruč</w:t>
      </w:r>
      <w:r>
        <w:t>iť dobré výnosy;</w:t>
      </w:r>
    </w:p>
    <w:p w:rsidR="00CE023B" w:rsidRDefault="003A7BC0">
      <w:pPr>
        <w:pStyle w:val="NormalHanging12a"/>
      </w:pPr>
      <w:r>
        <w:t>AD.</w:t>
      </w:r>
      <w:r>
        <w:tab/>
        <w:t>keďže SRP a nariadenie o technických opatreniach sú vzájomne prepojené, a preto treba v záujme uľahčenia povoľovania inovačného výstroja zrevidovať aj toto nariadenie;</w:t>
      </w:r>
    </w:p>
    <w:p w:rsidR="00CE023B" w:rsidRDefault="003A7BC0">
      <w:pPr>
        <w:pStyle w:val="NormalHanging12a"/>
      </w:pPr>
      <w:r>
        <w:t>AE.</w:t>
      </w:r>
      <w:r>
        <w:tab/>
        <w:t>keďže počty celkového povoleného výlovu (ďalej len „TAC“) by sa</w:t>
      </w:r>
      <w:r>
        <w:t xml:space="preserve"> mali prispôsobiť tým, ktoré sú nevyhnutné na riadenie rybného hospodárstva ako celku; keďže Medzinárodná rada pre výskum mora (ICES) uviedla, že viaceré TAC by sa mohli vypustiť zo systému EÚ bez toho, aby to narušilo celkové hospodárenie s rybolovnými zd</w:t>
      </w:r>
      <w:r>
        <w:t>rojmi</w:t>
      </w:r>
      <w:r>
        <w:rPr>
          <w:vertAlign w:val="superscript"/>
        </w:rPr>
        <w:footnoteReference w:id="14"/>
      </w:r>
      <w:r>
        <w:t>;</w:t>
      </w:r>
    </w:p>
    <w:p w:rsidR="00CE023B" w:rsidRDefault="003A7BC0">
      <w:pPr>
        <w:pStyle w:val="NormalHanging12a"/>
      </w:pPr>
      <w:r>
        <w:t>AF.</w:t>
      </w:r>
      <w:r>
        <w:tab/>
        <w:t>keďže zásadou relatívnej stability, po prvýkrát stanovenou v základnom nariadení o SRP z roku 1982 a uplatnenou v TAC a nariadení o kvótach v roku 1983, sa stanovil kľúč alokácie TAC podľa členských štátov na základe zásad prideľovania historic</w:t>
      </w:r>
      <w:r>
        <w:t>kých úlovkov (1973 – 1978), ako je zakotvené v tzv. Haagskych preferenciách z roku 1976;</w:t>
      </w:r>
    </w:p>
    <w:p w:rsidR="00CE023B" w:rsidRDefault="003A7BC0">
      <w:pPr>
        <w:pStyle w:val="NormalHanging12a"/>
      </w:pPr>
      <w:r>
        <w:t>AG.</w:t>
      </w:r>
      <w:r>
        <w:tab/>
        <w:t>keďže relatívna stabilita má veľký význam z hľadiska predvídateľnosti a kontinuity rybárskej flotily v Európskej únii;</w:t>
      </w:r>
    </w:p>
    <w:p w:rsidR="00CE023B" w:rsidRDefault="003A7BC0">
      <w:pPr>
        <w:pStyle w:val="NormalHanging12a"/>
      </w:pPr>
      <w:r>
        <w:t>AH.</w:t>
      </w:r>
      <w:r>
        <w:tab/>
        <w:t>keďže brexit ovplyvnil rozdelenie rybolo</w:t>
      </w:r>
      <w:r>
        <w:t>vných práv v EÚ a mal socio-ekonomické následky;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AI.</w:t>
      </w:r>
      <w:r>
        <w:tab/>
        <w:t xml:space="preserve">keďže EÚ musí plniť ciele Parížskej dohody v oblasti boja proti zmene klímy a dosiahnuť klimatickú neutralitu do roku 2050, ale aj záväzky Medzinárodnej námornej organizácie (IMO) a pritom zaistiť </w:t>
      </w:r>
      <w:r>
        <w:t>pracovné miesta a udržateľný rast tak, aby nedošlo k ohrozeniu potravinárskej výroby, dodávok potravín a potravinovej bezpečnosti;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AJ.</w:t>
      </w:r>
      <w:r>
        <w:tab/>
        <w:t>keďže rybolov nie je činnosťou, pri ktorej dochádza k najväčšiemu počtu nehôd, napriek tomu k nim zo všetkých námorných l</w:t>
      </w:r>
      <w:r>
        <w:t>odí najčastejšie dochádza na rybárskych lodiach; keďže v roku 2018 bol v porovnaní s predchádzajúcim rokom zaznamenaný 40 % nárast incidentov v súvislosti s rybárskymi plavidlami;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AK.</w:t>
      </w:r>
      <w:r>
        <w:tab/>
        <w:t>keďže napriek tomu tento trend klesá, pričom prevažná väčšina incidentov</w:t>
      </w:r>
      <w:r>
        <w:t xml:space="preserve"> je spôsobená ľudskými faktormi (62,4 %) a druhou najčastejšou príčinou je zlyhanie systému/vybavenia (23,2 %); keďže tromi najčastejšie uvádzanými faktormi, ktoré </w:t>
      </w:r>
      <w:r>
        <w:lastRenderedPageBreak/>
        <w:t>prispievajú k nehodám na rybárskych plavidlách spôsobeným ľudskou činnosťou, sú nedostatočná</w:t>
      </w:r>
      <w:r>
        <w:t xml:space="preserve"> informovanosť o bezpečnosti, chýbajúce vedomosti a neprimerané pracovné metódy medzi zamestnancami na palube; keďže pri všetky tieto faktory nemožno oddeliť od ziskovosti odvetvia rybolovu, bez ktorej by nebolo možné ďalej investovať do bezpečných pracovn</w:t>
      </w:r>
      <w:r>
        <w:t>ých podmienok;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AL.</w:t>
      </w:r>
      <w:r>
        <w:tab/>
        <w:t>keďže v odvetví rybárstva príde každý rok o život 32 000 ľudí, nehovoriac o tisíckach obetí úrazov; keďže okrem toho, ako upozorňujú aj profesijné organizácie, počet chorôb z povolania u tých, ktorí sa podieľajú na tejto náročnej činnost</w:t>
      </w:r>
      <w:r>
        <w:t>i, sa v posledných rokoch alarmujúco zvýšili;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AM.</w:t>
      </w:r>
      <w:r>
        <w:tab/>
        <w:t>keďže rybolov je náročné povolanie, ktoré vážne ohrozuje zdravie a bezpečnosť tých, ktorí ho vykonávajú; keďže Medzinárodná organizácia práce uznala tento problém v dohovore z roku 2007 a vyzvala krajiny, k</w:t>
      </w:r>
      <w:r>
        <w:t>toré ho ratifikovali, aby zaručili bezpečné a zdravé pracovné podmienky v tomto odvetví; keďže je zrejmé, že dobré životné podmienky pracovníkov na palube rybárskych plavidiel sú nevyhnutné pre budúcnosť tohto odvetvia;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AN.</w:t>
      </w:r>
      <w:r>
        <w:tab/>
        <w:t>keďže by sa malo zdôrazniť, že č</w:t>
      </w:r>
      <w:r>
        <w:t>innosti námorného rybolovu zohrávajú dôležitú úlohu pri zlepšovaní životnej úrovne rybárskych komunít;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AO.</w:t>
      </w:r>
      <w:r>
        <w:tab/>
        <w:t>keďže Európsky námorný, rybolovný a akvakultúrny fond (ENRAF) ponúka finančnú podporu pri prechode na udržateľnejšie formy rybolovu vrátane podpory n</w:t>
      </w:r>
      <w:r>
        <w:t>a zlepšenie energetickej hospodárnosti rybárskych plavidiel alebo na inovácie výstroja na rybolov s malým vplyvom;</w:t>
      </w:r>
    </w:p>
    <w:p w:rsidR="00CE023B" w:rsidRDefault="003A7BC0">
      <w:pPr>
        <w:pStyle w:val="NormalHanging12a"/>
      </w:pPr>
      <w:r>
        <w:t>AP.</w:t>
      </w:r>
      <w:r>
        <w:tab/>
        <w:t xml:space="preserve">keďže však táto podpora nie je dostatočná; keďže obmedzenia rybolovnej kapacity, ako aj malé rozpätia, ktoré majú niektoré členské štáty </w:t>
      </w:r>
      <w:r>
        <w:t>v rámci svojich vnútroštátnych stropov, neumožňujú zlepšovať bezpečnosť, pracovné a životné podmienky na palube rybárskych plavidiel; keďže nové bezuhlíkové pohonné systémy si vyžadujú viac priestoru na palube ako tradičné motory a palivové nádrže;</w:t>
      </w:r>
    </w:p>
    <w:p w:rsidR="00CE023B" w:rsidRDefault="003A7BC0">
      <w:pPr>
        <w:pStyle w:val="NormalHanging12a"/>
      </w:pPr>
      <w:r>
        <w:t>AQ.</w:t>
      </w:r>
      <w:r>
        <w:tab/>
        <w:t>keď</w:t>
      </w:r>
      <w:r>
        <w:t>že v základnom nariadení o SRP sa stanovuje, že viacročné plány sa musia prijímať prioritne; keďže tento prístup nepochybne prispel k lepšiemu riadeniu zdrojov a k relatívnej istote v tomto odvetví;</w:t>
      </w:r>
    </w:p>
    <w:p w:rsidR="00CE023B" w:rsidRDefault="003A7BC0">
      <w:pPr>
        <w:pStyle w:val="NormalHanging12a"/>
      </w:pPr>
      <w:r>
        <w:t>AR.</w:t>
      </w:r>
      <w:r>
        <w:tab/>
        <w:t>keďže niektoré populácie rýb žijú v morských oblastia</w:t>
      </w:r>
      <w:r>
        <w:t>ch, na ktoré sa vzťahujú rozdielne regionálne viacročné plány, a preto treba prijímať konzistentné opatrenia pokrývajúce celý rozsah ich pohybu;</w:t>
      </w:r>
    </w:p>
    <w:p w:rsidR="00CE023B" w:rsidRDefault="003A7BC0">
      <w:pPr>
        <w:pStyle w:val="NormalHanging12a"/>
      </w:pPr>
      <w:r>
        <w:t>AS.</w:t>
      </w:r>
      <w:r>
        <w:tab/>
        <w:t>keďže SRP sa ešte nevykonáva v plnej miere a niektoré z jej opatrení, ako je zriadenie oblastí na obnovu po</w:t>
      </w:r>
      <w:r>
        <w:t>pulácií rýb, sa zatiaľ nevyužili;</w:t>
      </w:r>
    </w:p>
    <w:p w:rsidR="00CE023B" w:rsidRDefault="003A7BC0">
      <w:pPr>
        <w:pStyle w:val="NormalHanging12a"/>
      </w:pPr>
      <w:r>
        <w:t>AT.</w:t>
      </w:r>
      <w:r>
        <w:tab/>
        <w:t xml:space="preserve">keďže regionalizácia ponúka jedinečnú príležitosť vyhnúť sa mikromanažmentu z Bruselu a prispôsobiť rozhodovací proces regionálnym a miestnym špecifikám, tradičným štruktúram (ako napríklad rybárskym cechom – </w:t>
      </w:r>
      <w:r>
        <w:rPr>
          <w:i/>
          <w:iCs/>
        </w:rPr>
        <w:t>cofradías</w:t>
      </w:r>
      <w:r>
        <w:t>) a konkrétnym činnostiam (ako je lov z brehu a zber mäkkýšov, kôrovcov a ostnatokožcov);</w:t>
      </w:r>
    </w:p>
    <w:p w:rsidR="00CE023B" w:rsidRDefault="003A7BC0">
      <w:pPr>
        <w:pStyle w:val="NormalHanging12a"/>
      </w:pPr>
      <w:r>
        <w:t>AU.</w:t>
      </w:r>
      <w:r>
        <w:tab/>
        <w:t>keďže včasné a účinné konzultácie a zapojenie príslušných odvetví majú zásadný význam pre dobré, realizovateľné, spravodlivé, všeobecne akceptované a úspešné práv</w:t>
      </w:r>
      <w:r>
        <w:t>ne predpisy, ako aj pre ich vykonávanie a dodržiavanie; keďže v tejto súvislosti je úloha poradných rád kľúčová a ich poradenstvo má zásadný význam v rozhodovacom procese;</w:t>
      </w:r>
    </w:p>
    <w:p w:rsidR="00CE023B" w:rsidRDefault="003A7BC0">
      <w:pPr>
        <w:pStyle w:val="NormalHanging12a"/>
      </w:pPr>
      <w:r>
        <w:lastRenderedPageBreak/>
        <w:t>AV.</w:t>
      </w:r>
      <w:r>
        <w:tab/>
        <w:t xml:space="preserve">keďže poradné rady majú potenciál stať sa kľúčovými orgánmi v samostatnom alebo </w:t>
      </w:r>
      <w:r>
        <w:t>spoločnom riadení založenom na výsledkoch;</w:t>
      </w:r>
    </w:p>
    <w:p w:rsidR="00CE023B" w:rsidRDefault="003A7BC0">
      <w:pPr>
        <w:pStyle w:val="NormalHanging12a"/>
      </w:pPr>
      <w:r>
        <w:t>AW.</w:t>
      </w:r>
      <w:r>
        <w:tab/>
        <w:t xml:space="preserve">keďže Komisia pravidelne zverejňuje </w:t>
      </w:r>
      <w:r>
        <w:rPr>
          <w:i/>
          <w:iCs/>
        </w:rPr>
        <w:t>ex post</w:t>
      </w:r>
      <w:r>
        <w:t xml:space="preserve"> analýzu hospodárskej situácie rybárskych flotíl EÚ, ale napriek tomu jej iniciatívam v oblasti stratégií alebo právnych predpisov týkajúcich sa riadenia rybárstva ča</w:t>
      </w:r>
      <w:r>
        <w:t xml:space="preserve">sto chýba riadne </w:t>
      </w:r>
      <w:r>
        <w:rPr>
          <w:i/>
          <w:iCs/>
        </w:rPr>
        <w:t>ex ante</w:t>
      </w:r>
      <w:r>
        <w:t xml:space="preserve"> posúdenie socio-ekonomických aspektov;</w:t>
      </w:r>
    </w:p>
    <w:p w:rsidR="00CE023B" w:rsidRDefault="003A7BC0">
      <w:pPr>
        <w:pStyle w:val="NormalHanging12a"/>
      </w:pPr>
      <w:r>
        <w:t>AX.</w:t>
      </w:r>
      <w:r>
        <w:tab/>
        <w:t>keďže prijímanie rozhodnutí založené na vedeckých poznatkoch, skúsenostiach rybárov a úplných posúdeniach vplyvu zaručuje objektívny základ rozhodovacieho procesu a je spoľahlivejšie a ľah</w:t>
      </w:r>
      <w:r>
        <w:t>šie akceptované príslušnými odvetviami;</w:t>
      </w:r>
    </w:p>
    <w:p w:rsidR="00CE023B" w:rsidRDefault="003A7BC0">
      <w:pPr>
        <w:pStyle w:val="NormalHanging12a"/>
      </w:pPr>
      <w:r>
        <w:t>AY.</w:t>
      </w:r>
      <w:r>
        <w:tab/>
        <w:t xml:space="preserve">keďže rybolov a akvakultúra sú relatívne malé hospodárske odvetvia, ale sú strategické vzhľadom na svoju socio-ekonomickú úlohu a svoj význam v oblasti potravinovej bezpečnosti, tak ako sa ukázalo počas pandémie </w:t>
      </w:r>
      <w:r>
        <w:t>ochorenia COVID-19 a nedávneho medzinárodného geopolitického vývoja;</w:t>
      </w:r>
    </w:p>
    <w:p w:rsidR="00CE023B" w:rsidRDefault="003A7BC0">
      <w:pPr>
        <w:pStyle w:val="NormalHanging12a"/>
      </w:pPr>
      <w:r>
        <w:t>AZ.</w:t>
      </w:r>
      <w:r>
        <w:tab/>
        <w:t>keďže stratégia EÚ v oblasti biodiverzity do roku 2030 zahŕňa cieľ znížiť negatívny vplyv rybolovu a ťažby na citlivé morské biotopy a druhy vrátane morského dna s cieľom dosiahnuť do</w:t>
      </w:r>
      <w:r>
        <w:t>brý environmentálny stav;</w:t>
      </w:r>
    </w:p>
    <w:p w:rsidR="00CE023B" w:rsidRDefault="003A7BC0">
      <w:pPr>
        <w:pStyle w:val="NormalHanging12a"/>
      </w:pPr>
      <w:r>
        <w:t>BA.</w:t>
      </w:r>
      <w:r>
        <w:tab/>
        <w:t>keďže ciele stratégie EÚ v oblasti biodiverzity zahŕňajú zníženie vedľajších úlovkov druhov na úroveň, ktorá umožňuje ich obnovu a ochranu;</w:t>
      </w:r>
    </w:p>
    <w:p w:rsidR="00CE023B" w:rsidRDefault="003A7BC0">
      <w:pPr>
        <w:pStyle w:val="NormalHanging12a"/>
      </w:pPr>
      <w:r>
        <w:t>BB.</w:t>
      </w:r>
      <w:r>
        <w:tab/>
        <w:t>keďže výrobky výlučne na rastlinnej báze sa už na vnútornom trhu predávajú pod obc</w:t>
      </w:r>
      <w:r>
        <w:t>hodným názvom „ryby“ alebo ako rôzne druhy rýb;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BC.</w:t>
      </w:r>
      <w:r>
        <w:tab/>
        <w:t>keďže maloobjemoví a drobní rybári, ako aj odvetvie lovu mäkkýšov a kôrovcov a ostnatokožcov zohrávajú strategickú úlohu pri dostupnosti dodávok potravín a kľúčovú socio-ekonomickú úlohu v mnohých pobrežn</w:t>
      </w:r>
      <w:r>
        <w:t>ých komunitách;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BD.</w:t>
      </w:r>
      <w:r>
        <w:tab/>
        <w:t>keďže maloobjemový rybolov vrátane drobného rybolovu má svoje osobité charakteristiky a výzvy;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BE.</w:t>
      </w:r>
      <w:r>
        <w:tab/>
        <w:t>keďže SRP a z nej vyplývajúce nariadenia nemusia adekvátne zohľadňovať osobité charakteristiky maloobjemového a drobného rybolovu a v tak</w:t>
      </w:r>
      <w:r>
        <w:t>ýchto prípadoch nemusia správne, dostatočne alebo v potrebnej miere reagovať na viaceré problémy, ktorým tieto odvetvia v súčasnosti čelia;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BF.</w:t>
      </w:r>
      <w:r>
        <w:tab/>
        <w:t>keďže profesionálne námorné činnosti sa vo všeobecnosti považujú za vysoko rizikové a nebezpečné a zvlášť rybolo</w:t>
      </w:r>
      <w:r>
        <w:t>v, kde 85 % plavidiel EÚ tvoria malé pobrežné plavidlá (celková dĺžka do 12 metrov), a navyše sú vystavované ešte väčšiemu riziku spôsobenému nepriaznivými poveternostnými podmienkami a prevádzkou v blízkosti pobrežia;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BG.</w:t>
      </w:r>
      <w:r>
        <w:tab/>
        <w:t>keďže majú malé pobrežné plavidlá</w:t>
      </w:r>
      <w:r>
        <w:t xml:space="preserve"> ešte väčšie ťažkosti so zabezpečovaním ochrany a zlepšovaním pracovných podmienok aj pre riziká spojené s pokročilým vekom značnej časti flotily;</w:t>
      </w:r>
    </w:p>
    <w:p w:rsidR="00CE023B" w:rsidRDefault="003A7BC0">
      <w:pPr>
        <w:pStyle w:val="NormalHanging12a"/>
      </w:pPr>
      <w:r>
        <w:t>BH.</w:t>
      </w:r>
      <w:r>
        <w:tab/>
        <w:t>keďže okrem toho nedávne výzvy, ako sú brexit, pandémia ochorenia COVID-19 a ruská útočná vojna proti Ukr</w:t>
      </w:r>
      <w:r>
        <w:t>ajine, výrazne ovplyvnili práve maloobjemový rybolov;</w:t>
      </w:r>
    </w:p>
    <w:p w:rsidR="00CE023B" w:rsidRDefault="003A7BC0">
      <w:pPr>
        <w:pStyle w:val="NormalHanging12a"/>
      </w:pPr>
      <w:r>
        <w:t>BI.</w:t>
      </w:r>
      <w:r>
        <w:tab/>
        <w:t xml:space="preserve">keďže v nariadení o Európskom námornom, rybolovnom a akvakultúrnom fonde (nariadenie o ENRAF) je „maloobjemový pobrežný rybolov“ vymedzený ako rybolovné </w:t>
      </w:r>
      <w:r>
        <w:lastRenderedPageBreak/>
        <w:t>činnosti, ktoré uskutočňujú morské a vnútroze</w:t>
      </w:r>
      <w:r>
        <w:t>mské rybárske plavidlá s celkovou dĺžkou menej ako 12 metrov, ktoré nepoužívajú vlečený výstroj, ako aj rybári loviaci z brehu vrátane zberačov mäkkýšov, kôrovcov a ostnatokožcov; keďže toto je jediné vymedzenie pojmu maloobjemový pobrežný rybolov, ktoré e</w:t>
      </w:r>
      <w:r>
        <w:t>xistuje v právnych predpisoch EÚ;</w:t>
      </w:r>
    </w:p>
    <w:p w:rsidR="00CE023B" w:rsidRDefault="003A7BC0">
      <w:pPr>
        <w:pStyle w:val="NormalHanging12a"/>
      </w:pPr>
      <w:r>
        <w:t>BJ.</w:t>
      </w:r>
      <w:r>
        <w:tab/>
        <w:t>keďže vo viacerých členských štátoch a na medzinárodných fórach presahujú vlastnosti charakterizujúce maloobjemový rybolov rámec definície v nariadení o ENRAF, pretože platí celý rad ďalších kritérií, a to aj pokiaľ id</w:t>
      </w:r>
      <w:r>
        <w:t>e o povolený výstroj, maximálnu dĺžku plavidla, výkon motora, maximálne trvanie rybárskych výjazdov, vzdialenosť od prístavu, v ktorom môžu plavidlá vykonávať svoju činnosť, územie, na ktorom ju môžu vykonávať, maximálny povolený čas plavby a vlastníctvo p</w:t>
      </w:r>
      <w:r>
        <w:t>lavidla;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BK.</w:t>
      </w:r>
      <w:r>
        <w:tab/>
      </w:r>
      <w:r>
        <w:t>keďže za stanovenie rybolovných možností, ktoré sa potom prideľujú členským štátom podľa zásady relatívnej stability, zodpovedá Rada; keďže v súlade so zásadou subsidiarity zodpovedajú za prideľovanie rybolovných možností jednotlivým rybárskym flotilám čle</w:t>
      </w:r>
      <w:r>
        <w:t xml:space="preserve">nské štáty; 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BL.</w:t>
      </w:r>
      <w:r>
        <w:tab/>
        <w:t>keďže v súlade s článkom 17 nariadenia o SRP členské štáty pri prideľovaní rybolovných možností, ktoré majú k dispozícii, musia používať transparentné a objektívne kritériá vrátane kritérií environmentálnej, sociálnej a hospodárskej povahy</w:t>
      </w:r>
      <w:r>
        <w:t xml:space="preserve"> a ich snahou má byť poskytovanie stimulov tým rybárskym plavidlám Únie, ktoré používajú selektívny rybársky výstroj alebo rybolovné techniky so zníženým vplyvom na životné prostredie;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BM.</w:t>
      </w:r>
      <w:r>
        <w:tab/>
        <w:t>keďže medzi odvetviami v rôznych krajinách môžu existovať veľké roz</w:t>
      </w:r>
      <w:r>
        <w:t>diely, a preto univerzálny prístup nie je žiaduci;</w:t>
      </w:r>
    </w:p>
    <w:p w:rsidR="00CE023B" w:rsidRDefault="003A7BC0">
      <w:pPr>
        <w:spacing w:after="120"/>
        <w:ind w:left="567" w:hanging="567"/>
        <w:rPr>
          <w:szCs w:val="24"/>
        </w:rPr>
      </w:pPr>
      <w:r>
        <w:t>BN.</w:t>
      </w:r>
      <w:r>
        <w:tab/>
        <w:t>keďže zo zatiaľ posledného posúdenia sociálneho rozmeru SRP výborom STECF vyplýva, že v roku 2020 reagovalo na žiadosť Komisie poskytnúť informácie o použitom spôsobe prideľovania kvót 16 z 23 pobrežný</w:t>
      </w:r>
      <w:r>
        <w:t>ch členských štátov; keďže niektoré z týchto odpovedí sa dali použiť iba čiastočne, pretože obsahovali len všeobecné opisy vnútroštátnych rybárskych flotíl alebo len jednoducho opisovali zámer prideľovania kvót bez toho, aby sa v nich uvádzali „transparent</w:t>
      </w:r>
      <w:r>
        <w:t>né a objektívne“ kritériá;</w:t>
      </w:r>
    </w:p>
    <w:p w:rsidR="00CE023B" w:rsidRDefault="003A7BC0">
      <w:pPr>
        <w:pStyle w:val="NormalHanging12a"/>
      </w:pPr>
      <w:r>
        <w:t>BO.</w:t>
      </w:r>
      <w:r>
        <w:tab/>
        <w:t>keďže Európsky parlament pri viacerých príležitostiach vyzval Komisiu a členské štáty, aby prijali podporné opatrenia osobitne pre odvetvie maloobjemového pobrežného rybolovu;</w:t>
      </w:r>
    </w:p>
    <w:p w:rsidR="00CE023B" w:rsidRDefault="003A7BC0">
      <w:pPr>
        <w:pStyle w:val="NormalHanging12a"/>
      </w:pPr>
      <w:r>
        <w:t>BP.</w:t>
      </w:r>
      <w:r>
        <w:tab/>
        <w:t>keďže z fondu ENRAF sa poskytuje finančná pod</w:t>
      </w:r>
      <w:r>
        <w:t>pora mladým rybárom, ktorí začínajú s rybolovnými činnosťami, pričom neexistuje žiadna následná záruka, že získajú rybolovné možnosti;</w:t>
      </w:r>
    </w:p>
    <w:p w:rsidR="00CE023B" w:rsidRDefault="003A7BC0">
      <w:pPr>
        <w:pStyle w:val="Normal6a"/>
        <w:ind w:left="567" w:hanging="567"/>
      </w:pPr>
      <w:r>
        <w:t>BQ.</w:t>
      </w:r>
      <w:r>
        <w:tab/>
        <w:t>keďže organizácie výrobcov zohrávajú kľúčovú úlohu pri vykonávaní a presadzovaní cieľov SRP a spoločnej organizácie t</w:t>
      </w:r>
      <w:r>
        <w:t>rhov s produktmi rybolovu a akvakultúry;</w:t>
      </w:r>
    </w:p>
    <w:p w:rsidR="00CE023B" w:rsidRDefault="003A7BC0">
      <w:pPr>
        <w:pStyle w:val="Normal6a"/>
        <w:ind w:left="567" w:hanging="567"/>
      </w:pPr>
      <w:r>
        <w:t>BR.</w:t>
      </w:r>
      <w:r>
        <w:tab/>
        <w:t>keďže aj iné tradičné štruktúry, ako napríklad rybárske kooperatívy</w:t>
      </w:r>
      <w:r>
        <w:t>, sú kľúčovými aktérmi v potravinových systémoch niektorých členských štátov, v ktorých pôsobia ako neziskové subjekty sociálneho hospodárstva, ktoré zastupujú odvetvie rybárstva, a najmä maloobjemové pobrežné flotily a zberačov mäkkýšov, kôrovcov a ostnat</w:t>
      </w:r>
      <w:r>
        <w:t>okožcov, vykonávajú funkcie v rámci spoločného riadenia v prospech námorného rybolovu a pracovníkov v odvetví rybárstva, a plnia aj obchodné úlohy, ako je predaj produktov a poskytovanie poradenských a riadiacich služieb;</w:t>
      </w:r>
    </w:p>
    <w:p w:rsidR="00CE023B" w:rsidRDefault="003A7BC0">
      <w:pPr>
        <w:pStyle w:val="Normal6a"/>
        <w:ind w:left="567" w:hanging="567"/>
      </w:pPr>
      <w:r>
        <w:lastRenderedPageBreak/>
        <w:t>BS.</w:t>
      </w:r>
      <w:r>
        <w:tab/>
        <w:t>keďže vnímanie odvetvia rybolo</w:t>
      </w:r>
      <w:r>
        <w:t>vu verejnosťou je stále spojené s negatívnymi stereotypmi o vplyve rybolovných činností na morský život, a to aj napriek snahám a úspechom tohto odvetvia, ako aj sústavnej ochote zvyšovať udržateľnosť rybolovu; keďže toto negatívne vnímanie ovplyvňuje mode</w:t>
      </w:r>
      <w:r>
        <w:t>ly spotreby produktov akvakultúry, ako aj atraktívnosť pracovných miest v odvetví rybárstva EÚ, ktoré takisto čelí obrovskej výzve spojenej s generačnou výmenou;</w:t>
      </w:r>
    </w:p>
    <w:p w:rsidR="00CE023B" w:rsidRDefault="003A7BC0">
      <w:pPr>
        <w:pStyle w:val="Normal6a"/>
        <w:ind w:left="567" w:hanging="567"/>
      </w:pPr>
      <w:r>
        <w:t>BT.</w:t>
      </w:r>
      <w:r>
        <w:tab/>
        <w:t>keďže generačná výmena závisí od atraktívnosti tohto odvetvia a mladšie generácie chcú skô</w:t>
      </w:r>
      <w:r>
        <w:t>r pracovať v udržateľných a ziskových odvetviach;</w:t>
      </w:r>
    </w:p>
    <w:p w:rsidR="00CE023B" w:rsidRDefault="003A7BC0">
      <w:pPr>
        <w:pStyle w:val="Normal6a"/>
        <w:ind w:left="567" w:hanging="567"/>
      </w:pPr>
      <w:r>
        <w:t>BU.</w:t>
      </w:r>
      <w:r>
        <w:tab/>
        <w:t>keďže rybolov sa všeobecne považuje za rizikové povolanie, ktoré navyše zhoršuje náročný charakter práce na rybárskych lodiach a nestále príjmy; keďže ide o významné faktory vysvetľujúce nedostatočný zá</w:t>
      </w:r>
      <w:r>
        <w:t xml:space="preserve">ujem mladých ľudí o toto povolanie, čo ohrozuje generačnú výmenu v odvetví rybárstva a vôbec budúcnosť tohto odvetvia ako takého; </w:t>
      </w:r>
    </w:p>
    <w:p w:rsidR="00CE023B" w:rsidRDefault="003A7BC0">
      <w:pPr>
        <w:pStyle w:val="Normal6a"/>
        <w:ind w:left="567" w:hanging="567"/>
      </w:pPr>
      <w:r>
        <w:t>BV.</w:t>
      </w:r>
      <w:r>
        <w:tab/>
        <w:t>keďže zlepšenie životných a pracovných podmienok a bezpečnosti rybárov je hlavným sociálnym cieľom, ktorý je nevyhnutný n</w:t>
      </w:r>
      <w:r>
        <w:t>a prilákanie mladých ľudí a na úspešnú generačnú výmenu;</w:t>
      </w:r>
    </w:p>
    <w:p w:rsidR="00CE023B" w:rsidRDefault="003A7BC0">
      <w:pPr>
        <w:pStyle w:val="Normal6a"/>
        <w:ind w:left="567" w:hanging="567"/>
      </w:pPr>
      <w:r>
        <w:t>BW.</w:t>
      </w:r>
      <w:r>
        <w:tab/>
        <w:t>keďže mladí ľudia, ktorí chcú začať podnikať ako rybári, musia čeliť mnohým prekážkam;</w:t>
      </w:r>
    </w:p>
    <w:p w:rsidR="00CE023B" w:rsidRDefault="003A7BC0">
      <w:pPr>
        <w:pStyle w:val="NormalHanging12a"/>
      </w:pPr>
      <w:r>
        <w:t>BX.</w:t>
      </w:r>
      <w:r>
        <w:tab/>
        <w:t>keďže nástroje SRP, ktoré môžu zvýšiť atraktívnosť rybolovu a akvakultúry ako povolania, nie sú dostatoč</w:t>
      </w:r>
      <w:r>
        <w:t>né;</w:t>
      </w:r>
    </w:p>
    <w:p w:rsidR="00CE023B" w:rsidRDefault="003A7BC0">
      <w:pPr>
        <w:pStyle w:val="NormalHanging12a"/>
      </w:pPr>
      <w:r>
        <w:t>BY.</w:t>
      </w:r>
      <w:r>
        <w:tab/>
        <w:t>keďže v SRP sa neuvádzajú celospoločenské obavy, ako sú zmena klímy, brexit, zelená dohoda, energetická kríza, ani sa v nej nerieši vplyv zvyšujúceho sa počtu chránených morských oblastí na potravinovú bezpečnosť, rozširovanie lokalít na výrobu ene</w:t>
      </w:r>
      <w:r>
        <w:t>rgie z obnoviteľných zdrojov na mori či energetická transformácia;</w:t>
      </w:r>
    </w:p>
    <w:p w:rsidR="00CE023B" w:rsidRDefault="003A7BC0">
      <w:pPr>
        <w:pStyle w:val="NormalHanging12a"/>
      </w:pPr>
      <w:r>
        <w:t>BZ.</w:t>
      </w:r>
      <w:r>
        <w:tab/>
        <w:t>keďže napriek tomu sa väčšina členských štátov, ale aj ekonomickí partneri EÚ v odvetví rybolovu často odvolávajú na neisté príjmy z rybolovnej činnosti v niektorých odvetviach, čo je p</w:t>
      </w:r>
      <w:r>
        <w:t>ríčinou nedostatočného záujmu mladých ľudí o rybolov a to je trend, ktorý v posledných rokoch rastie a spôsobuje ďalšie ťažkosti so zachovaním činností, ktoré sú postihnuté stratou pracovných miest v pobrežných komunitách;</w:t>
      </w:r>
    </w:p>
    <w:p w:rsidR="00CE023B" w:rsidRDefault="003A7BC0">
      <w:pPr>
        <w:pStyle w:val="NormalHanging12a"/>
      </w:pPr>
      <w:r>
        <w:t>CA.</w:t>
      </w:r>
      <w:r>
        <w:tab/>
        <w:t xml:space="preserve">keďže však väčšina členských </w:t>
      </w:r>
      <w:r>
        <w:t>štátov a partnerov EÚ v odvetví rybolovu uvádza ako častý dôvod nedostatočný záujem mladých ľudí o rybolov, čo je skutočnosť, ktorá bola prvýkrát zaznamenaná už najmenej pred dvomi desaťročiami a ktorá spôsobuje dodatočné ťažkosti celému odvetviu a prehlbu</w:t>
      </w:r>
      <w:r>
        <w:t>je sociálne problémy v pobrežných komunitách tak v kontinentálnej Európe, ako aj v zámorských regiónoch;</w:t>
      </w:r>
    </w:p>
    <w:p w:rsidR="00CE023B" w:rsidRDefault="003A7BC0">
      <w:pPr>
        <w:pStyle w:val="NormalHanging12a"/>
      </w:pPr>
      <w:r>
        <w:t>CB.</w:t>
      </w:r>
      <w:r>
        <w:tab/>
        <w:t>keďže značný počet ľudí pracujúcich v odvetví rybárstva tvoria ženy a väčšina z nich je zamestnaná, často neoficiálne, ako pomocná sila pri činnost</w:t>
      </w:r>
      <w:r>
        <w:t>iach na pevnine podporujúcich prácu na mori, najmä v prípade drobného rybolovu; keďže napriek tomu, že ženy výrazne pomáhajú tomuto odvetviu, ich úloha stále nie je dostatočne uznávaná;</w:t>
      </w:r>
    </w:p>
    <w:p w:rsidR="00CE023B" w:rsidRDefault="003A7BC0">
      <w:pPr>
        <w:pStyle w:val="NormalHanging12a"/>
      </w:pPr>
      <w:r>
        <w:t>CC.</w:t>
      </w:r>
      <w:r>
        <w:tab/>
        <w:t>keďže boj proti nezákonnému, nenahlásenému a neregulovanému rybolo</w:t>
      </w:r>
      <w:r>
        <w:t xml:space="preserve">vu pomáha zabezpečiť rovnaké podmienky pre spravodlivú hospodársku súťaž medzi EÚ a niektorými zahraničnými flotilami s nižšími sociálnymi a environmentálnymi normami, ktoré môžu znižovať konkurencieschopnosť výrobcov z EÚ pri predaji ich výrobkov na trhu </w:t>
      </w:r>
      <w:r>
        <w:t>EÚ; keďže rovnosť podmienok sa nedá zabezpečiť iba právnymi predpismi proti nezákonnému, nenahlásenému a neregulovanému rybolovu;</w:t>
      </w:r>
    </w:p>
    <w:p w:rsidR="00CE023B" w:rsidRDefault="003A7BC0">
      <w:pPr>
        <w:pStyle w:val="NormalHanging12a"/>
      </w:pPr>
      <w:r>
        <w:lastRenderedPageBreak/>
        <w:t>CD.</w:t>
      </w:r>
      <w:r>
        <w:tab/>
        <w:t>keďže ochrana a podpora modelu udržateľnosti EÚ plne zodpovedá potrebám ochrany odvetví EÚ a mala by ísť ruka v ruke s och</w:t>
      </w:r>
      <w:r>
        <w:t>ranou ich záujmov;</w:t>
      </w:r>
    </w:p>
    <w:p w:rsidR="00CE023B" w:rsidRDefault="003A7BC0">
      <w:pPr>
        <w:pStyle w:val="NormalHanging12a"/>
      </w:pPr>
      <w:r>
        <w:t>CE.</w:t>
      </w:r>
      <w:r>
        <w:tab/>
        <w:t>keďže spoločné podniky s kapitálom EÚ zohrávajú svoju úlohu pri šírení hodnôt SRP a cieľov udržateľnosti a zároveň majú veľký význam pre rozvojovú spoluprácu s tretími krajinami, čo prispieva k zlepšovaniu ekonomiky, pracovných podmi</w:t>
      </w:r>
      <w:r>
        <w:t>enok a potravinovej bezpečnosti v krajinách, v ktorých majú sídlo;</w:t>
      </w:r>
    </w:p>
    <w:p w:rsidR="00CE023B" w:rsidRDefault="003A7BC0">
      <w:pPr>
        <w:pStyle w:val="NormalHanging12a"/>
      </w:pPr>
      <w:r>
        <w:t>CF.</w:t>
      </w:r>
      <w:r>
        <w:tab/>
        <w:t>keďže rybolov zohrával veľmi významnú úlohu v kampani pred referendom o členstve Spojeného kráľovstva v EÚ v roku 2016;</w:t>
      </w:r>
    </w:p>
    <w:p w:rsidR="00CE023B" w:rsidRDefault="003A7BC0">
      <w:pPr>
        <w:pStyle w:val="NormalHanging12a"/>
      </w:pPr>
      <w:r>
        <w:t>CG.</w:t>
      </w:r>
      <w:r>
        <w:tab/>
        <w:t>keďže zvýšenie autonómnych colných kvót na filé z tuniaka pri</w:t>
      </w:r>
      <w:r>
        <w:t>nieslo prospech čínskemu priemyslu, ktorý nevyžaduje informácie o vysledovateľnosti a spolieha sa na dotácie;</w:t>
      </w:r>
    </w:p>
    <w:p w:rsidR="00CE023B" w:rsidRDefault="003A7BC0">
      <w:pPr>
        <w:pStyle w:val="NormalHanging12a"/>
      </w:pPr>
      <w:r>
        <w:t>CH.</w:t>
      </w:r>
      <w:r>
        <w:tab/>
        <w:t>keďže najvzdialenejšie regióny čelia osobitným výzvam spojeným s ich odľahlou polohou, topografiou, malými trhmi a klímou, ako sa uvádza v člá</w:t>
      </w:r>
      <w:r>
        <w:t>nku 349 ZFEÚ; keďže osobité črty rybolovu v najvzdialenejších regiónoch nie sú v SRP dostatočne zohľadnené;</w:t>
      </w:r>
    </w:p>
    <w:p w:rsidR="00CE023B" w:rsidRDefault="003A7BC0">
      <w:pPr>
        <w:pStyle w:val="NormalHanging12a"/>
      </w:pPr>
      <w:r>
        <w:t>CI.</w:t>
      </w:r>
      <w:r>
        <w:tab/>
        <w:t>keďže drobný rybolov v najvzdialenejších regiónoch je hlavným potenciálom ich ekonomiky, zdrojom potravinovej sebestačnosti a tradičnou činnosťo</w:t>
      </w:r>
      <w:r>
        <w:t>u, ktorá je súčasťou ich kultúry, vytvára pracovné miesta na mori a v spracovateľskom priemysle a prispieva k dynamike odvetvia cestovného ruchu, ktorý je dôležitou ekonomickou hnacou silou týchto regiónov;</w:t>
      </w:r>
    </w:p>
    <w:p w:rsidR="00CE023B" w:rsidRDefault="003A7BC0">
      <w:pPr>
        <w:pStyle w:val="NormalHanging12a"/>
      </w:pPr>
      <w:r>
        <w:t>CJ.</w:t>
      </w:r>
      <w:r>
        <w:tab/>
        <w:t xml:space="preserve">keďže v záujme prežitia odvetvia rybárstva v </w:t>
      </w:r>
      <w:r>
        <w:t>najvzdialenejších regiónoch a v súlade so zásadami rozdielneho zaobchádzania s malými ostrovmi a územiami uvedenými v cieli udržateľného rozvoja č. 14 by v zmysle článku 349 ZFEÚ malo byť možné podporovať obnovu plavidiel na drobný rybolov v najvzdialenejš</w:t>
      </w:r>
      <w:r>
        <w:t>ích regiónoch, ktoré vyloďujú všetky svoje úlovky v miestnych prístavoch a prispievajú k miestnemu udržateľnému rozvoju;</w:t>
      </w:r>
    </w:p>
    <w:p w:rsidR="00CE023B" w:rsidRDefault="003A7BC0">
      <w:pPr>
        <w:pStyle w:val="NormalHanging12a"/>
      </w:pPr>
      <w:r>
        <w:t>CK.</w:t>
      </w:r>
      <w:r>
        <w:tab/>
        <w:t xml:space="preserve">keďže ukazovatele toho, či je rybolovná kapacita v rovnováhe s dostupnými rybolovnými možnosťami, nie sú prispôsobené </w:t>
      </w:r>
      <w:r>
        <w:t>charakteristikám miestnych flotíl v najvzdialenejších regiónoch;</w:t>
      </w:r>
    </w:p>
    <w:p w:rsidR="00CE023B" w:rsidRDefault="003A7BC0">
      <w:pPr>
        <w:pStyle w:val="NormalHanging12a"/>
      </w:pPr>
      <w:r>
        <w:t>CL.</w:t>
      </w:r>
      <w:r>
        <w:tab/>
        <w:t>keďže treba zvážiť a uznať osobité vlastnosti a trvalé štrukturálne obmedzenia najvzdialenejších regiónov; zdôrazňuje, že odvetvie rybárstva zohráva dôležitú úlohu z hľadiska socio-ekonom</w:t>
      </w:r>
      <w:r>
        <w:t>ickej situácie, zamestnanosti a podpory hospodárskej a sociálnej súdržnosti týchto regiónov a že udržateľné modré hospodárstvo znamená potenciál rastu zamestnanosti; upozorňuje, že geografická poloha stavia najvzdialenejšie regióny do privilegovanej pozíci</w:t>
      </w:r>
      <w:r>
        <w:t>e pri monitorovaní a kontrole pobrežných a oceánskych oblastí a mala by sa využiť na úsilie EÚ v boji proti nezákonnému, nenahlásenému a neregulovanému rybolovu;</w:t>
      </w:r>
    </w:p>
    <w:p w:rsidR="00CE023B" w:rsidRDefault="003A7BC0">
      <w:pPr>
        <w:pStyle w:val="NormalHanging12a"/>
      </w:pPr>
      <w:r>
        <w:t>CM.</w:t>
      </w:r>
      <w:r>
        <w:tab/>
        <w:t>keďže zmena klímy je veľkou výzvou pre ochranu morských zdrojov, ale aj pre budúce živobyt</w:t>
      </w:r>
      <w:r>
        <w:t>ie prevádzkovateľov, ktorí sú od rybolovu závislí;</w:t>
      </w:r>
    </w:p>
    <w:p w:rsidR="00CE023B" w:rsidRDefault="003A7BC0">
      <w:pPr>
        <w:pStyle w:val="NormalHanging12a"/>
      </w:pPr>
      <w:r>
        <w:t>CN.</w:t>
      </w:r>
      <w:r>
        <w:tab/>
        <w:t>keďže rybári sú obeťami zmeny klímy;</w:t>
      </w:r>
    </w:p>
    <w:p w:rsidR="00CE023B" w:rsidRDefault="003A7BC0">
      <w:pPr>
        <w:pStyle w:val="NormalHanging12a"/>
      </w:pPr>
      <w:r>
        <w:lastRenderedPageBreak/>
        <w:t>CO.</w:t>
      </w:r>
      <w:r>
        <w:tab/>
        <w:t>keďže zmena klímy je hlavnou priamou príčinou, ktorá ovplyvňuje morské druhy tým, že mení ich početnosť, rozmanitosť a spôsob migrovania a vplýva na ich potravu</w:t>
      </w:r>
      <w:r>
        <w:t>, vývoj a reprodukciu, ako aj na medzidruhové vzťahy; keďže tieto zmeny majú vplyv na SRP a hospodárenie s vodami EÚ;</w:t>
      </w:r>
    </w:p>
    <w:p w:rsidR="00CE023B" w:rsidRDefault="003A7BC0">
      <w:pPr>
        <w:pStyle w:val="NormalHanging12a"/>
      </w:pPr>
      <w:r>
        <w:t>CP.</w:t>
      </w:r>
      <w:r>
        <w:tab/>
        <w:t>keďže odolnosť a dobré zdravie morských ekosystémov má zásadný význam pre reguláciu klímy a ochranu populácií rýb;</w:t>
      </w:r>
    </w:p>
    <w:p w:rsidR="00CE023B" w:rsidRDefault="003A7BC0">
      <w:pPr>
        <w:pStyle w:val="NormalHanging12a"/>
      </w:pPr>
      <w:r>
        <w:t>CQ.</w:t>
      </w:r>
      <w:r>
        <w:tab/>
        <w:t>keďže zachovani</w:t>
      </w:r>
      <w:r>
        <w:t>e a obnova ekosystémov modrého uhlíka majú zásadný význam pre odolnosť pobrežných komunít a odvetvie rybárstva;</w:t>
      </w:r>
    </w:p>
    <w:p w:rsidR="00CE023B" w:rsidRDefault="003A7BC0">
      <w:pPr>
        <w:pStyle w:val="Normal12a24b"/>
      </w:pPr>
      <w:r>
        <w:rPr>
          <w:rStyle w:val="BoldItalic"/>
        </w:rPr>
        <w:t>Všeobecné ciele SRP</w:t>
      </w:r>
    </w:p>
    <w:p w:rsidR="00CE023B" w:rsidRDefault="003A7BC0">
      <w:pPr>
        <w:pStyle w:val="NormalHanging12a"/>
      </w:pPr>
      <w:r>
        <w:t>1.</w:t>
      </w:r>
      <w:r>
        <w:tab/>
        <w:t>pripomína, že SRP musí zabezpečovať, aby boli rybolovné a akvakultúrne činnosti dlhodobo environmentálne udržateľné a ria</w:t>
      </w:r>
      <w:r>
        <w:t>dené spôsobom, ktorý je v súlade s cieľom dosiahnuť hospodársky a sociálny prínos a prínos v oblasti zamestnanosti, a cieľom prispievať k dostupnosti dodávok potravín; ďalej pripomína, že v článku 39 ZFEÚ sa stanovuje, že SRP musí zaručovať dostupnosť dodá</w:t>
      </w:r>
      <w:r>
        <w:t>vok a zabezpečiť primeranú životnú úroveň rybárskych a akvakultúrnych komunít;</w:t>
      </w:r>
    </w:p>
    <w:p w:rsidR="00CE023B" w:rsidRDefault="003A7BC0">
      <w:pPr>
        <w:pStyle w:val="Normal6a"/>
        <w:ind w:left="567" w:hanging="567"/>
      </w:pPr>
      <w:r>
        <w:t>2.</w:t>
      </w:r>
      <w:r>
        <w:tab/>
        <w:t>vyjadruje poľutovanie nad tým, že od roku 2014 neboli pri vykonávaní SRP dostatočne zohľadňované socio-ekonomické aspekty ani dostupnosť dodávok potravín či ekosystémový prís</w:t>
      </w:r>
      <w:r>
        <w:t>tup, ktoré sú nevyhnutné na zabezpečenie udržateľného riadenia populácií;</w:t>
      </w:r>
    </w:p>
    <w:p w:rsidR="00CE023B" w:rsidRDefault="003A7BC0">
      <w:pPr>
        <w:pStyle w:val="Normal6a"/>
        <w:ind w:left="567" w:hanging="567"/>
      </w:pPr>
      <w:r>
        <w:t>3.</w:t>
      </w:r>
      <w:r>
        <w:tab/>
        <w:t>domnieva sa, že z toho vyplývajúce negatívne vplyvy na odvetvie rybolovu sa ešte zhoršili po tom, čo sa objavili nové bezprecedentné výzvy, ktoré nebolo možné v roku 2012 pri konc</w:t>
      </w:r>
      <w:r>
        <w:t>ipovaní SRP predvídať, napríklad brexit, pandémia ochorenia COVID-19 a energetická kríza; upozorňuje na výrazný vplyv ruskej útočnej vojny proti Ukrajine, ktorá nepriaznivo vplýva na oblasti, ako je námorná bezpečnosť, čo vedie k narušeniu rybolovných činn</w:t>
      </w:r>
      <w:r>
        <w:t>ostí, najmä v Čiernom mori, v dôsledku plávajúcich námorných mín, a vedie k strate biodiverzity, čo sa prejavuje najmä alarmujúcim nárastom úmrtnosti veľrybotvarých cicavcov v Čiernom mori;</w:t>
      </w:r>
    </w:p>
    <w:p w:rsidR="00CE023B" w:rsidRDefault="003A7BC0">
      <w:pPr>
        <w:pStyle w:val="Normal6a"/>
        <w:ind w:left="567" w:hanging="567"/>
      </w:pPr>
      <w:r>
        <w:t>4.</w:t>
      </w:r>
      <w:r>
        <w:tab/>
        <w:t>víta rýchle prijatie opatrení zo strany EÚ na podporu a zlepšen</w:t>
      </w:r>
      <w:r>
        <w:t>ie fungovania tohto odvetvia v ťažkých časoch; zdôrazňuje však, že kumulatívne účinky tejto situácie priviedli mnohé flotily na pokraj kolapsu a oslabili ziskovosť tisícov podnikov do takej miery, že je ohrozená ich samotná existencia, čo môže mať katastro</w:t>
      </w:r>
      <w:r>
        <w:t>fálny vplyv na zamestnanosť a sociálnu súdržnosť v pobrežných oblastiach;</w:t>
      </w:r>
    </w:p>
    <w:p w:rsidR="00CE023B" w:rsidRDefault="003A7BC0">
      <w:pPr>
        <w:pStyle w:val="Normal6a"/>
        <w:ind w:left="567" w:hanging="567"/>
      </w:pPr>
      <w:r>
        <w:t>5.</w:t>
      </w:r>
      <w:r>
        <w:tab/>
        <w:t xml:space="preserve">zdôrazňuje, že vykonávanie SRP sa bude musieť prispôsobiť potrebám boja proti zmene klímy, keďže EÚ sa zaviazala, že do roku 2050 bude klimaticky neutrálna; </w:t>
      </w:r>
    </w:p>
    <w:p w:rsidR="00CE023B" w:rsidRDefault="003A7BC0">
      <w:pPr>
        <w:pStyle w:val="Normal6a"/>
        <w:ind w:left="567" w:hanging="567"/>
      </w:pPr>
      <w:r>
        <w:t>6.</w:t>
      </w:r>
      <w:r>
        <w:tab/>
        <w:t>zastáva preto názo</w:t>
      </w:r>
      <w:r>
        <w:t>r, že SRP sa musí vykonávať aj naďalej a v prípade potreby sa musí zodpovedajúcim spôsobom zreformovať a prispôsobiť;</w:t>
      </w:r>
    </w:p>
    <w:p w:rsidR="00CE023B" w:rsidRDefault="003A7BC0">
      <w:pPr>
        <w:pStyle w:val="NormalHanging12a"/>
      </w:pPr>
      <w:r>
        <w:t>7.</w:t>
      </w:r>
      <w:r>
        <w:tab/>
        <w:t>podčiarkuje, že morské plody sú veľmi kvalitným zdrojom bielkovín a dôležitou súčasťou zdravej stravy a vo všeobecnosti zanechávajú niž</w:t>
      </w:r>
      <w:r>
        <w:t>šiu uhlíkovú stopu ako potraviny z pevniny; uznáva preto strategickú hodnotu morských plodov v kontexte Európskej zelenej dohody a ich príspevok k napĺňaniu hneď niekoľkých cieľov udržateľného rozvoja, napríklad cieľa 2 „Žiadny hlad“, cieľa 3 „Kvalita zdra</w:t>
      </w:r>
      <w:r>
        <w:t>via a života“, cieľa 12 „Zodpovedná výroba a spotreba“, cieľa 13 „Opatrenia v oblasti klímy“ a cieľa 14 „Život pod vodou“;</w:t>
      </w:r>
    </w:p>
    <w:p w:rsidR="00CE023B" w:rsidRDefault="003A7BC0">
      <w:pPr>
        <w:pStyle w:val="Normal6a"/>
        <w:ind w:left="567" w:hanging="567"/>
      </w:pPr>
      <w:r>
        <w:lastRenderedPageBreak/>
        <w:t>8.</w:t>
      </w:r>
      <w:r>
        <w:tab/>
        <w:t xml:space="preserve">domnieva sa, že SRP musí rešpektovať všetky politické ciele rovnako; zdôrazňuje potrebu zachovania rovnováhy medzi tromi piliermi </w:t>
      </w:r>
      <w:r>
        <w:t>udržateľnosti v rámci SRP; podporuje preto posilnenie SRP a zároveň riešenie nedostatkov a zvýšenie ambícií, pokiaľ ide o jej socio-ekonomické hľadiská a aspekty potravinovej bezpečnosti, ako aj plné uplatňovanie ekosystémového prístupu a dosiahnutie rovna</w:t>
      </w:r>
      <w:r>
        <w:t>kých podmienok v jej medzinárodnom rozmere;</w:t>
      </w:r>
    </w:p>
    <w:p w:rsidR="00CE023B" w:rsidRDefault="003A7BC0">
      <w:pPr>
        <w:pStyle w:val="NormalHanging12a"/>
      </w:pPr>
      <w:r>
        <w:t>9.</w:t>
      </w:r>
      <w:r>
        <w:tab/>
        <w:t>zastáva názor, že medzi ciele rybárskej politiky by malo patriť zaistenie zásobovania obyvateľstva rybami v rámci zabezpečenia potravinovej bezpečnosti a sebestačnosti, rozvoj pobrežných komunít a propagácia a</w:t>
      </w:r>
      <w:r>
        <w:t xml:space="preserve"> zvyšovanie spoločenského uznania povolaní súvisiacich s rybolovom, ako aj podpora pracovných príležitostí a zlepšovanie životných podmienok rybárov;</w:t>
      </w:r>
    </w:p>
    <w:p w:rsidR="00CE023B" w:rsidRDefault="003A7BC0">
      <w:pPr>
        <w:pStyle w:val="NormalHanging12a"/>
      </w:pPr>
      <w:r>
        <w:t>10.</w:t>
      </w:r>
      <w:r>
        <w:tab/>
        <w:t xml:space="preserve">vyzýva Komisiu, aby na tento účel pravidelne vykonávala celkové posúdenia vplyvu </w:t>
      </w:r>
      <w:r>
        <w:rPr>
          <w:i/>
          <w:iCs/>
        </w:rPr>
        <w:t>ex ante</w:t>
      </w:r>
      <w:r>
        <w:t xml:space="preserve"> a </w:t>
      </w:r>
      <w:r>
        <w:rPr>
          <w:i/>
          <w:iCs/>
        </w:rPr>
        <w:t>ex post</w:t>
      </w:r>
      <w:r>
        <w:t xml:space="preserve"> vrá</w:t>
      </w:r>
      <w:r>
        <w:t>tane socio-ekonomických analýz ešte skôr, ako sa navrhne akákoľvek stratégia alebo právny predpis alebo prijmú akékoľvek politické rozhodnutia po porade so všetkými zainteresovanými stranami z odvetvia rybárstva;</w:t>
      </w:r>
    </w:p>
    <w:p w:rsidR="00CE023B" w:rsidRDefault="003A7BC0">
      <w:pPr>
        <w:pStyle w:val="NormalHanging12a"/>
      </w:pPr>
      <w:r>
        <w:t>11.</w:t>
      </w:r>
      <w:r>
        <w:tab/>
        <w:t>konštatuje, že hoci sa v základnom nari</w:t>
      </w:r>
      <w:r>
        <w:t>adení o SRP zdôrazňujú environmentálne, socio-ekonomické ciele a ciele politiky v oblasti potravinovej bezpečnosti, nariadenie (EÚ) 2016/2336 o hlbokomorských populáciách rýb rieši výlučne environmentálne aspekty; domnieva sa, že v budúcnosti by všetky nar</w:t>
      </w:r>
      <w:r>
        <w:t>iadenia, ktoré vychádzajú zo základného nariadenia, mali v plnej miere zahŕňať tak socio-ekonomické aspekty, ako aj aspekty potravinovej bezpečnosti;</w:t>
      </w:r>
    </w:p>
    <w:p w:rsidR="00CE023B" w:rsidRDefault="003A7BC0">
      <w:pPr>
        <w:pStyle w:val="NormalHanging12a"/>
      </w:pPr>
      <w:r>
        <w:t>12.</w:t>
      </w:r>
      <w:r>
        <w:tab/>
        <w:t>vyzýva Komisiu a Radu, aby pri tvorbe politík kládli väčší dôraz na význam rybárstva vo vzťahu k potra</w:t>
      </w:r>
      <w:r>
        <w:t xml:space="preserve">vinovej bezpečnosti, keďže je zdrojom kvalitných morských produktov, najmä v krízach, ako je pandémia ochorenia COVID-19, ale aj vo vzťahu k ekonomickej a sociálnej oblasti či ku kultúrnemu, turistickému a gastronomickému dedičstvu európskych pobrežných a </w:t>
      </w:r>
      <w:r>
        <w:t>ostrovných komunít;</w:t>
      </w:r>
    </w:p>
    <w:p w:rsidR="00CE023B" w:rsidRDefault="003A7BC0">
      <w:pPr>
        <w:pStyle w:val="Normal6a"/>
        <w:ind w:left="567" w:hanging="567"/>
      </w:pPr>
      <w:r>
        <w:t>13.</w:t>
      </w:r>
      <w:r>
        <w:tab/>
        <w:t>zdôrazňuje strategickú úlohu rybárov a odvetvia akvakultúry v potravinovom hodnotovom reťazci a pri zaručení potravinovej bezpečnosti, ale aj úlohu žien ako rybárok, kapitánok lodí, pomocných pracovníčok na pobreží, pri výrobe sietí</w:t>
      </w:r>
      <w:r>
        <w:t>, v baliarňach atď. a potrebu ich uznania;</w:t>
      </w:r>
    </w:p>
    <w:p w:rsidR="00CE023B" w:rsidRDefault="003A7BC0">
      <w:pPr>
        <w:pStyle w:val="Normal6a"/>
        <w:ind w:left="567" w:hanging="567"/>
      </w:pPr>
      <w:r>
        <w:t>14.</w:t>
      </w:r>
      <w:r>
        <w:tab/>
        <w:t>pripomína, že všetky moria a oceány sú globálnym spoločným statkom a morské zdroje prírodným verejným zdrojom, že rybolovné činnosti a ich riadenie sú hodnotou založenou na týchto zdrojoch a patria do nášho sp</w:t>
      </w:r>
      <w:r>
        <w:t>oločného dedičstva a že tieto zdroje by sa mali spravovať na základe spoľahlivých vedeckých odporúčaní spôsobom, ktorý zaručí čo najväčší dlhodobý prínos pre celú spoločnosť;</w:t>
      </w:r>
    </w:p>
    <w:p w:rsidR="00CE023B" w:rsidRDefault="003A7BC0">
      <w:pPr>
        <w:pStyle w:val="NormalHanging12a"/>
        <w:rPr>
          <w:bCs/>
          <w:iCs/>
        </w:rPr>
      </w:pPr>
      <w:r>
        <w:t>15.</w:t>
      </w:r>
      <w:r>
        <w:tab/>
        <w:t xml:space="preserve">domnieva sa, že strop pomoci </w:t>
      </w:r>
      <w:r>
        <w:rPr>
          <w:i/>
          <w:iCs/>
        </w:rPr>
        <w:t>de minimis</w:t>
      </w:r>
      <w:r>
        <w:t xml:space="preserve"> pre podniky spracúvajúce produkty ryb</w:t>
      </w:r>
      <w:r>
        <w:t>olovu a akvakultúry by sa mal zosúladiť so schémou, ktorá platí pre poľnohospodárske spracovateľské podniky, tak aby sa zachovala konzistentnosť a zaručila potravinová bezpečnosť; víta preto zmeny, ktoré v tejto súvislosti prijala Komisia v súvislosti so s</w:t>
      </w:r>
      <w:r>
        <w:t xml:space="preserve">chémou pomoci </w:t>
      </w:r>
      <w:r>
        <w:rPr>
          <w:i/>
          <w:iCs/>
        </w:rPr>
        <w:t>de minimis</w:t>
      </w:r>
      <w:r>
        <w:t>;</w:t>
      </w:r>
    </w:p>
    <w:p w:rsidR="00CE023B" w:rsidRDefault="003A7BC0">
      <w:pPr>
        <w:pStyle w:val="Normal12a24b"/>
      </w:pPr>
      <w:r>
        <w:rPr>
          <w:rStyle w:val="BoldItalic"/>
        </w:rPr>
        <w:t>Maximálny udržateľný výnos (ďalej len „MSY“)</w:t>
      </w:r>
    </w:p>
    <w:p w:rsidR="00CE023B" w:rsidRDefault="003A7BC0">
      <w:pPr>
        <w:pStyle w:val="Normal6a"/>
        <w:ind w:left="567" w:hanging="578"/>
      </w:pPr>
      <w:r>
        <w:t>16.</w:t>
      </w:r>
      <w:r>
        <w:tab/>
        <w:t xml:space="preserve">pripomína, že cieľom SRP je okrem iného „snaha zabezpečiť, aby sa pri využívaní živých morských biologických zdrojov obnovovali a udržiavali populácie lovených </w:t>
      </w:r>
      <w:r>
        <w:lastRenderedPageBreak/>
        <w:t xml:space="preserve">druhov nad úrovňami, </w:t>
      </w:r>
      <w:r>
        <w:t>pri ktorých možno dosiahnuť MSY“, ako aj to, aby sa „miera využívania MSY [...] pre všetky populácie dosiahla najneskôr do roku 2020“ a do roku 2025 v prípade populácií, na ktoré sa vzťahuje plán riadenia populácií žijúcich pri morskom dne v západnom Stred</w:t>
      </w:r>
      <w:r>
        <w:t>ozemí; upozorňuje však na to, že v prípade rybolovu vyznačujúceho sa viacerými špecifikami nie je možné uplatňovať riadenie druhov založené na modeli MSY, a to ani v prípade vedecky známych a zdokumentovaných druhov rybolovu;</w:t>
      </w:r>
    </w:p>
    <w:p w:rsidR="00CE023B" w:rsidRDefault="003A7BC0">
      <w:pPr>
        <w:pStyle w:val="Normal6a"/>
        <w:ind w:left="567" w:hanging="578"/>
      </w:pPr>
      <w:r>
        <w:t>17.</w:t>
      </w:r>
      <w:r>
        <w:tab/>
        <w:t xml:space="preserve">domnieva sa, že zavedenie </w:t>
      </w:r>
      <w:r>
        <w:t>MSY ako referenčného bodu pre riadenie rybárstva je hnacou silou zlepšovania celkového stavu populácií rýb; pripomína, že v priebehu uplatňovania SRP odvetvie rybolovu vynaložilo značné úsilie na zníženie rybolovného tlaku až tak, že v roku 2020 klesla cel</w:t>
      </w:r>
      <w:r>
        <w:t xml:space="preserve">ková miera rybolovnej úmrtnosti v severovýchodnom Atlantiku pod hodnotu 1; </w:t>
      </w:r>
    </w:p>
    <w:p w:rsidR="00CE023B" w:rsidRDefault="003A7BC0">
      <w:pPr>
        <w:pStyle w:val="Normal6a"/>
        <w:ind w:left="567" w:hanging="578"/>
      </w:pPr>
      <w:r>
        <w:t>18.</w:t>
      </w:r>
      <w:r>
        <w:tab/>
        <w:t xml:space="preserve">zdôrazňuje, že je nevyhnutné pokračovať a zintenzívniť úsilie o obnovu a udržanie populácií rýb nad úrovňami MSY, najmä v Stredozemnom mori, kde je celková miera rybolovnej </w:t>
      </w:r>
      <w:r>
        <w:t>úmrtnosti naďalej nad úrovňou 1, a zároveň zaručiť maximálne udržateľné úrovne produkcie morských plodov tak, aby sa zabezpečila dostupnosť dodávok potravín, ako aj pozitívne sociálne a hospodárske výnosy pre rybárov a pobrežné komunity;</w:t>
      </w:r>
    </w:p>
    <w:p w:rsidR="00CE023B" w:rsidRDefault="003A7BC0">
      <w:pPr>
        <w:pStyle w:val="Normal6a"/>
        <w:ind w:left="567" w:hanging="578"/>
      </w:pPr>
      <w:r>
        <w:t>19.</w:t>
      </w:r>
      <w:r>
        <w:tab/>
        <w:t>domnieva sa, ž</w:t>
      </w:r>
      <w:r>
        <w:t>e cieľ MSY by sa mal preto realizovať so zreteľom na realitu v praxi a s prihliadnutím na socio-ekonomický rozmer, proporcionalitu a rozmer potravinovej bezpečnosti zakotvené v zmluve a v kódexe správania Organizácie OSN pre výživu a poľnohospodárstvo (FAO</w:t>
      </w:r>
      <w:r>
        <w:t>);</w:t>
      </w:r>
    </w:p>
    <w:p w:rsidR="00CE023B" w:rsidRDefault="003A7BC0">
      <w:pPr>
        <w:pStyle w:val="Normal6a"/>
        <w:ind w:left="567" w:hanging="578"/>
      </w:pPr>
      <w:r>
        <w:t>20.</w:t>
      </w:r>
      <w:r>
        <w:tab/>
        <w:t>ďalej sa domnieva, že MSY by sa mal vyvíjať ako súčasť ekosystémového modelu, ktorý zahŕňa všetky faktory ovplyvňujúce stav populácií rýb, vrátane interakcií druhov, globálneho otepľovania a znečisťovania tak, aby sa prelovenie populácií nepripisova</w:t>
      </w:r>
      <w:r>
        <w:t xml:space="preserve">lo iba odvetviu rybárstva; </w:t>
      </w:r>
    </w:p>
    <w:p w:rsidR="00CE023B" w:rsidRDefault="003A7BC0">
      <w:pPr>
        <w:pStyle w:val="Normal6a"/>
        <w:ind w:left="567" w:hanging="578"/>
      </w:pPr>
      <w:r>
        <w:t>21.</w:t>
      </w:r>
      <w:r>
        <w:tab/>
        <w:t xml:space="preserve">vyzýva Komisiu, aby po rozsiahlych konzultáciách so zainteresovanými stranami preskúmala možnosť stanovenia cieľov riadenia rybárstva, ktorými sa zabezpečia optimálne úrovne populácií rýb a optimálna socio-ekonomická úroveň </w:t>
      </w:r>
      <w:r>
        <w:t>flotíl;</w:t>
      </w:r>
    </w:p>
    <w:p w:rsidR="00CE023B" w:rsidRDefault="003A7BC0">
      <w:pPr>
        <w:pStyle w:val="NormalHanging12a"/>
        <w:ind w:hanging="578"/>
      </w:pPr>
      <w:r>
        <w:t>22.</w:t>
      </w:r>
      <w:r>
        <w:tab/>
        <w:t>vyzýva preto členské štáty, ktoré chcú spustiť projekty týkajúce sa iných druhov riadiacich opatrení ako maximálny hospodársky výnos, aby v prípade potreby začali viesť konzultácie, ktoré im pomôžu zistiť, kde by sa takéto skúšobné projekty dal</w:t>
      </w:r>
      <w:r>
        <w:t>i najlepšie realizovať;</w:t>
      </w:r>
    </w:p>
    <w:p w:rsidR="00CE023B" w:rsidRDefault="003A7BC0">
      <w:pPr>
        <w:pStyle w:val="Normal12a24b"/>
        <w:ind w:left="567" w:hanging="578"/>
      </w:pPr>
      <w:r>
        <w:rPr>
          <w:rStyle w:val="BoldItalic"/>
        </w:rPr>
        <w:t>Povinnosť vylodiť úlovky a zníženie množstva nechcených úlovkov</w:t>
      </w:r>
    </w:p>
    <w:p w:rsidR="00CE023B" w:rsidRDefault="003A7BC0">
      <w:pPr>
        <w:pStyle w:val="Normal6a"/>
        <w:ind w:left="567" w:hanging="578"/>
        <w:rPr>
          <w:bCs/>
          <w:iCs/>
        </w:rPr>
      </w:pPr>
      <w:r>
        <w:t>23.</w:t>
      </w:r>
      <w:r>
        <w:tab/>
        <w:t>opakuje svoje stanovisko vyjadrené v uznesení z 18. mája 2021 o povinnosti vylodiť úlovky; pripomína, že niektoré nechcené alebo vedľajšie úlovky sú bežné, najmä pr</w:t>
      </w:r>
      <w:r>
        <w:t>i zmiešanom rybolove, keďže ryby môžu byť poškodené alebo nepredajné, nedostatočne veľké alebo vhodné na ľudskú spotrebu, ale nesmú sa predávať atď.; ďalej pripomína, že napriek prebiehajúcemu úsiliu a spolupráci všetkých zainteresovaných strán sa povinnos</w:t>
      </w:r>
      <w:r>
        <w:t>ť vylodiť úlovky nemôže riadne vykonávať, kým sa neodstránia niektoré nedostatky, ako napríklad nedostatočná skladovacia kapacita na palube alebo zberné zariadenia v prístave, a nezlepší primerané využívanie výnimiek; poukazuje na to, že tieto nedostatky b</w:t>
      </w:r>
      <w:r>
        <w:t>ránia v riadnom vykonávaní, čo vedie k nedostatočnému zberu údajov o populáciách a sťažuje presný odhad úlovkov, a preto nie je možné získať spoľahlivé vedecké odhady populácií rýb;</w:t>
      </w:r>
    </w:p>
    <w:p w:rsidR="00CE023B" w:rsidRDefault="003A7BC0">
      <w:pPr>
        <w:pStyle w:val="Normal6a"/>
        <w:ind w:left="567" w:hanging="578"/>
      </w:pPr>
      <w:r>
        <w:lastRenderedPageBreak/>
        <w:t>24.</w:t>
      </w:r>
      <w:r>
        <w:tab/>
        <w:t>upozorňuje na to, že povinnosť vylodiť úlovky nie je sama osebe cieľom</w:t>
      </w:r>
      <w:r>
        <w:t>, ale nástrojom na minimalizáciu nechcených úlovkov; v tejto súvislosti zdôrazňuje, že vďaka lepšej selektívnosti dosiahnutej v posledných rokoch došlo k výraznému zníženiu nechcených vedľajších úlovkov; upozorňuje na to, že ide o výsledok úsilia rybárov v</w:t>
      </w:r>
      <w:r>
        <w:t xml:space="preserve"> spolupráci s vedeckou obcou disponujúcou aplikovanými vedomosťami, ktoré podporujú rozvoj selektívnejšieho rybolovu a výstroja; zdôrazňuje preto, že treba zamerať viac úsilia na financovanie vývoja a zavádzania rybárskeho výstroja, ktorý prispieva k selek</w:t>
      </w:r>
      <w:r>
        <w:t>tívnosti a lepšiemu zberu údajov;</w:t>
      </w:r>
    </w:p>
    <w:p w:rsidR="00CE023B" w:rsidRDefault="003A7BC0">
      <w:pPr>
        <w:pStyle w:val="Normal6a"/>
        <w:ind w:left="567" w:hanging="578"/>
      </w:pPr>
      <w:r>
        <w:t>25.</w:t>
      </w:r>
      <w:r>
        <w:tab/>
        <w:t>pripomína, že Európsky parlament požiadal Komisiu, aby posúdila vykonávanie povinnosti vylodiť úlovky vrátane posúdenia jej socio-ekonomického dosahu, ktoré treba vykonať pre všetky druhy rybolovu vrátane tých maloobje</w:t>
      </w:r>
      <w:r>
        <w:t>mových;</w:t>
      </w:r>
    </w:p>
    <w:p w:rsidR="00CE023B" w:rsidRDefault="003A7BC0">
      <w:pPr>
        <w:pStyle w:val="NormalHanging12a"/>
        <w:ind w:hanging="578"/>
      </w:pPr>
      <w:r>
        <w:t>26.</w:t>
      </w:r>
      <w:r>
        <w:tab/>
        <w:t>ďalej konštatuje, že:</w:t>
      </w:r>
    </w:p>
    <w:p w:rsidR="00CE023B" w:rsidRDefault="003A7BC0">
      <w:pPr>
        <w:pStyle w:val="NormalHanging12a1"/>
        <w:ind w:left="1134" w:hanging="567"/>
      </w:pPr>
      <w:r>
        <w:t>–</w:t>
      </w:r>
      <w:r>
        <w:tab/>
        <w:t>súčasná povinnosť vylodiť úlovky by sa mala uplatňovať pragmaticky, pričom by sa mali zohľadniť osobité charakteristiky každého druhu rybolovu; zdôrazňuje význam skúseností rybárov s tým, kedy a kde loviť ryby tak, aby s</w:t>
      </w:r>
      <w:r>
        <w:t>a vyhli nechceným úlovkom a oceňuje ich úsilie o zvýšenie selektívnosti;</w:t>
      </w:r>
    </w:p>
    <w:p w:rsidR="00CE023B" w:rsidRDefault="003A7BC0">
      <w:pPr>
        <w:pStyle w:val="NormalHanging12a1"/>
        <w:ind w:left="1134" w:hanging="567"/>
      </w:pPr>
      <w:r>
        <w:t>–</w:t>
      </w:r>
      <w:r>
        <w:tab/>
        <w:t>by sa mali podporovať výmeny kvót medzi členskými štátmi a medzi organizáciami výrobcov formou združovania kvót, ako aj technickej a časopriestorovej selektívnosti;</w:t>
      </w:r>
    </w:p>
    <w:p w:rsidR="00CE023B" w:rsidRDefault="003A7BC0">
      <w:pPr>
        <w:pStyle w:val="NormalHanging12a1"/>
        <w:ind w:left="1134" w:hanging="567"/>
      </w:pPr>
      <w:r>
        <w:t>–</w:t>
      </w:r>
      <w:r>
        <w:tab/>
        <w:t>by sa mal uzna</w:t>
      </w:r>
      <w:r>
        <w:t>ť význam zachovania existujúcich výnimiek z povinnosti vylodiť úlovky založených na najlepších dostupných vedeckých odporúčaniach, ako aj potreba zníženia administratívnej záťaže pri vykonávaní povinnosti vylodiť úlovky; Komisia by to mala zohľadniť pri ic</w:t>
      </w:r>
      <w:r>
        <w:t xml:space="preserve">h preskúmaní; </w:t>
      </w:r>
    </w:p>
    <w:p w:rsidR="00CE023B" w:rsidRDefault="003A7BC0">
      <w:pPr>
        <w:pStyle w:val="NormalHanging12a1"/>
        <w:ind w:left="1134" w:hanging="567"/>
      </w:pPr>
      <w:r>
        <w:t>–</w:t>
      </w:r>
      <w:r>
        <w:tab/>
        <w:t xml:space="preserve">by sa malo preskúmať uplatňovanie povinnosti vylodiť úlovky v snahe minimalizovať problémy spojené s blokačnými druhmi a so zložitosťou výnimiek; </w:t>
      </w:r>
    </w:p>
    <w:p w:rsidR="00CE023B" w:rsidRDefault="003A7BC0">
      <w:pPr>
        <w:pStyle w:val="NormalHanging12a1"/>
        <w:ind w:left="1134" w:hanging="567"/>
      </w:pPr>
      <w:r>
        <w:t>–</w:t>
      </w:r>
      <w:r>
        <w:tab/>
        <w:t>povinnosť vylodiť úlovky by sa mala účinne kontrolovať a presadzovať a zároveň zatraktívni</w:t>
      </w:r>
      <w:r>
        <w:t>ť, aby si ju prevádzkovatelia lepšie osvojili, a tým aj viac dodržiavali, a to najmä formou stimulov, napríklad na podporu využívania nástrojov umelej inteligencie na zlepšenie selektívnosti a identifikácie druhov, ale aj adekvátnymi úpravami a vylepšeniam</w:t>
      </w:r>
      <w:r>
        <w:t>i európskych prístavov; vyzýva členské štáty, aby na tento účel v plnej miere využívali možnosti a podporu z ENRAF;</w:t>
      </w:r>
    </w:p>
    <w:p w:rsidR="00CE023B" w:rsidRDefault="003A7BC0">
      <w:pPr>
        <w:pStyle w:val="NormalHanging12a"/>
      </w:pPr>
      <w:r>
        <w:t>27.</w:t>
      </w:r>
      <w:r>
        <w:tab/>
        <w:t>trvá na tom, že cieľ minimalizácie nechcených úlovkov nemožno uspokojivo dosiahnuť povinnosťou vyloďovať úlovky, preto by sa mal dosiahn</w:t>
      </w:r>
      <w:r>
        <w:t>uť najmä technickými opatreniami a podporiť lepšou dokumentáciou úlovkov na základe najlepších dostupných vedeckých odporúčaní; vyzýva Komisiu, aby posúdila ďalšie alternatívy minimalizácie nechcených úlovkov a navrhla opatrenia na zlepšenie fungovania pov</w:t>
      </w:r>
      <w:r>
        <w:t>innosti vylodiť úlovky, a pri tom ďalej hľadala rozličné spôsoby vykonávania tejto povinnosti a vývoja selektívnejšieho výstroja;</w:t>
      </w:r>
    </w:p>
    <w:p w:rsidR="00CE023B" w:rsidRDefault="003A7BC0">
      <w:pPr>
        <w:pStyle w:val="Normal12a24b"/>
        <w:ind w:left="567" w:hanging="567"/>
      </w:pPr>
      <w:r>
        <w:rPr>
          <w:rStyle w:val="BoldItalic"/>
        </w:rPr>
        <w:t>Ochranné opatrenia</w:t>
      </w:r>
    </w:p>
    <w:p w:rsidR="00CE023B" w:rsidRDefault="003A7BC0">
      <w:pPr>
        <w:pStyle w:val="Normal12a24b"/>
        <w:ind w:left="567" w:hanging="567"/>
      </w:pPr>
      <w:r>
        <w:rPr>
          <w:rStyle w:val="Italic"/>
        </w:rPr>
        <w:t>Rybolovné možnosti</w:t>
      </w:r>
    </w:p>
    <w:p w:rsidR="00CE023B" w:rsidRDefault="003A7BC0">
      <w:pPr>
        <w:pStyle w:val="Normal6a"/>
        <w:ind w:left="567" w:hanging="567"/>
      </w:pPr>
      <w:r>
        <w:t>28.</w:t>
      </w:r>
      <w:r>
        <w:tab/>
        <w:t xml:space="preserve">pripomína, že celkový povolený výlov (ďalej len „TAC“) a kvóty sú najpriamejším </w:t>
      </w:r>
      <w:r>
        <w:lastRenderedPageBreak/>
        <w:t>spôs</w:t>
      </w:r>
      <w:r>
        <w:t xml:space="preserve">obom riadenia rybolovnej úmrtnosti, ale TAC pre jednotlivé populácie môžu byť problematické v zmiešanom rybolove (v dôsledku blokačného efektu); </w:t>
      </w:r>
    </w:p>
    <w:p w:rsidR="00CE023B" w:rsidRDefault="003A7BC0">
      <w:pPr>
        <w:pStyle w:val="Normal6a"/>
        <w:ind w:left="567" w:hanging="567"/>
      </w:pPr>
      <w:r>
        <w:t>29.</w:t>
      </w:r>
      <w:r>
        <w:tab/>
        <w:t>upozorňuje na potrebu zlepšenia vedeckých odporúčaní v otázkach zmiešaného rybolovu, aj pokiaľ ide o vplyv</w:t>
      </w:r>
      <w:r>
        <w:t xml:space="preserve"> zmeny klímy na oceány, ale aj zváženia zloženia úlovkov a vysídľovania druhov v dôsledku zmeny klímy pri stanovovaní TAC;</w:t>
      </w:r>
    </w:p>
    <w:p w:rsidR="00CE023B" w:rsidRDefault="003A7BC0">
      <w:pPr>
        <w:pStyle w:val="Normal6a"/>
        <w:ind w:left="567" w:hanging="567"/>
      </w:pPr>
      <w:r>
        <w:t>30.</w:t>
      </w:r>
      <w:r>
        <w:tab/>
        <w:t>zdôrazňuje, že v prípade rybolovu, na ktorý sa vzťahuje riadenie kvót, by problém blokačných druhov mohol viesť k zastaveniu rybo</w:t>
      </w:r>
      <w:r>
        <w:t>lovných operácií pred koncom sezóny, čo by mohlo mať značné hospodárske dôsledky pre rybárov; vyzýva Komisiu a členské štáty, aby využívali súčasné možnosti SRP, ako sú výmeny kvót alebo medziročná a medzidruhová flexibilita, pričom v tejto súvislosti zdôr</w:t>
      </w:r>
      <w:r>
        <w:t>azňuje, že dobrý systém kvót by mal ponúkať adekvátny stupeň flexibility, tak aby rybárom, ktorí potrebujú dodatočné kvóty pre blokačné druhy, a rybárom, ktorí majú nevyčerpané kvóty, umožnil dospieť k obojstranne prospešnej dohode;</w:t>
      </w:r>
    </w:p>
    <w:p w:rsidR="00CE023B" w:rsidRDefault="003A7BC0">
      <w:pPr>
        <w:pStyle w:val="NormalHanging12a"/>
      </w:pPr>
      <w:r>
        <w:t>31.</w:t>
      </w:r>
      <w:r>
        <w:tab/>
        <w:t>vyzýva Komisiu a Ra</w:t>
      </w:r>
      <w:r>
        <w:t>du, aby zvážili stanovenie TAC na dlhšie ako polročné alebo ročné obdobia, najmä v prípade hlavných cieľových populácií rýb, a to vždy na základe najlepších dostupných vedeckých odporúčaní a v záujme zaručenia väčšej predvídateľnosti a dlhodobej istoty pre</w:t>
      </w:r>
      <w:r>
        <w:t xml:space="preserve"> rybárov v súlade so zásadou maximálneho udržateľného výnosu; vyzýva Komisiu a Radu, aby hľadali najlepšie dostupné vedecké odporúčania týkajúce sa možnosti zrušenia TAC pri niektorých populáciách a zároveň zabezpečili, aby príslušná populácia neprekročila</w:t>
      </w:r>
      <w:r>
        <w:t xml:space="preserve"> v krátkodobom a strednodobom horizonte bezpečné biologické hranice;</w:t>
      </w:r>
    </w:p>
    <w:p w:rsidR="00CE023B" w:rsidRDefault="003A7BC0">
      <w:pPr>
        <w:pStyle w:val="Normal6a"/>
        <w:ind w:left="567" w:hanging="567"/>
      </w:pPr>
      <w:r>
        <w:t>32.</w:t>
      </w:r>
      <w:r>
        <w:tab/>
        <w:t xml:space="preserve">zdôrazňuje, že relatívna stabilita, ktorá sa vytvorila pred štyrmi desaťročiami, je všeobecne akceptovaná ako základný nástroj na zabezpečenie dlhodobej predvídateľnosti a kontinuity </w:t>
      </w:r>
      <w:r>
        <w:t>pri spoločnom využívaní populácií rýb medzi krajinami;</w:t>
      </w:r>
    </w:p>
    <w:p w:rsidR="00CE023B" w:rsidRDefault="003A7BC0">
      <w:pPr>
        <w:pStyle w:val="Normal12a24b"/>
        <w:ind w:left="567" w:hanging="567"/>
      </w:pPr>
      <w:r>
        <w:rPr>
          <w:rStyle w:val="Italic"/>
        </w:rPr>
        <w:t>Riadenie flotíl</w:t>
      </w:r>
    </w:p>
    <w:p w:rsidR="00CE023B" w:rsidRDefault="003A7BC0">
      <w:pPr>
        <w:pStyle w:val="Normal6a"/>
        <w:ind w:left="567" w:hanging="567"/>
      </w:pPr>
      <w:r>
        <w:t>33.</w:t>
      </w:r>
      <w:r>
        <w:tab/>
        <w:t>zdôrazňuje, že napriek medzinárodnému úsiliu a úsiliu Únie o zlepšenie bezpečnostných podmienok na palubách rybárskych plavidiel, existuje stále množstvo nedostatkov, napríklad medz</w:t>
      </w:r>
      <w:r>
        <w:t>inárodné dohovory, ktorými sa stanovujú pravidlá a systémy ochrany lodí a ich posádok, sa týkajú najmä väčších plavidiel;</w:t>
      </w:r>
    </w:p>
    <w:p w:rsidR="00CE023B" w:rsidRDefault="003A7BC0">
      <w:pPr>
        <w:pStyle w:val="Normal6a"/>
        <w:ind w:left="567" w:hanging="567"/>
      </w:pPr>
      <w:r>
        <w:t>34.</w:t>
      </w:r>
      <w:r>
        <w:tab/>
        <w:t>opakuje, že pracovné a životné podmienky na palube nemožno posudzovať nezávisle od bezpečnostných podmienok; zastáva názor, že dob</w:t>
      </w:r>
      <w:r>
        <w:t>ré pracovné a životné podmienky na lodiach a ich adekvátna modernizácia zvyšujú bezpečnosť a predlžujú čas odpočinku rybárov; domnieva sa, že tieto aspekty majú priamy vplyv na bezpečnosť na palube, keďže veľká časť nehôd a incidentov na rybárskych plavidl</w:t>
      </w:r>
      <w:r>
        <w:t>ách je naďalej spôsobená ľudskými chybami, či už pre chýbajúce vedomosti, nedostatočnú odbornú prípravu alebo únavu;</w:t>
      </w:r>
    </w:p>
    <w:p w:rsidR="00CE023B" w:rsidRDefault="003A7BC0">
      <w:pPr>
        <w:pStyle w:val="Normal6a"/>
        <w:ind w:left="567" w:hanging="567"/>
      </w:pPr>
      <w:r>
        <w:t>35.</w:t>
      </w:r>
      <w:r>
        <w:tab/>
        <w:t>naliehavo vyzýva Komisiu a členské štáty, aby zaručili uplatňovanie tých najprísnejších noriem bezpečnosti na palubách plavidiel bez oh</w:t>
      </w:r>
      <w:r>
        <w:t>ľadu na ich veľkosť; vyzýva zástupcov tohto odvetvia, aby zaviedli najlepšie možné podmienky bezpečnosti na palube;</w:t>
      </w:r>
    </w:p>
    <w:p w:rsidR="00CE023B" w:rsidRDefault="003A7BC0">
      <w:pPr>
        <w:pStyle w:val="Normal6a"/>
        <w:ind w:left="567" w:hanging="567"/>
      </w:pPr>
      <w:r>
        <w:t>36.</w:t>
      </w:r>
      <w:r>
        <w:tab/>
        <w:t>trvá na tom, že vzhľadom na súčasné možnosti ENRAF, pokiaľ ide o podporu zdravia, bezpečnosti, pracovné podmienky a energetickú hospodár</w:t>
      </w:r>
      <w:r>
        <w:t>nosť na palubách rybárskych plavidiel, by v súčasnosti používaná hrubá priestornosť ako ukazovateľ merania rybolovnej kapacity v EÚ mohla brániť zvyšovaniu energetickej hospodárnosti, bezpečnosti a pohodlia plavidiel, keďže obmedzuje možnosti ich nahradeni</w:t>
      </w:r>
      <w:r>
        <w:t xml:space="preserve">a a modernizácie alebo zväčšenia priestoru napriek tomu, že sa tým nezvýši schopnosť </w:t>
      </w:r>
      <w:r>
        <w:lastRenderedPageBreak/>
        <w:t>plavidiel loviť viac; zdôrazňuje, že to vzápätí bráni zlepšeniu spomínaných prvkov, čo by v konečnom dôsledku podporilo zamestnanosť, rozvoj pobrežných komunít a zvýšilo a</w:t>
      </w:r>
      <w:r>
        <w:t>traktívnosť tohto odvetvia, najmä pre mladých ľudí a ženy;</w:t>
      </w:r>
    </w:p>
    <w:p w:rsidR="00CE023B" w:rsidRDefault="003A7BC0">
      <w:pPr>
        <w:pStyle w:val="Normal6a"/>
        <w:ind w:left="567" w:hanging="567"/>
      </w:pPr>
      <w:r>
        <w:t>37.</w:t>
      </w:r>
      <w:r>
        <w:tab/>
        <w:t>berie na vedomie oznámenie Komisie o energetickej transformácii odvetvia rybolovu a akvakultúry EÚ</w:t>
      </w:r>
      <w:r>
        <w:rPr>
          <w:rStyle w:val="FootnoteReference"/>
        </w:rPr>
        <w:footnoteReference w:id="15"/>
      </w:r>
      <w:r>
        <w:t>, ktorého cieľom je zabezpečiť, aby odvetvie rybolovu prispievalo k cieľu EÚ stať sa klimatick</w:t>
      </w:r>
      <w:r>
        <w:t>y neutrálnou v roku 2050 a zároveň zaručovalo sociálne, hospodársky a environmentálne udržateľný rybolov v EÚ; poukazuje na to, že táto transformácia má viacero prekážok, ako napríklad platnú definíciu rybolovnej kapacity a jej obmedzenia; pripomína, že vo</w:t>
      </w:r>
      <w:r>
        <w:t xml:space="preserve">díkové, amoniakové alebo elektrické motory sú vo všeobecnosti ťažšie a väčšie ako ich dieselové ekvivalenty a že ich inštalácia na palube si preto vyžaduje dodatočnú hrubú priestornosť, ale aj to, že je nedostatok prispôsobených technológií, že sú drahé a </w:t>
      </w:r>
      <w:r>
        <w:t>že neexistuje výskum a vývoj zameraný osobitne na potreby odvetví rybolovu a akvakultúry; vyjadruje poľutovanie nad tým, že tieto prekážky sa v oznámení Komisie neriešia;</w:t>
      </w:r>
    </w:p>
    <w:p w:rsidR="00CE023B" w:rsidRDefault="003A7BC0">
      <w:pPr>
        <w:pStyle w:val="Normal6a"/>
        <w:ind w:left="567" w:hanging="567"/>
      </w:pPr>
      <w:r>
        <w:t>38.</w:t>
      </w:r>
      <w:r>
        <w:tab/>
        <w:t>vyzýva Komisiu, aby navrhla opatrenia s cieľom reagovať na potrebu uľahčiť dekarb</w:t>
      </w:r>
      <w:r>
        <w:t xml:space="preserve">onizáciu odvetvia rybolovu, vyriešiť problém starnutia rybárskych plavidiel a zlepšiť bezpečnosť a pracovné podmienky; domnieva sa, že takéto opatrenia by v prípade potreby mohli zahŕňať: 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>plné využitie dostupnej hrubej priestornosti v rámci vnútroštátny</w:t>
      </w:r>
      <w:r>
        <w:t xml:space="preserve">ch stropov rybolovnej kapacity, 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>nové vymedzenie rybolovnej kapacity, napríklad vylúčením „sociálnej a bezpečnostnej“ tonáže z jej výpočtu,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 xml:space="preserve">zvýšenie obmedzení rybolovnej kapacity z hľadiska hrubej priestornosti a výkonu motora bez toho, aby sa zvýšila </w:t>
      </w:r>
      <w:r>
        <w:t xml:space="preserve">schopnosť plavidiel loviť viac rýb; </w:t>
      </w:r>
    </w:p>
    <w:p w:rsidR="00CE023B" w:rsidRDefault="003A7BC0">
      <w:pPr>
        <w:pStyle w:val="Normal6a"/>
        <w:ind w:left="567" w:hanging="567"/>
      </w:pPr>
      <w:r>
        <w:t>39.</w:t>
      </w:r>
      <w:r>
        <w:tab/>
        <w:t>vyzýva Komisiu a členské štáty, aby odborníkom z odvetvia uľahčili prístup k fondom ENRAF;</w:t>
      </w:r>
    </w:p>
    <w:p w:rsidR="00CE023B" w:rsidRDefault="003A7BC0">
      <w:pPr>
        <w:pStyle w:val="Normal6a"/>
        <w:ind w:left="567" w:hanging="567"/>
      </w:pPr>
      <w:r>
        <w:t>40.</w:t>
      </w:r>
      <w:r>
        <w:tab/>
        <w:t xml:space="preserve">ďalej vyzýva Komisiu a členské štáty, aby urýchlili výskum a vývoj, prispôsobili politiku štátnej pomoci v súčinnosti s </w:t>
      </w:r>
      <w:r>
        <w:t>ENRAF tak, aby umožňovala primerané a dostatočné financovanie, a odvetvie tak mohlo dosiahnuť dekarbonizáciu flotily EÚ v krátkom časovom rámci, ktorý vyplýva z Európskej zelenej dohody a ďalších súvisiacich povinností;</w:t>
      </w:r>
    </w:p>
    <w:p w:rsidR="00CE023B" w:rsidRDefault="003A7BC0">
      <w:pPr>
        <w:pStyle w:val="Normal6a"/>
        <w:ind w:left="567" w:hanging="567"/>
      </w:pPr>
      <w:r>
        <w:t>41.</w:t>
      </w:r>
      <w:r>
        <w:tab/>
        <w:t>zároveň vyzýva Komisiu, aby pres</w:t>
      </w:r>
      <w:r>
        <w:t>kúmala ENRAF v súlade s Dohodou WTO o rybolovných dotáciách, ktorá bola prijatá na jej 12. ministerskej konferencii 17. júna 2022, s cieľom dosiahnuť uhlíkovú neutralitu; vyzýva na schválenie financovania nových plavidiel v súlade s parametrami stanovenými</w:t>
      </w:r>
      <w:r>
        <w:t xml:space="preserve"> v medzinárodných dohodách o rybolove;</w:t>
      </w:r>
    </w:p>
    <w:p w:rsidR="00CE023B" w:rsidRDefault="003A7BC0">
      <w:pPr>
        <w:pStyle w:val="Normal6a"/>
        <w:ind w:left="567" w:hanging="567"/>
      </w:pPr>
      <w:r>
        <w:t>42.</w:t>
      </w:r>
      <w:r>
        <w:tab/>
        <w:t>ďalej vyzýva na rozvoj pomoci pri ekonomickej transformácii s cieľom pokročiť v dekarbonizácii, aby sa týkala všetkých segmentov flotily; trvá na tom, že takáto pomoc by sa mala využívať aj na nahradenie existujúc</w:t>
      </w:r>
      <w:r>
        <w:t>ich, už starých plavidiel, efektívnejšími, bezpečnejšími, technologicky inovatívnejšími a priestrannejšími plavidlami, ktoré prispievajú k zatraktívneniu tohto odvetvia a uľahčujú generačnú výmenu;</w:t>
      </w:r>
    </w:p>
    <w:p w:rsidR="00CE023B" w:rsidRDefault="003A7BC0">
      <w:pPr>
        <w:pStyle w:val="Normal6a"/>
        <w:ind w:left="567" w:hanging="567"/>
      </w:pPr>
      <w:r>
        <w:t>43.</w:t>
      </w:r>
      <w:r>
        <w:tab/>
        <w:t>vyzýva Komisiu a členské štáty, aby finančnú podporu z</w:t>
      </w:r>
      <w:r>
        <w:t xml:space="preserve"> ENRAF doplnili napríklad o Fond na spravodlivú transformáciu, nástroj RePower EU a program Horizont Európa na uľahčenie dekarbonizácie a financovanie výskumu v záujme spravodlivejšej ekologickej </w:t>
      </w:r>
      <w:r>
        <w:lastRenderedPageBreak/>
        <w:t>transformácie, pri ktorej sa na nikoho nezabudne;</w:t>
      </w:r>
    </w:p>
    <w:p w:rsidR="00CE023B" w:rsidRDefault="003A7BC0">
      <w:pPr>
        <w:pStyle w:val="NormalHanging12a"/>
      </w:pPr>
      <w:r>
        <w:t>44.</w:t>
      </w:r>
      <w:r>
        <w:tab/>
        <w:t>nalieh</w:t>
      </w:r>
      <w:r>
        <w:t>avo vyzýva Komisiu a členské štáty, aby spolupracovali na podpore výskumu a umožnili používanie inovatívneho výstroja a techník selektívneho rybolovu, ktoré prispievajú k výraznému zníženiu emisií CO2 a využívania palív;</w:t>
      </w:r>
    </w:p>
    <w:p w:rsidR="00CE023B" w:rsidRDefault="003A7BC0">
      <w:pPr>
        <w:pStyle w:val="Normal12a24b"/>
        <w:ind w:left="567" w:hanging="567"/>
      </w:pPr>
      <w:r>
        <w:rPr>
          <w:rStyle w:val="BoldItalic"/>
        </w:rPr>
        <w:t>Regionálne viacročné plány</w:t>
      </w:r>
    </w:p>
    <w:p w:rsidR="00CE023B" w:rsidRDefault="003A7BC0">
      <w:pPr>
        <w:pStyle w:val="Normal6a"/>
        <w:ind w:left="567" w:hanging="567"/>
      </w:pPr>
      <w:r>
        <w:t>45.</w:t>
      </w:r>
      <w:r>
        <w:tab/>
        <w:t>uzná</w:t>
      </w:r>
      <w:r>
        <w:t>va významnú úlohu viacročných plánov ako hlavných rámcov pre dlhodobé regionálne riadenie rybárstva na základe najlepších dostupných vedeckých, technických a hospodárskych odporúčaní, vyjadruje však poľutovanie nad tým, že ich potenciál nie je plne využitý</w:t>
      </w:r>
      <w:r>
        <w:t>;</w:t>
      </w:r>
    </w:p>
    <w:p w:rsidR="00CE023B" w:rsidRDefault="003A7BC0">
      <w:pPr>
        <w:pStyle w:val="Normal6a"/>
        <w:ind w:left="567" w:hanging="567"/>
      </w:pPr>
      <w:r>
        <w:t>46.</w:t>
      </w:r>
      <w:r>
        <w:tab/>
        <w:t>vyzýva Komisiu posúdiť efektivitu vykonávania existujúcich viacročných plánov, aby sa zaručil ich príspevok k cieľom SRP; v prípade potreby by sa tieto plány mali aktualizovať a zlepšiť tak, aby zohľadňovali socio-ekonomické aspekty a meniace sa podm</w:t>
      </w:r>
      <w:r>
        <w:t>ienky;</w:t>
      </w:r>
    </w:p>
    <w:p w:rsidR="00CE023B" w:rsidRDefault="003A7BC0">
      <w:pPr>
        <w:pStyle w:val="Normal6a"/>
        <w:ind w:left="567" w:hanging="567"/>
      </w:pPr>
      <w:r>
        <w:t>47.</w:t>
      </w:r>
      <w:r>
        <w:tab/>
        <w:t>vyzýva Komisiu, aby v koordinácii s ostatnými partnermi v tejto oblasti, konkrétne s krajinami mimo EÚ a príslušnými regionálnymi organizáciami pre riadenie rybárstva (RFMO), preskúmala, či by sa viacročné plány podobné tým, ktoré existujú v iný</w:t>
      </w:r>
      <w:r>
        <w:t>ch morských oblastiach, mohli navrhnúť pre zostávajúce vody EÚ, najmä vo východnom Stredozemí a Čiernom mori, a ako môžu dopĺňať už existujúce nástroje riadenia v týchto morských oblastiach a spolupracovať s nimi;</w:t>
      </w:r>
    </w:p>
    <w:p w:rsidR="00CE023B" w:rsidRDefault="003A7BC0">
      <w:pPr>
        <w:pStyle w:val="NormalHanging12a"/>
      </w:pPr>
      <w:r>
        <w:t>48.</w:t>
      </w:r>
      <w:r>
        <w:tab/>
        <w:t xml:space="preserve">zdôrazňuje, že je potrebné dosiahnuť </w:t>
      </w:r>
      <w:r>
        <w:t>synergické účinky medzi regionálnymi viacročnými plánmi a námornými politikami konkrétnymi pre danú morskú oblasť;</w:t>
      </w:r>
    </w:p>
    <w:p w:rsidR="00CE023B" w:rsidRDefault="003A7BC0">
      <w:pPr>
        <w:pStyle w:val="Normal6a"/>
        <w:ind w:left="567" w:hanging="567"/>
      </w:pPr>
      <w:r>
        <w:t>49.</w:t>
      </w:r>
      <w:r>
        <w:tab/>
        <w:t>domnieva sa, že je nevyhnutné, aby všetky miestne a regionálne orgány zodpovedné za riadenie rybárstva, ako aj poradné rady, ktoré v tejt</w:t>
      </w:r>
      <w:r>
        <w:t xml:space="preserve">o súvislosti zohrávajú zásadnú úlohu, boli plne zapojené do definovania, vypracovania a vykonávania viacročných plánov v súlade so SRP; </w:t>
      </w:r>
    </w:p>
    <w:p w:rsidR="00CE023B" w:rsidRDefault="003A7BC0">
      <w:pPr>
        <w:pStyle w:val="Normal6a"/>
        <w:ind w:left="567" w:hanging="567"/>
      </w:pPr>
      <w:r>
        <w:t>50.</w:t>
      </w:r>
      <w:r>
        <w:tab/>
        <w:t>zdôrazňuje, že rybárstvo je odvetvie, ktoré najviac závisí od zdravých, produktívnych a odolných populácií rýb a mo</w:t>
      </w:r>
      <w:r>
        <w:t>rských ekosystémov a že tieto ekosystémy sú ovplyvňované aj mnohými inými spôsobmi využívania morského prostredia a činnosťami v ňom, ako je námorná doprava a cestovný ruch, mestský a pobrežný rozvoj, využívanie surovín a zdrojov energie vrátane ťažby na m</w:t>
      </w:r>
      <w:r>
        <w:t>orskom dne, ale aj znečisťovanie morí a zmena klímy; zdôrazňuje preto potrebu zlepšiť uplatňovanie takého ekosystémového prístupu na regionálnej, celoštátnej a európskej úrovni, v ktorom kľúčovú úlohu zohrávajú viacročné akčné plány a iné nástroje riadenia</w:t>
      </w:r>
      <w:r>
        <w:t>;</w:t>
      </w:r>
    </w:p>
    <w:p w:rsidR="00CE023B" w:rsidRDefault="003A7BC0">
      <w:pPr>
        <w:pStyle w:val="NormalHanging12a"/>
      </w:pPr>
      <w:r>
        <w:t>51.</w:t>
      </w:r>
      <w:r>
        <w:tab/>
        <w:t>zdôrazňuje potrebu konzistentných opatrení na riadenie rybárstva týkajúcich sa transzonálnych populácií v regiónoch, na ktoré sa vzťahuje niekoľko viacročných plánov naraz, ako aj regiónov, na ktoré sa viacročné plány nevzťahujú;</w:t>
      </w:r>
    </w:p>
    <w:p w:rsidR="00CE023B" w:rsidRDefault="003A7BC0">
      <w:pPr>
        <w:pStyle w:val="Normal12a24b"/>
        <w:ind w:left="567" w:hanging="567"/>
      </w:pPr>
      <w:r>
        <w:rPr>
          <w:rStyle w:val="BoldItalic"/>
        </w:rPr>
        <w:t>Správa</w:t>
      </w:r>
    </w:p>
    <w:p w:rsidR="00CE023B" w:rsidRDefault="003A7BC0">
      <w:pPr>
        <w:pStyle w:val="Normal6a"/>
        <w:ind w:left="567" w:hanging="567"/>
      </w:pPr>
      <w:r>
        <w:t>52.</w:t>
      </w:r>
      <w:r>
        <w:tab/>
      </w:r>
      <w:r>
        <w:t>dôrazne odporúča, vzhľadom na strategický význam rybárstva a akvakultúry ako zdroja zdravých a kvalitných potravín bohatých na bielkoviny, aby sa tejto politike dostalo v Komisii viac strategického uznania a aby medzi zamestnancami príslušných útvarov Komi</w:t>
      </w:r>
      <w:r>
        <w:t>sie bol aj dostatočný počet odborníkov z oblasti rybárstva a akvakultúry;</w:t>
      </w:r>
    </w:p>
    <w:p w:rsidR="00CE023B" w:rsidRDefault="003A7BC0">
      <w:pPr>
        <w:pStyle w:val="Normal6a"/>
        <w:ind w:left="567" w:hanging="567"/>
      </w:pPr>
      <w:r>
        <w:t>53.</w:t>
      </w:r>
      <w:r>
        <w:tab/>
        <w:t xml:space="preserve">žiada, aby v budúcom kolégiu komisárov existoval komisár, ktorý by sa venoval </w:t>
      </w:r>
      <w:r>
        <w:lastRenderedPageBreak/>
        <w:t>výlučne rybárstvu, akvakultúre a námorným záležitostiam;</w:t>
      </w:r>
    </w:p>
    <w:p w:rsidR="00CE023B" w:rsidRDefault="003A7BC0">
      <w:pPr>
        <w:pStyle w:val="Normal6a"/>
        <w:ind w:left="567" w:hanging="567"/>
      </w:pPr>
      <w:r>
        <w:t>54.</w:t>
      </w:r>
      <w:r>
        <w:tab/>
        <w:t>zdôrazňuje význam toho, aby výročné spr</w:t>
      </w:r>
      <w:r>
        <w:t>ávy Komisie obsahovali dostatočne podrobné informácie, tak ako sa uvádza v článku 50 SRP, v záujme účinného monitorovania a hodnotenia vykonávania SRP Komisiou; okrem toho vyzýva Komisiu, aby pri revízii SRP zmenila článok 49 s cieľom stanoviť lehotu na pr</w:t>
      </w:r>
      <w:r>
        <w:t xml:space="preserve">edloženie správy Európskemu parlamentu a Rade 10 rokov po preskúmaní a potom každých päť rokov; </w:t>
      </w:r>
    </w:p>
    <w:p w:rsidR="00CE023B" w:rsidRDefault="003A7BC0">
      <w:pPr>
        <w:pStyle w:val="Normal6a"/>
        <w:ind w:left="567" w:hanging="567"/>
      </w:pPr>
      <w:r>
        <w:t>55.</w:t>
      </w:r>
      <w:r>
        <w:tab/>
        <w:t xml:space="preserve">vyzýva Komisiu, aby viac podporovala členské štáty pri vykonávaní a zabezpečovaní dodržiavania SRP a plnenia jej cieľov; zdôrazňuje, že je nevyhnutné, aby </w:t>
      </w:r>
      <w:r>
        <w:t>sa Komisia a členské štáty správali pri riadení rybolovných zdrojov transparentne; zdôrazňuje, že transparentné riadenie má zásadný význam pre zabezpečenie vysokej úrovne dôvery občanov EÚ a zachovanie dobrého mena odvetvia rybárstva Únie;</w:t>
      </w:r>
    </w:p>
    <w:p w:rsidR="00CE023B" w:rsidRDefault="003A7BC0">
      <w:pPr>
        <w:pStyle w:val="NormalHanging12a"/>
      </w:pPr>
      <w:r>
        <w:t>56.</w:t>
      </w:r>
      <w:r>
        <w:tab/>
        <w:t>navrhuje Kom</w:t>
      </w:r>
      <w:r>
        <w:t>isii a Rade, aby sa Európskemu parlamentu udelil štatút pozorovateľa pri každoročných rokovaniach o rybolovných možnostiach, čím sa zabezpečí úplné politické zastúpenie;</w:t>
      </w:r>
    </w:p>
    <w:p w:rsidR="00CE023B" w:rsidRDefault="003A7BC0">
      <w:pPr>
        <w:pStyle w:val="Normal12a24b"/>
        <w:ind w:left="567" w:hanging="567"/>
        <w:rPr>
          <w:b/>
        </w:rPr>
      </w:pPr>
      <w:r>
        <w:rPr>
          <w:rStyle w:val="Italic"/>
          <w:b/>
        </w:rPr>
        <w:t>Regionalizácia a zapojenie zainteresovaných strán</w:t>
      </w:r>
    </w:p>
    <w:p w:rsidR="00CE023B" w:rsidRDefault="003A7BC0">
      <w:pPr>
        <w:pStyle w:val="Normal6a"/>
        <w:ind w:left="567" w:hanging="567"/>
      </w:pPr>
      <w:r>
        <w:t>57.</w:t>
      </w:r>
      <w:r>
        <w:tab/>
        <w:t>zdôrazňuje, že je dôležité posil</w:t>
      </w:r>
      <w:r>
        <w:t>niť regionalizáciu v rámci SRP, umožniť miestnym a regionálnym orgánom, aby sa viac zapájali do návrhu, vypracovania a hodnotenia národných operačných programov rybolovu a všeobecnejšie aj do riadenia rybárstva, pričom sa v plnej miere využijú existujúce m</w:t>
      </w:r>
      <w:r>
        <w:t>ožnosti SRP;</w:t>
      </w:r>
    </w:p>
    <w:p w:rsidR="00CE023B" w:rsidRDefault="003A7BC0">
      <w:pPr>
        <w:pStyle w:val="Normal6a"/>
        <w:ind w:left="567" w:hanging="567"/>
      </w:pPr>
      <w:r>
        <w:t>58.</w:t>
      </w:r>
      <w:r>
        <w:tab/>
        <w:t>upozorňuje na význam zohľadňovania regionálnych špecifík pri uplatňovaní harmonizovaného prístupu k riadeniu rybárstva v celej EÚ; nabáda členské štáty k tomu, aby zintenzívnili spoluprácu v rámci regionálnych skupín s príslušnými zaintere</w:t>
      </w:r>
      <w:r>
        <w:t>sovanými stranami, poradnými radami a miestnymi a regionálnymi orgánmi v súlade s článkom 18 základného nariadenia o SRP pri navrhovaní regionálnych opatrení ochrany v podobe spoločných odporúčaní, ktoré budú lepšie prispôsobené osobitým charakteristikám k</w:t>
      </w:r>
      <w:r>
        <w:t>aždej jednej morskej oblasti;</w:t>
      </w:r>
    </w:p>
    <w:p w:rsidR="00CE023B" w:rsidRDefault="003A7BC0">
      <w:pPr>
        <w:pStyle w:val="Normal6a"/>
        <w:ind w:left="567" w:hanging="567"/>
      </w:pPr>
      <w:r>
        <w:t>59.</w:t>
      </w:r>
      <w:r>
        <w:tab/>
        <w:t>zdôrazňuje zásadnú úlohu poradných rád pri zlepšovaní spolupráce zainteresovaných strán a pri zabezpečovaní ich primeranej a spravodlivej účasti na rozhodovacom procese EÚ;</w:t>
      </w:r>
    </w:p>
    <w:p w:rsidR="00CE023B" w:rsidRDefault="003A7BC0">
      <w:pPr>
        <w:pStyle w:val="Normal6a"/>
        <w:ind w:left="567" w:hanging="567"/>
      </w:pPr>
      <w:r>
        <w:t>60.</w:t>
      </w:r>
      <w:r>
        <w:tab/>
        <w:t>ďalej zdôrazňuje, že poradné rady sú v záujme</w:t>
      </w:r>
      <w:r>
        <w:t xml:space="preserve"> podpory a zlepšovania právnych predpisov kľúčové pri odovzdávaní skúseností a poznatkov Európskej komisii a členským štátom, pri predkladaní odporúčaní týkajúcich sa riadenia rybárstva či socio-ekonomických a ochranných aspektov rybolovu a akvakultúry a p</w:t>
      </w:r>
      <w:r>
        <w:t>ri objasňovaní problémov, ktorým čelia zástupcovia tohto odvetvia či iné zainteresované strany;</w:t>
      </w:r>
    </w:p>
    <w:p w:rsidR="00CE023B" w:rsidRDefault="003A7BC0">
      <w:pPr>
        <w:pStyle w:val="Normal6a"/>
        <w:ind w:left="567" w:hanging="567"/>
      </w:pPr>
      <w:r>
        <w:t>61.</w:t>
      </w:r>
      <w:r>
        <w:tab/>
        <w:t>zdôrazňuje, že aj poradné rady zohrávajú dôležitú úlohu v kontexte regionalizácie;</w:t>
      </w:r>
    </w:p>
    <w:p w:rsidR="00CE023B" w:rsidRDefault="003A7BC0">
      <w:pPr>
        <w:pStyle w:val="Normal6a"/>
        <w:ind w:left="567" w:hanging="567"/>
      </w:pPr>
      <w:r>
        <w:t>62.</w:t>
      </w:r>
      <w:r>
        <w:tab/>
        <w:t xml:space="preserve">vyzýva Komisiu, aby zabezpečila, že regionálne zainteresované strany </w:t>
      </w:r>
      <w:r>
        <w:t>a poradné rady budú mať významnejšiu úlohu pri rokovaniach a konzultáciách s tretími krajinami, najmä so Spojeným kráľovstvom a Nórskom; poukazuje na to, že Komisia zodpovedá za organizáciu rokovaní s tretími krajinami tak, aby umožňovali priamu interakciu</w:t>
      </w:r>
      <w:r>
        <w:t xml:space="preserve"> a výmenu medzi zainteresovanými stranami na oboch stranách;</w:t>
      </w:r>
    </w:p>
    <w:p w:rsidR="00CE023B" w:rsidRDefault="003A7BC0">
      <w:pPr>
        <w:pStyle w:val="Normal6a"/>
        <w:ind w:left="567" w:hanging="567"/>
      </w:pPr>
      <w:r>
        <w:t>63.</w:t>
      </w:r>
      <w:r>
        <w:tab/>
        <w:t xml:space="preserve">podporuje zloženie poradných rád s väčšinovým zastúpením subjektov zo sociálnej a ekonomickej oblasti v porovnaní s inými záujmovými skupinami; </w:t>
      </w:r>
    </w:p>
    <w:p w:rsidR="00CE023B" w:rsidRDefault="003A7BC0">
      <w:pPr>
        <w:pStyle w:val="Normal6a"/>
        <w:ind w:left="567" w:hanging="567"/>
      </w:pPr>
      <w:r>
        <w:t>64.</w:t>
      </w:r>
      <w:r>
        <w:tab/>
        <w:t>upozorňuje na význam aktívneho zapojenia z</w:t>
      </w:r>
      <w:r>
        <w:t xml:space="preserve">ainteresovaných strán do činnosti poradných rád založeného na dobrej pracovnej atmosfére vychádzajúcej zo vzájomného </w:t>
      </w:r>
      <w:r>
        <w:lastRenderedPageBreak/>
        <w:t>rešpektu, pri zohľadnení všetkých stanovísk rozličných skupín zainteresovaných strán, nestranných sekretariátov, rotujúcich predsedov a sta</w:t>
      </w:r>
      <w:r>
        <w:t>novísk z externých, pravidelných a nezávislých preskúmaní výkonnosti;</w:t>
      </w:r>
    </w:p>
    <w:p w:rsidR="00CE023B" w:rsidRDefault="003A7BC0">
      <w:pPr>
        <w:pStyle w:val="Normal6a"/>
        <w:ind w:left="567" w:hanging="567"/>
      </w:pPr>
      <w:r>
        <w:t>65.</w:t>
      </w:r>
      <w:r>
        <w:tab/>
        <w:t>upozorňuje na význam zapojenia poradných rád do práce Európskeho parlamentu, a preto odporúča uskutočňovať pravidelné stretnutia zástupcov poradných rád a príslušných výborov Európsk</w:t>
      </w:r>
      <w:r>
        <w:t>eho parlamentu;</w:t>
      </w:r>
    </w:p>
    <w:p w:rsidR="00CE023B" w:rsidRDefault="003A7BC0">
      <w:pPr>
        <w:pStyle w:val="Normal6a"/>
        <w:ind w:left="567" w:hanging="567"/>
      </w:pPr>
      <w:r>
        <w:t>66.</w:t>
      </w:r>
      <w:r>
        <w:tab/>
        <w:t>vyjadruje poľutovanie nad nedostatočným monitorovaním a transparentnosťou toho, ako sa odporúčania poradných rád zohľadňujú pri rozhodovaní; vyzýva Komisiu, aby vypracovala postup, ktorý umožní poradným výborom lepšie pochopiť vplyv ich</w:t>
      </w:r>
      <w:r>
        <w:t xml:space="preserve"> odporúčaní, napríklad zvážiť výročnú správu, prípadne doplniť do konkrétnych návrhov Komisie vysvetlenie, napríklad v odôvodneniach príslušných legislatívnych aktov, ako boli odporúčania poradných výborov zohľadnené;</w:t>
      </w:r>
    </w:p>
    <w:p w:rsidR="00CE023B" w:rsidRDefault="003A7BC0">
      <w:pPr>
        <w:pStyle w:val="Normal6a"/>
        <w:ind w:left="567" w:hanging="567"/>
      </w:pPr>
      <w:r>
        <w:t>67.</w:t>
      </w:r>
      <w:r>
        <w:tab/>
        <w:t>vyzýva Komisiu, aby sa systematick</w:t>
      </w:r>
      <w:r>
        <w:t>y a aktívne zúčastňovala na zasadnutiach poradných rád, lepšie komunikovala význam ich odporúčaní a zároveň aby členským štátom poskytla adekvátnu podporu pri zabezpečovaní fungovania poradných rád;</w:t>
      </w:r>
    </w:p>
    <w:p w:rsidR="00CE023B" w:rsidRDefault="003A7BC0">
      <w:pPr>
        <w:pStyle w:val="Normal6a"/>
        <w:ind w:left="567" w:hanging="567"/>
      </w:pPr>
      <w:r>
        <w:t>68.</w:t>
      </w:r>
      <w:r>
        <w:tab/>
        <w:t>domnieva sa, že spoločné riadenie je participatívny m</w:t>
      </w:r>
      <w:r>
        <w:t>odel spoluzodpovednosti založený na prístupe zdola nahor, ktorý je transparentný, proaktívny, demokratický a ktorý v rámci kultúry zodpovednosti prispieva k lepšej výmene poznatkov o riadení rybárstva, vytvára prostredie dôvery a prispieva k znižovaniu kon</w:t>
      </w:r>
      <w:r>
        <w:t>fliktov a k prekonávaniu prekážok pri zavádzaní inovácií a potrebných opatrení v oblasti riadenia rybárstva, ako aj pri zriaďovaní, realizácii a riadení chránených morských oblastí, kde sa tento model ukázal ako veľmi úspešný;</w:t>
      </w:r>
    </w:p>
    <w:p w:rsidR="00CE023B" w:rsidRDefault="003A7BC0">
      <w:pPr>
        <w:pStyle w:val="Normal6a"/>
        <w:ind w:left="567" w:hanging="567"/>
      </w:pPr>
      <w:r>
        <w:t>69.</w:t>
      </w:r>
      <w:r>
        <w:tab/>
        <w:t>víta návrh Komisie, ktorý</w:t>
      </w:r>
      <w:r>
        <w:t xml:space="preserve"> avizovala vo svojom oznámení o SRP dneška a zajtrajška, t. j. zrealizovať v období od jari 2023 do leta 2024 celoeurópsky participatívny prognostický projekt s názvom Rybárstvo budúcnosti, ktorý je založený na rozhovoroch v teréne;</w:t>
      </w:r>
    </w:p>
    <w:p w:rsidR="00CE023B" w:rsidRDefault="003A7BC0">
      <w:pPr>
        <w:pStyle w:val="NormalHanging12a"/>
      </w:pPr>
      <w:r>
        <w:rPr>
          <w:rStyle w:val="Italic"/>
        </w:rPr>
        <w:t>Rozhodnutia založené na</w:t>
      </w:r>
      <w:r>
        <w:rPr>
          <w:rStyle w:val="Italic"/>
        </w:rPr>
        <w:t xml:space="preserve"> vedeckých poznatkoch a posúdeniach vplyvu</w:t>
      </w:r>
    </w:p>
    <w:p w:rsidR="00CE023B" w:rsidRDefault="003A7BC0">
      <w:pPr>
        <w:pStyle w:val="Normal6a"/>
        <w:ind w:left="567" w:hanging="567"/>
      </w:pPr>
      <w:r>
        <w:t>70.</w:t>
      </w:r>
      <w:r>
        <w:tab/>
        <w:t>vyzýva Komisiu, aby pri všetkých svojich politických a legislatívnych iniciatívach (vrátane vykonávacích aktov, ktorými sa stanovujú obmedzenia rybolovu) vychádzala z najlepších dostupných vedeckých, technický</w:t>
      </w:r>
      <w:r>
        <w:t>ch a hospodárskych odporúčaní (vrátane empirických poznatkov rybárov), z konzultácií so zástupcami odvetvia rybárstva a iných príslušných zainteresovaných strán a z ich aktívneho zapojenia, ako aj z predchádzajúcich posúdení socio-ekonomických vplyvov s vy</w:t>
      </w:r>
      <w:r>
        <w:t>užitím inovačných nástrojov, ako sú nástroje vyvinuté v rámci projektu CABFishman, v ktorom sa analyzujú vplyvy rybolovu na pobrežné oblasti;</w:t>
      </w:r>
    </w:p>
    <w:p w:rsidR="00CE023B" w:rsidRDefault="003A7BC0">
      <w:pPr>
        <w:pStyle w:val="Normal6a"/>
        <w:ind w:left="567" w:hanging="567"/>
      </w:pPr>
      <w:r>
        <w:t>71.</w:t>
      </w:r>
      <w:r>
        <w:tab/>
        <w:t xml:space="preserve">vyzýva členské štáty, aby zvýšili svoje materiálne a ľudské zdroje a pripravili ich na vhodné odborné kampane </w:t>
      </w:r>
      <w:r>
        <w:t>a projekty tak, aby mali dostatočné vedomosti o druhoch, na ktoré sa zameriavajú politiky ochrany;</w:t>
      </w:r>
    </w:p>
    <w:p w:rsidR="00CE023B" w:rsidRDefault="003A7BC0">
      <w:pPr>
        <w:pStyle w:val="Normal6a"/>
        <w:ind w:left="567" w:hanging="567"/>
      </w:pPr>
      <w:r>
        <w:t>72.</w:t>
      </w:r>
      <w:r>
        <w:tab/>
        <w:t xml:space="preserve">vyzýva ENRAF, aby poskytoval efektívnu podporu selektívnejším a šetrnejším rybolovným technikám rybárskych flotíl EÚ, a aby predovšetkým podporoval tých </w:t>
      </w:r>
      <w:r>
        <w:t>rybárov, na ktorých majú obmedzenia najväčší vplyv, a to na základe vedeckých posúdení vplyvu používania osobitných rybolovných techník; nabáda Komisiu, aby podporovala vedeckú koncepciu „</w:t>
      </w:r>
      <w:r>
        <w:rPr>
          <w:i/>
          <w:iCs/>
        </w:rPr>
        <w:t>pêchécologie</w:t>
      </w:r>
      <w:r>
        <w:t xml:space="preserve">“ („ryboekológie“), ktorej cieľom je zosúladiť ochranné </w:t>
      </w:r>
      <w:r>
        <w:t>opatrenia s udržateľným využívaním živých morských zdrojov;</w:t>
      </w:r>
    </w:p>
    <w:p w:rsidR="00CE023B" w:rsidRDefault="003A7BC0">
      <w:pPr>
        <w:pStyle w:val="Normal6a"/>
        <w:ind w:left="567" w:hanging="567"/>
      </w:pPr>
      <w:r>
        <w:t>73.</w:t>
      </w:r>
      <w:r>
        <w:tab/>
        <w:t xml:space="preserve">domnieva sa, že poradné rady by mali mať možnosť prispievať k žiadostiam Komisie o </w:t>
      </w:r>
      <w:r>
        <w:lastRenderedPageBreak/>
        <w:t xml:space="preserve">odporúčania od Medzinárodnej rady pre výskum mora (ICES) a Vedeckého, technického a hospodárskeho výboru pre </w:t>
      </w:r>
      <w:r>
        <w:t>rybárstvo (STECF) s cieľom podporiť užšiu spoluprácu medzi vedcami a zainteresovanými stranami;</w:t>
      </w:r>
    </w:p>
    <w:p w:rsidR="00CE023B" w:rsidRDefault="003A7BC0">
      <w:pPr>
        <w:pStyle w:val="NormalHanging12a"/>
      </w:pPr>
      <w:r>
        <w:t>74.</w:t>
      </w:r>
      <w:r>
        <w:tab/>
        <w:t>vyzýva Komisiu, aby pravidelne informovala Európsky parlament o týchto požiadavkách a najmä o tom, ako prispievajú k cieľom SRP;</w:t>
      </w:r>
    </w:p>
    <w:p w:rsidR="00CE023B" w:rsidRDefault="003A7BC0">
      <w:pPr>
        <w:pStyle w:val="Normal12a24b"/>
        <w:ind w:left="567" w:hanging="567"/>
      </w:pPr>
      <w:r>
        <w:rPr>
          <w:rStyle w:val="Italic"/>
        </w:rPr>
        <w:t>Začlenenie rybárstva do šir</w:t>
      </w:r>
      <w:r>
        <w:rPr>
          <w:rStyle w:val="Italic"/>
        </w:rPr>
        <w:t>šieho politického kontextu</w:t>
      </w:r>
    </w:p>
    <w:p w:rsidR="00CE023B" w:rsidRDefault="003A7BC0">
      <w:pPr>
        <w:pStyle w:val="Normal6a"/>
        <w:ind w:left="567" w:hanging="567"/>
      </w:pPr>
      <w:r>
        <w:t>75.</w:t>
      </w:r>
      <w:r>
        <w:tab/>
        <w:t>zdôrazňuje potrebu zabezpečiť, aby sa rybárstvu a akvakultúre poskytlo pri tvorbe politiky a územnom plánovaní spravodlivé miesto v porovnaní s inými odvetviami; pripomína, že je potrebné dosiahnuť lepšiu rovnováhu medzi rôzn</w:t>
      </w:r>
      <w:r>
        <w:t>ymi hospodárskymi činnosťami týkajúcimi sa modrého hospodárstva v záujme prevencie a znižovania konfliktov a podpory synergií, najmä s infraštruktúrami pre energiu z obnoviteľných zdrojov</w:t>
      </w:r>
      <w:r>
        <w:rPr>
          <w:rStyle w:val="FootnoteReference"/>
        </w:rPr>
        <w:footnoteReference w:id="16"/>
      </w:r>
      <w:r>
        <w:t>, a to smernicou o námornom priestorovom plánovaní</w:t>
      </w:r>
      <w:r>
        <w:rPr>
          <w:rStyle w:val="FootnoteReference"/>
        </w:rPr>
        <w:footnoteReference w:id="17"/>
      </w:r>
      <w:r>
        <w:t>; poukazuje na to</w:t>
      </w:r>
      <w:r>
        <w:t xml:space="preserve">, že si to vyžiada široké a úzke zapojenie zainteresovaných strán; </w:t>
      </w:r>
    </w:p>
    <w:p w:rsidR="00CE023B" w:rsidRDefault="003A7BC0">
      <w:pPr>
        <w:pStyle w:val="Normal6a"/>
        <w:ind w:left="567" w:hanging="567"/>
      </w:pPr>
      <w:r>
        <w:t>76.</w:t>
      </w:r>
      <w:r>
        <w:tab/>
        <w:t>pripomína, že požiadavky na ochranu životného prostredia sa musia začleniť do SRP s cieľom podporiť udržateľný rozvoj v súlade so ZFEÚ;</w:t>
      </w:r>
    </w:p>
    <w:p w:rsidR="00CE023B" w:rsidRDefault="003A7BC0">
      <w:pPr>
        <w:pStyle w:val="Normal6a"/>
        <w:ind w:left="567" w:hanging="567"/>
      </w:pPr>
      <w:r>
        <w:t>77.</w:t>
      </w:r>
      <w:r>
        <w:tab/>
        <w:t>zdôrazňuje, že rybárstvo nie je možné riadiť</w:t>
      </w:r>
      <w:r>
        <w:t xml:space="preserve"> ako samostatnú politiku, a vyzýva Komisiu, aby vykonávala SRP v súčinnosti so všetkými verejnými politikami EÚ, ktoré majú vplyv na hydrosféru, a zohľadnila pri tom všetky výzvy spojené s morskými oblasťami Európy;</w:t>
      </w:r>
    </w:p>
    <w:p w:rsidR="00CE023B" w:rsidRDefault="003A7BC0">
      <w:pPr>
        <w:pStyle w:val="Normal6a"/>
        <w:ind w:left="567" w:hanging="567"/>
      </w:pPr>
      <w:r>
        <w:t>78.</w:t>
      </w:r>
      <w:r>
        <w:tab/>
        <w:t xml:space="preserve">zdôrazňuje, že ide hlavne o to, aby </w:t>
      </w:r>
      <w:r>
        <w:t>bola SRP v súlade s právnymi predpismi EÚ v oblasti životného prostredia, najmä s cieľom dosiahnuť dobrý environmentálny stav, ktorý je stanovený v rámcovej smernici o morskej stratégii</w:t>
      </w:r>
      <w:r>
        <w:rPr>
          <w:rStyle w:val="FootnoteReference"/>
        </w:rPr>
        <w:footnoteReference w:id="18"/>
      </w:r>
      <w:r>
        <w:t>, a musí sa vykonávať tak, aby sa všetky tri piliere udržateľnosti dod</w:t>
      </w:r>
      <w:r>
        <w:t>ržiavali rovnako;</w:t>
      </w:r>
    </w:p>
    <w:p w:rsidR="00CE023B" w:rsidRDefault="003A7BC0">
      <w:pPr>
        <w:pStyle w:val="Normal6a"/>
        <w:ind w:left="567" w:hanging="567"/>
      </w:pPr>
      <w:r>
        <w:t>79.</w:t>
      </w:r>
      <w:r>
        <w:tab/>
        <w:t>zdôrazňuje potrebu, aby ostatné politiky a stratégie EÚ dostatočne zohľadňovali SRP a boli s ňou v súlade;</w:t>
      </w:r>
    </w:p>
    <w:p w:rsidR="00CE023B" w:rsidRDefault="003A7BC0">
      <w:pPr>
        <w:pStyle w:val="Normal6a"/>
        <w:ind w:left="567" w:hanging="567"/>
      </w:pPr>
      <w:r>
        <w:t>80.</w:t>
      </w:r>
      <w:r>
        <w:tab/>
        <w:t>konštatuje, že pri vykonávaní opatrení zameraných na zlepšenie podmienok v morskom prostredí treba zvoliť holistický prístu</w:t>
      </w:r>
      <w:r>
        <w:t>p, ktorým sa zabezpečí náležitá podpora odvetvia rybolovu a akvakultúry;</w:t>
      </w:r>
    </w:p>
    <w:p w:rsidR="00CE023B" w:rsidRDefault="003A7BC0">
      <w:pPr>
        <w:pStyle w:val="Normal6a"/>
        <w:ind w:left="567" w:hanging="567"/>
      </w:pPr>
      <w:r>
        <w:t>81.</w:t>
      </w:r>
      <w:r>
        <w:tab/>
        <w:t>pripomína, že v článku 13 ZFEÚ sa stanovuje, že pri formulovaní a vykonávaní rybárskej politiky EÚ by Únia a jej členské štáty mali v plnej miere zohľadňovať požiadavky na dobré ž</w:t>
      </w:r>
      <w:r>
        <w:t>ivotné podmienky zvierat a zároveň rešpektovať zákonné alebo správne ustanovenia a zvyky členských štátov;</w:t>
      </w:r>
    </w:p>
    <w:p w:rsidR="00CE023B" w:rsidRDefault="003A7BC0">
      <w:pPr>
        <w:pStyle w:val="NormalHanging12a"/>
      </w:pPr>
      <w:r>
        <w:t>82.</w:t>
      </w:r>
      <w:r>
        <w:tab/>
        <w:t>vyzýva Komisiu, aby ďalej zvyšovala úroveň vedeckých poznatkov o dobrých životných podmienkach vodných živočíchov a aby tento výskum zohľadnila p</w:t>
      </w:r>
      <w:r>
        <w:t xml:space="preserve">ri </w:t>
      </w:r>
      <w:r>
        <w:lastRenderedPageBreak/>
        <w:t>budúcom vývoji politík v oblasti rybárstva a akvakultúry; zdôrazňuje, že akýkoľvek budúci politický vývoj by mal pri riadení rybárstva a akvakultúry zohľadňovať aj praktickú realizovateľnosť a potenciálny hospodársky a prevádzkový vplyv na prevádzkovate</w:t>
      </w:r>
      <w:r>
        <w:t>ľov a činnosti, pričom by mal zohľadňovať aj potrebu zaručiť rovnaké podmienky na medzinárodnej úrovni;</w:t>
      </w:r>
    </w:p>
    <w:p w:rsidR="00CE023B" w:rsidRDefault="003A7BC0">
      <w:pPr>
        <w:pStyle w:val="NormalHanging12a"/>
      </w:pPr>
      <w:r>
        <w:t>83.</w:t>
      </w:r>
      <w:r>
        <w:tab/>
        <w:t>domnieva sa, že uvádzanie výrobkov výlučne na rastlinnej báze na trh pod obchodným názvom „ryby“ alebo druhy rýb môže spotrebiteľov pri ich nákupe z</w:t>
      </w:r>
      <w:r>
        <w:t>avádzať; tvrdí, že obchodný názov „ryby“ alebo druhy rýb by mal byť na vnútornom trhu vyhradený pre produkty rybolovu alebo akvakultúry živočíšneho pôvodu;</w:t>
      </w:r>
    </w:p>
    <w:p w:rsidR="00CE023B" w:rsidRDefault="003A7BC0">
      <w:pPr>
        <w:pStyle w:val="NormalHanging12a"/>
      </w:pPr>
      <w:r>
        <w:t>84.</w:t>
      </w:r>
      <w:r>
        <w:tab/>
        <w:t>vyzýva Komisiu, aby preskúmala, aktualizovala a poskytla regulačný obsah pojmu „oblasť vo veľkej</w:t>
      </w:r>
      <w:r>
        <w:t xml:space="preserve"> miere závislá od rybolovu“ tak, aby toto označenie poskytovalo rozdielnosť v zaobchádzaní, ktorej cieľom je zachovanie rybolovu v týchto oblastiach preferenčným prideľovaním rybolovných kvót; podporuje názor, že hlavnými prvkami aktualizovaného pojmu „obl</w:t>
      </w:r>
      <w:r>
        <w:t>asť vo veľkej miere závislá od rybolovu“ by mali byť produkcia kvalitných živočíšnych bielkovín, príspevok k potravinovej bezpečnosti alebo zabezpečenie vysokej pridanej hodnoty úlovkov a iných morských produktov, ako aj sociálny význam činnosti;</w:t>
      </w:r>
    </w:p>
    <w:p w:rsidR="00CE023B" w:rsidRDefault="003A7BC0">
      <w:pPr>
        <w:pStyle w:val="Normal6a"/>
        <w:ind w:left="567" w:hanging="567"/>
        <w:rPr>
          <w:b/>
          <w:i/>
        </w:rPr>
      </w:pPr>
      <w:r>
        <w:rPr>
          <w:b/>
          <w:i/>
        </w:rPr>
        <w:t>Maloobjemový rybolov</w:t>
      </w:r>
    </w:p>
    <w:p w:rsidR="00CE023B" w:rsidRDefault="003A7BC0">
      <w:pPr>
        <w:pStyle w:val="Normal6a"/>
        <w:ind w:left="567" w:hanging="567"/>
      </w:pPr>
      <w:r>
        <w:t>85.</w:t>
      </w:r>
      <w:r>
        <w:tab/>
        <w:t>konštatuje, že niektoré aspekty SRP nemusia primerane zohľadňovať odvetvie maloobjemového rybolovu a že sa musí zachovať jeho životne dôležitá socio-ekonomická úloha v mnohých pobrežných komunitách, ako aj jeho strategická úloha pr</w:t>
      </w:r>
      <w:r>
        <w:t>i zabezpečovaní dostupnosti dodávok potravín;</w:t>
      </w:r>
    </w:p>
    <w:p w:rsidR="00CE023B" w:rsidRDefault="003A7BC0">
      <w:pPr>
        <w:pStyle w:val="Normal6a"/>
        <w:ind w:left="567" w:hanging="567"/>
      </w:pPr>
      <w:r>
        <w:t>86.</w:t>
      </w:r>
      <w:r>
        <w:tab/>
        <w:t>zastáva názor, že SRP by mala dostatočne zohľadňovať rôznorodý charakter, osobité charakteristiky a problémy v odvetví maloobjemového rybolovu a mäkkýšov, kôrovcov a ostnatokožcov;</w:t>
      </w:r>
    </w:p>
    <w:p w:rsidR="00CE023B" w:rsidRDefault="003A7BC0">
      <w:pPr>
        <w:pStyle w:val="NormalHanging12a"/>
      </w:pPr>
      <w:r>
        <w:t>87.</w:t>
      </w:r>
      <w:r>
        <w:tab/>
        <w:t>upozorňuje na potrebu</w:t>
      </w:r>
      <w:r>
        <w:t xml:space="preserve"> väčšieho zapojenia a účasti profesionálov z odvetvia drobného rybolovu na riadení, vymedzovaní a vykonávaní politík v oblasti rybárstva, ako aj na činnostiach poradných rád;</w:t>
      </w:r>
    </w:p>
    <w:p w:rsidR="00CE023B" w:rsidRDefault="003A7BC0">
      <w:pPr>
        <w:pStyle w:val="Normal6a"/>
        <w:ind w:left="567" w:hanging="567"/>
      </w:pPr>
      <w:r>
        <w:t>88.</w:t>
      </w:r>
      <w:r>
        <w:tab/>
        <w:t>zastáva názor, že revízia SRP by mala zahŕňať jednotnú, širokú a primeranú de</w:t>
      </w:r>
      <w:r>
        <w:t>finíciu maloobjemového, drobného a pobrežného rybolovu; zdôrazňuje, že táto definícia by mala byť pragmatická, merateľná a zrozumiteľná; zdôrazňuje tiež, že toto vymedzenie by malo vychádzať z adekvátneho posúdenia, v ktorom sa zohľadnia skôr osobité chara</w:t>
      </w:r>
      <w:r>
        <w:t>kteristiky a kritériá maloobjemovosti, ako iba samotná dĺžka plavidla, aby sa tak dospelo k definícii maloobjemového rybolovu, ktorá lepšie odráža realitu tohto trhového segmentu;</w:t>
      </w:r>
    </w:p>
    <w:p w:rsidR="00CE023B" w:rsidRDefault="003A7BC0">
      <w:pPr>
        <w:pStyle w:val="NormalHanging12a"/>
      </w:pPr>
      <w:r>
        <w:t>89.</w:t>
      </w:r>
      <w:r>
        <w:tab/>
        <w:t>vyzýva Komisiu, aby spolu s poradnými radami navrhla harmonizovanú defin</w:t>
      </w:r>
      <w:r>
        <w:t>íciu, ktorá sa stane súčasťou preskúmania základného nariadenia o SRP tak, aby sa v prípade potreby dala použiť vo všetkých právnych predpisoch EÚ v oblasti rybárstva; domnieva sa, že žiadna z uvedených zmien by nemala mať vplyv na vykonávanie ENRAF v tomt</w:t>
      </w:r>
      <w:r>
        <w:t>o rozpočtovom období;</w:t>
      </w:r>
    </w:p>
    <w:p w:rsidR="00CE023B" w:rsidRDefault="003A7BC0">
      <w:pPr>
        <w:pStyle w:val="NormalHanging12a"/>
      </w:pPr>
      <w:r>
        <w:t>90.</w:t>
      </w:r>
      <w:bookmarkStart w:id="8" w:name="_GoBack"/>
      <w:bookmarkEnd w:id="8"/>
      <w:r>
        <w:tab/>
        <w:t>zdôrazňuje potrebu zmeny nariadenia Rady (ES) č. 1967/2006 o riadiacich opatreniach pre trvalo udržateľné využívanie zdrojov rybného hospodárstva v Stredozemnom mori, známeho aj ako „nariadenie o Stredozemnom mori“, ktorým sa stano</w:t>
      </w:r>
      <w:r>
        <w:t xml:space="preserve">vujú pravidlá týkajúce sa technických vlastností rybárskeho výstroja a jeho používania a ktoré je, žiaľ, </w:t>
      </w:r>
      <w:r>
        <w:lastRenderedPageBreak/>
        <w:t>zastarané a ako také predstavuje prekážku pri plnení hlavných cieľov spoločnej rybárskej politiky, najmä tých, ktoré sa týkajú maloobjemového rybolovu;</w:t>
      </w:r>
    </w:p>
    <w:p w:rsidR="00CE023B" w:rsidRDefault="003A7BC0">
      <w:pPr>
        <w:pStyle w:val="Normal6a"/>
        <w:ind w:left="567" w:hanging="567"/>
        <w:rPr>
          <w:b/>
          <w:i/>
        </w:rPr>
      </w:pPr>
      <w:r>
        <w:rPr>
          <w:b/>
          <w:i/>
        </w:rPr>
        <w:t>Prideľovanie kvót</w:t>
      </w:r>
    </w:p>
    <w:p w:rsidR="00CE023B" w:rsidRDefault="003A7BC0">
      <w:pPr>
        <w:pStyle w:val="Normal6a"/>
        <w:ind w:left="567" w:hanging="567"/>
      </w:pPr>
      <w:r>
        <w:t>91.</w:t>
      </w:r>
      <w:r>
        <w:tab/>
        <w:t>zdôrazňuje, že podľa článku 17 majú členské štáty pri prideľovaní rybolovných možností, ktoré majú ich flotily k dispozícii, používať transparentné a objektívne kritériá vrátane kritérií environmentálnej, sociálnej a hospodárskej pov</w:t>
      </w:r>
      <w:r>
        <w:t>ahy; zdôrazňuje, že je na členských štátoch, aby určili kritériá, ktoré budú používať pri prideľovaní rybolovných možností;</w:t>
      </w:r>
    </w:p>
    <w:p w:rsidR="00CE023B" w:rsidRDefault="003A7BC0">
      <w:pPr>
        <w:pStyle w:val="Normal6a"/>
        <w:ind w:left="567" w:hanging="567"/>
      </w:pPr>
      <w:r>
        <w:t>92.</w:t>
      </w:r>
      <w:r>
        <w:tab/>
        <w:t>víta skutočnosť, že súčasné metódy prideľovania založené prevažne na historických právach poskytujú určitú úroveň hospodárskej s</w:t>
      </w:r>
      <w:r>
        <w:t>tability v odvetví rybolovu, čo môže byť pre prevádzkovateľov predpokladom k tomu, aby mohli inovovať a uplatňovať udržateľnejšie techniky;</w:t>
      </w:r>
    </w:p>
    <w:p w:rsidR="00CE023B" w:rsidRDefault="003A7BC0">
      <w:pPr>
        <w:pStyle w:val="Normal6a"/>
        <w:ind w:left="567" w:hanging="567"/>
      </w:pPr>
      <w:r>
        <w:t>93.</w:t>
      </w:r>
      <w:r>
        <w:tab/>
        <w:t>zdôrazňuje, že ľahko dostupný systém rybolovných možností, spolu s transparentnými kritériami prideľovania a tra</w:t>
      </w:r>
      <w:r>
        <w:t>nsparentnosťou jeho praktického uplatňovania, umožňuje lepšiu kontrolu, rovnaké podmienky, rovnaké príležitosti pre všetky zainteresované strany a väčšiu predvídateľnosť, stabilitu a právnu istotu pre rybárov;</w:t>
      </w:r>
    </w:p>
    <w:p w:rsidR="00CE023B" w:rsidRDefault="003A7BC0">
      <w:pPr>
        <w:pStyle w:val="Normal6a"/>
        <w:ind w:left="567" w:hanging="567"/>
      </w:pPr>
      <w:r>
        <w:t>94.</w:t>
      </w:r>
      <w:r>
        <w:tab/>
        <w:t>vyjadruje poľutovanie nad nedostatočnou tr</w:t>
      </w:r>
      <w:r>
        <w:t>ansparentnosťou, pokiaľ ide o rozdelenie rybolovných možností v niektorých členských štátoch, a žiada, aby boli kritériá v súlade s platnými právnymi predpismi o ochrane údajov zverejnené;</w:t>
      </w:r>
    </w:p>
    <w:p w:rsidR="00CE023B" w:rsidRDefault="003A7BC0">
      <w:pPr>
        <w:pStyle w:val="Normal6a"/>
        <w:ind w:left="567" w:hanging="567"/>
      </w:pPr>
      <w:r>
        <w:t>95.</w:t>
      </w:r>
      <w:r>
        <w:tab/>
        <w:t>domnieva sa, že spôsoby prideľovania by sa mali navrhovať a upl</w:t>
      </w:r>
      <w:r>
        <w:t>atňovať za účasti zástupcov rybolovných komunít, regionálnych orgánov a iných príslušných zainteresovaných strán, pričom by sa malo zabezpečiť spravodlivé zastúpenie všetkých typov flotily, organizácií výrobcov a organizácií pracovníkov na základe najlepší</w:t>
      </w:r>
      <w:r>
        <w:t>ch dostupných vedeckých odporúčaní, a mali by zahŕňať záruky, ako sú výpovedné lehoty, aby sa rybárom umožnilo prispôsobiť sa v prípade, že sa členské štáty rozhodnú zmeniť svoje spôsoby prideľovania;</w:t>
      </w:r>
    </w:p>
    <w:p w:rsidR="00CE023B" w:rsidRDefault="003A7BC0">
      <w:pPr>
        <w:pStyle w:val="Normal6a"/>
        <w:ind w:left="567" w:hanging="567"/>
      </w:pPr>
      <w:r>
        <w:t>96.</w:t>
      </w:r>
      <w:r>
        <w:tab/>
        <w:t>naliehavo vyzýva Radu, aby pri prideľovaní rybolovn</w:t>
      </w:r>
      <w:r>
        <w:t>ých možností zohľadnila osobitosti a potreby každého typu flotily vrátane maloobjemového;</w:t>
      </w:r>
    </w:p>
    <w:p w:rsidR="00CE023B" w:rsidRDefault="003A7BC0">
      <w:pPr>
        <w:pStyle w:val="Normal6a"/>
        <w:ind w:left="567" w:hanging="567"/>
      </w:pPr>
      <w:r>
        <w:t>97.</w:t>
      </w:r>
      <w:r>
        <w:tab/>
        <w:t>pripomína úlohu článku 17 SRP ako nástroja na poskytovanie stimulov pre maloobjemový rybolov a rybolov s malým vplyvom, ako aj to, že je na členských štátoch, aby</w:t>
      </w:r>
      <w:r>
        <w:t xml:space="preserve"> využili možnosti, ktoré tento nástroj ponúka, ako sú stimuly na používanie selektívnejšieho rybárskeho výstroja alebo na používanie rybolovných techník so zníženou spotrebou energie alebo s menším vplyvom na biotopy; </w:t>
      </w:r>
    </w:p>
    <w:p w:rsidR="00CE023B" w:rsidRDefault="003A7BC0">
      <w:pPr>
        <w:pStyle w:val="Normal6a"/>
        <w:ind w:left="567" w:hanging="567"/>
      </w:pPr>
      <w:r>
        <w:t>98.</w:t>
      </w:r>
      <w:r>
        <w:tab/>
        <w:t>berie na vedomie, že Komisia inic</w:t>
      </w:r>
      <w:r>
        <w:t>iuje diskusie medzi členskými štátmi a zainteresovanými stranami s cieľom vypracovať príručku prideľovania rybolovných možností s cieľom zvýšiť transparentnosť, podporiť udržateľné rybolovné postupy v EÚ a podporiť maloobjemový a pobrežný rybolov;</w:t>
      </w:r>
    </w:p>
    <w:p w:rsidR="00CE023B" w:rsidRDefault="003A7BC0">
      <w:pPr>
        <w:pStyle w:val="Normal6a"/>
        <w:ind w:left="567" w:hanging="567"/>
        <w:rPr>
          <w:b/>
          <w:i/>
        </w:rPr>
      </w:pPr>
      <w:r>
        <w:rPr>
          <w:b/>
          <w:i/>
        </w:rPr>
        <w:t>Organizá</w:t>
      </w:r>
      <w:r>
        <w:rPr>
          <w:b/>
          <w:i/>
        </w:rPr>
        <w:t>cie výrobcov a rybárske kooperatívy</w:t>
      </w:r>
    </w:p>
    <w:p w:rsidR="00CE023B" w:rsidRDefault="003A7BC0">
      <w:pPr>
        <w:pStyle w:val="Normal6a"/>
        <w:ind w:left="567" w:hanging="567"/>
      </w:pPr>
      <w:r>
        <w:t>99.</w:t>
      </w:r>
      <w:r>
        <w:tab/>
        <w:t xml:space="preserve">podčiarkuje úlohu organizácií výrobcov pri podpore udržateľnosti, prispievaní k dostupnosti dodávok potravín a pri zvyšovaní rastu a zamestnanosti v odvetviach rybolovu a akvakultúry okrem iného: 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 xml:space="preserve">riadením a </w:t>
      </w:r>
      <w:r>
        <w:t>realizáciou kolektívnych akcií;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>prepájaním výrobcov s prvými nákupcami a so spotrebiteľmi v dodávateľskom reťazci,</w:t>
      </w:r>
    </w:p>
    <w:p w:rsidR="00CE023B" w:rsidRDefault="003A7BC0">
      <w:pPr>
        <w:pStyle w:val="Normal6a"/>
        <w:ind w:left="1134" w:hanging="567"/>
      </w:pPr>
      <w:r>
        <w:lastRenderedPageBreak/>
        <w:t>–</w:t>
      </w:r>
      <w:r>
        <w:tab/>
        <w:t xml:space="preserve">presadzovaním životaschopných a udržateľných produktov rybolovu u spotrebiteľov účasťou na systémoch certifikácie; 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>presadzovaním dodrž</w:t>
      </w:r>
      <w:r>
        <w:t>iavania nariadenia o rybolove, podporou vysledovateľnosti a zvyšovaním transparentnosti a kvality údajov vo vyhláseniach o úlovkoch v záujme boja proti nezákonnému, nenahlásenému a neregulovanému rybolovu;</w:t>
      </w:r>
    </w:p>
    <w:p w:rsidR="00CE023B" w:rsidRDefault="003A7BC0">
      <w:pPr>
        <w:pStyle w:val="Normal6a"/>
        <w:ind w:left="1134" w:hanging="567"/>
      </w:pPr>
      <w:r>
        <w:t>–</w:t>
      </w:r>
      <w:r>
        <w:tab/>
        <w:t>rozdeľovaním a riadením rybolovných kvót v niekt</w:t>
      </w:r>
      <w:r>
        <w:t>orých členských štátoch;</w:t>
      </w:r>
    </w:p>
    <w:p w:rsidR="00CE023B" w:rsidRDefault="003A7BC0">
      <w:pPr>
        <w:pStyle w:val="Normal6a"/>
        <w:ind w:left="567" w:hanging="567"/>
      </w:pPr>
      <w:r>
        <w:t>100.</w:t>
      </w:r>
      <w:r>
        <w:tab/>
        <w:t>ďalej konštatuje, že v mnohých členských štátoch patrí k organizáciám výrobcov relatívne málo maloobjemových rybárov a ešte menej maloobjemových rybárov má vlastné organizácie výrobcov, čo obmedzuje ich schopnosť využívať tent</w:t>
      </w:r>
      <w:r>
        <w:t>o kanál na prístup k rybolovným kvótam; nabáda preto Komisiu a členské štáty, aby uľahčili a podporovali vytváranie organizácií výrobcov z maloobjemových rybárov a pre nich;</w:t>
      </w:r>
    </w:p>
    <w:p w:rsidR="00CE023B" w:rsidRDefault="003A7BC0">
      <w:pPr>
        <w:pStyle w:val="NormalHanging12a"/>
      </w:pPr>
      <w:r>
        <w:t>101.</w:t>
      </w:r>
      <w:r>
        <w:tab/>
        <w:t>zdôrazňuje, že združenia rybárov, ako sú kooperatívy, ktoré sledujú hlavné ci</w:t>
      </w:r>
      <w:r>
        <w:t>ele danej organizácie výrobcov v rámci spoločnej organizácie trhov</w:t>
      </w:r>
      <w:r>
        <w:rPr>
          <w:rStyle w:val="FootnoteReference"/>
        </w:rPr>
        <w:footnoteReference w:id="19"/>
      </w:r>
      <w:r>
        <w:t>, by mali byť oprávnené získať finančnú pomoc za rovnakých podmienok ako v súčasnosti uznané organizácie výrobcov; v tejto súvislosti trvá na tom, aby dotknuté členské štáty, Komisia a člen</w:t>
      </w:r>
      <w:r>
        <w:t>ovia kooperatív spoločne zvážili príslušné možnosti a riešenia;</w:t>
      </w:r>
    </w:p>
    <w:p w:rsidR="00CE023B" w:rsidRDefault="003A7BC0">
      <w:pPr>
        <w:pStyle w:val="Normal6a"/>
        <w:ind w:left="567" w:hanging="567"/>
        <w:rPr>
          <w:b/>
          <w:i/>
        </w:rPr>
      </w:pPr>
      <w:r>
        <w:rPr>
          <w:b/>
          <w:i/>
        </w:rPr>
        <w:t>Generačná výmena a úloha žien</w:t>
      </w:r>
    </w:p>
    <w:p w:rsidR="00CE023B" w:rsidRDefault="003A7BC0">
      <w:pPr>
        <w:pStyle w:val="Normal6a"/>
        <w:ind w:left="567" w:hanging="567"/>
      </w:pPr>
      <w:r>
        <w:t>102.</w:t>
      </w:r>
      <w:r>
        <w:tab/>
        <w:t>pripomína, že normy SRP patria vo svete k tým najprísnejším a významne prispievajú k environmentálnej, hospodárskej a sociálnej udržateľnosti činnosti a hoci</w:t>
      </w:r>
      <w:r>
        <w:t xml:space="preserve"> je stále dostatok priestoru na zlepšenie, pokrok dosiahnutý v posledných desaťročiach ukazuje možnosti ďalšieho napredovania, jednak z hľadiska udržateľnosti populácií a biotopov, ale aj z hľadiska zvýšenia príjmov rybárov a majiteľov lodí; zdôrazňuje, že</w:t>
      </w:r>
      <w:r>
        <w:t xml:space="preserve"> presadzovanie prísnych noriem z hľadiska environmentálnej, ekonomickej a sociálnej udržateľnosti odvetvia rybárstva je, okrem iných faktorov, kľúčom k prilákaniu novej generácie rybárov a k zabezpečeniu dlhodobej hospodárskej stability v odvetví;</w:t>
      </w:r>
    </w:p>
    <w:p w:rsidR="00CE023B" w:rsidRDefault="003A7BC0">
      <w:pPr>
        <w:pStyle w:val="Normal6a"/>
        <w:ind w:left="567" w:hanging="567"/>
      </w:pPr>
      <w:r>
        <w:t>103.</w:t>
      </w:r>
      <w:r>
        <w:tab/>
        <w:t>kon</w:t>
      </w:r>
      <w:r>
        <w:t xml:space="preserve">štatuje, že ochrana životného prostredia je čoraz väčšou starosťou Európanov, najmä mladších generácií; zdôrazňuje význam udržateľného riadenia rybárstva s cieľom prilákať mladých rybárov; v tejto súvislosti vyzýva na podporu rybolovu s malým vplyvom; </w:t>
      </w:r>
    </w:p>
    <w:p w:rsidR="00CE023B" w:rsidRDefault="003A7BC0">
      <w:pPr>
        <w:pStyle w:val="Normal6a"/>
        <w:ind w:left="567" w:hanging="567"/>
      </w:pPr>
      <w:r>
        <w:t>104</w:t>
      </w:r>
      <w:r>
        <w:t>.</w:t>
      </w:r>
      <w:r>
        <w:tab/>
        <w:t xml:space="preserve">ďalej vyzýva Komisiu, aby zabezpečila, že časť finančných príspevkov v rámci dohôd o partnerstve v odvetví udržateľného rybárstva sa podľa možnosti vyčlení aj na lepšiu integráciu mladých ľudí a žien do odvetví rybolovu a akvakultúry, na obnovu morského </w:t>
      </w:r>
      <w:r>
        <w:t>prostredia a na zlepšenie stavu poznatkov o stave klímy a morského prostredia;</w:t>
      </w:r>
    </w:p>
    <w:p w:rsidR="00CE023B" w:rsidRDefault="003A7BC0">
      <w:pPr>
        <w:pStyle w:val="Normal6a"/>
        <w:ind w:left="567" w:hanging="567"/>
      </w:pPr>
      <w:r>
        <w:t>105.</w:t>
      </w:r>
      <w:r>
        <w:tab/>
        <w:t>zdôrazňuje potrebu prilákať mladých ľudí nielen k činnostiam morského rybolovu, ale aj k riadeniu rybárskych podnikov a k akvakultúre, čím sa zabezpečí generačná výmena v c</w:t>
      </w:r>
      <w:r>
        <w:t>elom odvetví;</w:t>
      </w:r>
    </w:p>
    <w:p w:rsidR="00CE023B" w:rsidRDefault="003A7BC0">
      <w:pPr>
        <w:pStyle w:val="Normal6a"/>
        <w:ind w:left="567" w:hanging="567"/>
      </w:pPr>
      <w:r>
        <w:t>106.</w:t>
      </w:r>
      <w:r>
        <w:tab/>
        <w:t>upozorňuje na význam generačnej výmeny pri riešení demografických výziev, ktorým čelia najmä pobrežné a okolité vidiecke oblasti, a pri zachovávaní ich kultúrneho dedičstva;</w:t>
      </w:r>
    </w:p>
    <w:p w:rsidR="00CE023B" w:rsidRDefault="003A7BC0">
      <w:pPr>
        <w:pStyle w:val="Normal6a"/>
        <w:ind w:left="567" w:hanging="567"/>
      </w:pPr>
      <w:r>
        <w:t>107.</w:t>
      </w:r>
      <w:r>
        <w:tab/>
        <w:t>víta skutočnosť, že ENRAF na roky 2021 – 2027 poskytuje po</w:t>
      </w:r>
      <w:r>
        <w:t xml:space="preserve">moc a podporu mladým rybárom pri kúpe ich prvého plavidla alebo rybárskeho podniku; v tejto súvislosti vyzýva Komisiu a členské štáty, aby presadzovali generačnú výmenu podporou ľudí, </w:t>
      </w:r>
      <w:r>
        <w:lastRenderedPageBreak/>
        <w:t xml:space="preserve">ktorí chcú začať kariéru v odvetví rybárstva, a odstraňovaním prekážok, </w:t>
      </w:r>
      <w:r>
        <w:t xml:space="preserve">ako je riešenie vysokých nákladov na začatie podnikania, príjmovej nestability, rodovej nerovnosti a nedostatočnej kariérnej stability; </w:t>
      </w:r>
    </w:p>
    <w:p w:rsidR="00CE023B" w:rsidRDefault="003A7BC0">
      <w:pPr>
        <w:pStyle w:val="Normal6a"/>
        <w:ind w:left="567" w:hanging="567"/>
      </w:pPr>
      <w:r>
        <w:t>108.</w:t>
      </w:r>
      <w:r>
        <w:tab/>
        <w:t xml:space="preserve">vyzýva Komisiu, aby v spolupráci s členskými štátmi pripravila nové opatrenia, ktoré budú stimulovať začleňovanie </w:t>
      </w:r>
      <w:r>
        <w:t>mladých ľudí a žien na všetkých úrovniach tohto odvetvia a lepšie podporovať generačnú výmenu, najmä tým, že sa všetky pracovné miesta v hodnotovom reťazci rybolovu a akvakultúry stanú atraktívnejšími, bezpečnejšími a lepšie platenými a aby zároveň zabezpe</w:t>
      </w:r>
      <w:r>
        <w:t>čila, že odvetvie bude tieto opatrenia využívať;</w:t>
      </w:r>
    </w:p>
    <w:p w:rsidR="00CE023B" w:rsidRDefault="003A7BC0">
      <w:pPr>
        <w:pStyle w:val="Normal6a"/>
        <w:ind w:left="567" w:hanging="567"/>
      </w:pPr>
      <w:r>
        <w:t>109.</w:t>
      </w:r>
      <w:r>
        <w:tab/>
        <w:t>zdôrazňuje, že je dôležité poskytnúť náležité informácie a odbornú prípravu, zvlášť pokiaľ ide o mladých ľudí, s cieľom zabezpečiť výmenu poznatkov, najmä pokiaľ ide o príspevok rybárstva k otázkam udrž</w:t>
      </w:r>
      <w:r>
        <w:t>ateľnosti; domnieva sa, že je to dôležité jednak na zabezpečenie ich osobnej situácie zlepšením ich príjmov, ale aj na zabezpečenie súdržnosti ich miestnych komunít, najmä v najizolovanejších pobrežných regiónoch s obmedzenými pracovnými príležitosťami;</w:t>
      </w:r>
    </w:p>
    <w:p w:rsidR="00CE023B" w:rsidRDefault="003A7BC0">
      <w:pPr>
        <w:pStyle w:val="Normal6a"/>
        <w:ind w:left="567" w:hanging="567"/>
      </w:pPr>
      <w:r>
        <w:t>11</w:t>
      </w:r>
      <w:r>
        <w:t>0.</w:t>
      </w:r>
      <w:r>
        <w:tab/>
        <w:t>podčiarkuje, že generačná výmena musí zohľadňovať ciele Európskej zelenej dohody a potrebu zabezpečiť digitálnu transformáciu aj v udržateľnom modrom hospodárstve; domnieva sa však, že generačná výmena by nemala viesť ku kolízii medzi generáciami a mala</w:t>
      </w:r>
      <w:r>
        <w:t xml:space="preserve"> by zahŕňať rybárov všetkých vekových kategórií, ktorí zabezpečia rovnováhu pri ekologickej a digitálnej transformácii, aby sa zabezpečilo, že sa nestratí odovzdávanie skúseností z generácie na generáciu; ďalej vyzýva na posilnenie mobility a pracovných pr</w:t>
      </w:r>
      <w:r>
        <w:t>íležitostí v celej EÚ, pokiaľ ide o uznávanie zručností a odbornej prípravy rybárov bez ťažkostí alebo obmedzení;</w:t>
      </w:r>
    </w:p>
    <w:p w:rsidR="00CE023B" w:rsidRDefault="003A7BC0">
      <w:pPr>
        <w:pStyle w:val="Normal6a"/>
        <w:ind w:left="567" w:hanging="567"/>
      </w:pPr>
      <w:r>
        <w:t>111.</w:t>
      </w:r>
      <w:r>
        <w:tab/>
        <w:t>uznáva dôležitú úlohu žien v logistickej a administratívnej podpore rybárskych plavidiel, ako aj pri predaji rýb a ich spracovaní; zdôraz</w:t>
      </w:r>
      <w:r>
        <w:t>ňuje však, že táto úloha je často prehliadaná alebo sotva viditeľná, najmä ak ide o rybárky alebo kapitánky lodí, ale aj ich účasť na vede;</w:t>
      </w:r>
    </w:p>
    <w:p w:rsidR="00CE023B" w:rsidRDefault="003A7BC0">
      <w:pPr>
        <w:pStyle w:val="Normal6a"/>
        <w:ind w:left="567" w:hanging="567"/>
      </w:pPr>
      <w:r>
        <w:t>112.</w:t>
      </w:r>
      <w:r>
        <w:tab/>
        <w:t>vyzýva preto Komisiu, aby spustila iniciatívy na uznanie práce žien v oblasti rybárstva a na zvýšenie viditeľno</w:t>
      </w:r>
      <w:r>
        <w:t>sti ich úlohy, a to tak podporou ich zapájania do rôznych oblastí, ako aj podporou lepšieho zastúpenia žien vo všetkých zastupiteľských organizáciách a subjektoch, a aby zároveň zabezpečila rovnaké odmeňovanie žien a mužov;</w:t>
      </w:r>
    </w:p>
    <w:p w:rsidR="00CE023B" w:rsidRDefault="003A7BC0">
      <w:pPr>
        <w:pStyle w:val="Normal6a"/>
        <w:ind w:left="567" w:hanging="567"/>
      </w:pPr>
      <w:r>
        <w:t>113.</w:t>
      </w:r>
      <w:r>
        <w:tab/>
        <w:t>pripomína, že v stratégii p</w:t>
      </w:r>
      <w:r>
        <w:t>re rodovú rovnosť na roky 2020 – 2025 sa vyžaduje, aby príslušné finančné prostriedky EÚ, ako napríklad ENRAF, podporovali opatrenia týkajúce sa rovnováhy medzi pracovným a súkromným životom a podpory účasti žien na trhu práce, presadzovali investície do z</w:t>
      </w:r>
      <w:r>
        <w:t>ariadení starostlivosti o deti, podporovali podnikanie žien a bojovali proti rodovej segregácii;</w:t>
      </w:r>
    </w:p>
    <w:p w:rsidR="00CE023B" w:rsidRDefault="003A7BC0">
      <w:pPr>
        <w:pStyle w:val="NormalHanging12a"/>
      </w:pPr>
      <w:r>
        <w:t>114.</w:t>
      </w:r>
      <w:r>
        <w:tab/>
        <w:t>vyzýva Komisiu a členské štáty, aby sa usilovali zabezpečiť, že každý program a všetky činnosti zamerané na prilákanie mladých ľudí do odvetvia rybolovu v</w:t>
      </w:r>
      <w:r>
        <w:t>ykonávané v rámci SRP prispievali k dosahovaniu rodovej rovnosti;</w:t>
      </w:r>
    </w:p>
    <w:p w:rsidR="00CE023B" w:rsidRDefault="003A7BC0">
      <w:pPr>
        <w:pStyle w:val="Normal6a"/>
        <w:ind w:left="567" w:hanging="567"/>
        <w:rPr>
          <w:b/>
        </w:rPr>
      </w:pPr>
      <w:r>
        <w:rPr>
          <w:rStyle w:val="BoldItalic"/>
        </w:rPr>
        <w:t>Vonkajší rozmer SRP</w:t>
      </w:r>
      <w:r>
        <w:rPr>
          <w:b/>
          <w:i/>
        </w:rPr>
        <w:t xml:space="preserve"> a správa oceánov</w:t>
      </w:r>
    </w:p>
    <w:p w:rsidR="00CE023B" w:rsidRDefault="003A7BC0">
      <w:pPr>
        <w:pStyle w:val="Normal6a"/>
        <w:ind w:left="567" w:hanging="567"/>
      </w:pPr>
      <w:r>
        <w:t>115.</w:t>
      </w:r>
      <w:r>
        <w:tab/>
        <w:t>vyzýva Komisiu, aby vyvinula viac úsilia pri presadzovaní SRP ako modelu politiky správy oceánov využitím postavenia EÚ v RFMO, dohodách o voľnom ob</w:t>
      </w:r>
      <w:r>
        <w:t>chode a v dohodách o partnerstve v odvetví udržateľného rybárstva či všeobecne na medzinárodných fórach; zdôrazňuje, že to bude nevyhnutné na zabezpečenie spravodlivej hospodárskej súťaže pre prevádzkovateľov z EÚ a na ochranu záujmov odvetví rybolovu a ak</w:t>
      </w:r>
      <w:r>
        <w:t>vakultúry EÚ vo svete;</w:t>
      </w:r>
    </w:p>
    <w:p w:rsidR="00CE023B" w:rsidRDefault="003A7BC0">
      <w:pPr>
        <w:pStyle w:val="Normal6a"/>
        <w:ind w:left="567" w:hanging="567"/>
      </w:pPr>
      <w:r>
        <w:lastRenderedPageBreak/>
        <w:t>116.</w:t>
      </w:r>
      <w:r>
        <w:tab/>
        <w:t>vyzýva Komisiu, aby monitorovala rozdeľovanie finančných príspevkov EÚ a zabezpečila, aby boli pridelené odvetviam rybolovu a akvakultúry;</w:t>
      </w:r>
    </w:p>
    <w:p w:rsidR="00CE023B" w:rsidRDefault="003A7BC0">
      <w:pPr>
        <w:pStyle w:val="Normal6a"/>
        <w:ind w:left="567" w:hanging="567"/>
      </w:pPr>
      <w:r>
        <w:t>117.</w:t>
      </w:r>
      <w:r>
        <w:tab/>
        <w:t>vyzýva na posilnenie úlohy RFMO a vyzýva Komisiu, aby navrhla všeobecný rámec pre ma</w:t>
      </w:r>
      <w:r>
        <w:t xml:space="preserve">ndáty na rokovanie o účasti v týchto organizáciách; ďalej vyzýva Komisiu, aby zabezpečila zapojenie Európskeho parlamentu v čo najskorších fázach navrhovania opatrení a odporúčaní, ktoré sa majú prijať v rámci RFMO, a to spôsobom, ktorý neohrozí rokovaciu </w:t>
      </w:r>
      <w:r>
        <w:t>pozíciu EÚ;</w:t>
      </w:r>
    </w:p>
    <w:p w:rsidR="00CE023B" w:rsidRDefault="003A7BC0">
      <w:pPr>
        <w:pStyle w:val="Normal12a24b"/>
        <w:ind w:left="567" w:hanging="567"/>
        <w:rPr>
          <w:rStyle w:val="BoldItalic"/>
          <w:b w:val="0"/>
          <w:i w:val="0"/>
          <w:snapToGrid/>
        </w:rPr>
      </w:pPr>
      <w:r>
        <w:t>118.</w:t>
      </w:r>
      <w:r>
        <w:tab/>
        <w:t xml:space="preserve">domnieva sa, že by nemali existovať žiadne oceánske oblasti ani príslušné rybolovné zdroje, na ktoré by sa nevzťahovala príslušná RFMO; vyzýva Komisiu, aby v prípade potreby podporovala na medzinárodných fórach vznik nových RFMO, prípadne </w:t>
      </w:r>
      <w:r>
        <w:t>zmeny existujúcich RFMO s cieľom zvýšiť ochranu populácií rýb a zlepšiť udržateľné riadenie rybolovných zdrojov a ochraňovať udržateľné činnosti flotíl pôsobiacich v týchto oblastiach;</w:t>
      </w:r>
    </w:p>
    <w:p w:rsidR="00CE023B" w:rsidRDefault="003A7BC0">
      <w:pPr>
        <w:pStyle w:val="NormalHanging12a"/>
      </w:pPr>
      <w:r>
        <w:t>119.</w:t>
      </w:r>
      <w:r>
        <w:tab/>
        <w:t xml:space="preserve">poukazuje na to, že dohody o partnerstve v odvetví udržateľného </w:t>
      </w:r>
      <w:r>
        <w:t>rybárstva s krajinami mimo EÚ poskytujú výhody tak EÚ, ako aj partnerským krajinám; upozorňuje na nedávne dohody o partnerstve v odvetví udržateľného rybárstva, ktoré obsahujú doložky o ľudských právach a integrujú potreby miestneho obyvateľstva;</w:t>
      </w:r>
    </w:p>
    <w:p w:rsidR="00CE023B" w:rsidRDefault="003A7BC0">
      <w:pPr>
        <w:pStyle w:val="NormalHanging12a"/>
      </w:pPr>
      <w:r>
        <w:t>120.</w:t>
      </w:r>
      <w:r>
        <w:tab/>
        <w:t>pova</w:t>
      </w:r>
      <w:r>
        <w:t>žuje za nevyhnutné, aby Komisia pri zapájaní sa do vonkajšieho rozmeru SRP plne rešpektovala všetky aspekty medzinárodného práva;</w:t>
      </w:r>
    </w:p>
    <w:p w:rsidR="00CE023B" w:rsidRDefault="003A7BC0">
      <w:pPr>
        <w:pStyle w:val="NormalHanging12a"/>
      </w:pPr>
      <w:r>
        <w:t>121.</w:t>
      </w:r>
      <w:r>
        <w:tab/>
        <w:t>vyzýva Komisiu, aby zabezpečila úplné začlenenie cieľov SRP do pozície EÚ na všetkých medzinárodných fórach v oblasti živ</w:t>
      </w:r>
      <w:r>
        <w:t>otného prostredia, ako je Dohovor o biologickej diverzite (DBD) alebo Dohovor o medzinárodnom obchode s ohrozenými druhmi voľne žijúcich živočíchov a rastlín (CITES), na ktorých sa diskutuje o otázkach týkajúcich sa morských biologických zdrojov;</w:t>
      </w:r>
    </w:p>
    <w:p w:rsidR="00CE023B" w:rsidRDefault="003A7BC0">
      <w:pPr>
        <w:pStyle w:val="Normal6a"/>
        <w:ind w:left="567" w:hanging="567"/>
        <w:rPr>
          <w:b/>
          <w:i/>
        </w:rPr>
      </w:pPr>
      <w:r>
        <w:rPr>
          <w:b/>
          <w:i/>
        </w:rPr>
        <w:t>Dovoz a o</w:t>
      </w:r>
      <w:r>
        <w:rPr>
          <w:b/>
          <w:i/>
        </w:rPr>
        <w:t>bchod a nezákonný, nenahlásený a neregulovaný rybolov</w:t>
      </w:r>
    </w:p>
    <w:p w:rsidR="00CE023B" w:rsidRDefault="003A7BC0">
      <w:pPr>
        <w:pStyle w:val="Normal6a"/>
        <w:ind w:left="567" w:hanging="567"/>
      </w:pPr>
      <w:r>
        <w:t>122.</w:t>
      </w:r>
      <w:r>
        <w:tab/>
        <w:t>domnieva sa, že dovážané potraviny z vodných živočíchov musia podliehať prísnym postupom monitorovania a certifikácie, aby sa zabezpečilo, že pochádzajú z udržateľného rybárstva, ako aj prísne zdra</w:t>
      </w:r>
      <w:r>
        <w:t>votné, environmentálne a sociálne normy, ktoré sú rovnako prísne ako normy vzťahujúce sa na produkty EÚ; zastáva názor, že táto požiadavka by mala byť súčasťou osobitných doložiek v nových obchodných dohodách, o ktorých EÚ rokuje;</w:t>
      </w:r>
    </w:p>
    <w:p w:rsidR="00CE023B" w:rsidRDefault="003A7BC0">
      <w:pPr>
        <w:pStyle w:val="Normal6a"/>
        <w:ind w:left="567" w:hanging="567"/>
      </w:pPr>
      <w:r>
        <w:t>123.</w:t>
      </w:r>
      <w:r>
        <w:tab/>
        <w:t xml:space="preserve">poukazuje na to, že </w:t>
      </w:r>
      <w:r>
        <w:t>systém vysledovateľnosti čerstvých, mrazených a spracovaných potravín z vodných živočíchov dovážaných do Únie, vrátane chrbtových filé z tuniaka v rámci režimu autonómnych colných kvót, je nevyhnutný, aby bolo možné uspokojiť požiadavky spotrebiteľov na in</w:t>
      </w:r>
      <w:r>
        <w:t>formovanosť s cieľom zvýšiť bezpečnosť potravín a umožniť kontroly dovozu z tretích krajín spolu s opatreniami na boj proti nezákonnému, nenahlásenému a neregulovanému rybolovu; vyzýva na prijatie harmonizovanejšieho prístupu v EÚ k vykonávaniu právnych pr</w:t>
      </w:r>
      <w:r>
        <w:t>edpisov EÚ týkajúcich sa nezákonného, nenahláseného a neregulovaného rybolovu;</w:t>
      </w:r>
    </w:p>
    <w:p w:rsidR="00CE023B" w:rsidRDefault="003A7BC0">
      <w:pPr>
        <w:pStyle w:val="NormalHanging12a"/>
      </w:pPr>
      <w:r>
        <w:t>124.</w:t>
      </w:r>
      <w:r>
        <w:tab/>
        <w:t>pripomína, že EÚ je najväčším a najatraktívnejším dovozným trhom pre produkty z morských plodov a akvakultúry; vyzýva na to, aby sa táto pozícia obchodnej sily využila na z</w:t>
      </w:r>
      <w:r>
        <w:t xml:space="preserve">výšenie ochrany záujmov spotrebiteľov EÚ pri presadzovaní prísnych noriem či záujmov odvetví EÚ s cieľom nedovoliť partnerom vzdať sa dodržiavania dohôd alebo záväzkov, a aby sa zároveň podporili rovnaké podmienky na </w:t>
      </w:r>
      <w:r>
        <w:lastRenderedPageBreak/>
        <w:t xml:space="preserve">medzinárodnej úrovni, najmä pokiaľ ide </w:t>
      </w:r>
      <w:r>
        <w:t>o sociálne, hospodárske a environmentálne normy;</w:t>
      </w:r>
    </w:p>
    <w:p w:rsidR="00CE023B" w:rsidRDefault="003A7BC0">
      <w:pPr>
        <w:pStyle w:val="NormalHanging12a"/>
      </w:pPr>
      <w:r>
        <w:t>125.</w:t>
      </w:r>
      <w:r>
        <w:tab/>
        <w:t>víta skutočnosť, že dohoda o obchode a spolupráci medzi EÚ a Spojeným kráľovstvom obsahuje priame prepojenie ustanovení o obchode s ustanoveniami o rybolove; vyzýva Komisiu a Radu, aby zabezpečili, že r</w:t>
      </w:r>
      <w:r>
        <w:t>okovania o rybolove so Spojeným kráľovstvom, ako aj s ďalšími pobrežnými štátmi v severovýchodnom Atlantiku budú spojené aj s otázkami týkajúcimi sa obchodu a prístupu na jednotný trh EÚ;</w:t>
      </w:r>
    </w:p>
    <w:p w:rsidR="00CE023B" w:rsidRDefault="003A7BC0">
      <w:pPr>
        <w:pStyle w:val="Normal6a"/>
        <w:ind w:left="567" w:hanging="567"/>
      </w:pPr>
      <w:r>
        <w:t>126.</w:t>
      </w:r>
      <w:r>
        <w:tab/>
        <w:t>upozorňuje na význam politiky nulovej tolerancie EÚ voči nezáko</w:t>
      </w:r>
      <w:r>
        <w:t>nnému, nenahlásenému a neregulovanému rybolovu, ku ktorému stále dochádza na medzinárodnej úrovni, napríklad počnúc nedostatočnou transparentnosťou nezákonných rybolovných operácií až po novodobé otroctvo, ako v prípade niektorých čínskych plavidiel, a vyj</w:t>
      </w:r>
      <w:r>
        <w:t xml:space="preserve">adruje poľutovanie nad tým, že nepovolené morské plody sa napriek tomu naďalej predávajú na viacerých trhoch EÚ; </w:t>
      </w:r>
    </w:p>
    <w:p w:rsidR="00CE023B" w:rsidRDefault="003A7BC0">
      <w:pPr>
        <w:pStyle w:val="Normal6a"/>
        <w:ind w:left="567" w:hanging="567"/>
      </w:pPr>
      <w:r>
        <w:t>127.</w:t>
      </w:r>
      <w:r>
        <w:tab/>
        <w:t>poukazuje na to, že Komisia a členské štáty musia zdvojnásobiť svoje úsilie v boji proti nezákonnému, nenahlásenému a neregulovanému rybo</w:t>
      </w:r>
      <w:r>
        <w:t xml:space="preserve">lovu a zabezpečiť, aby k nemu neprispievala aj spotreba morských plodov v EÚ; </w:t>
      </w:r>
    </w:p>
    <w:p w:rsidR="00CE023B" w:rsidRDefault="003A7BC0">
      <w:pPr>
        <w:pStyle w:val="Normal6a"/>
        <w:ind w:left="567" w:hanging="567"/>
      </w:pPr>
      <w:r>
        <w:t>128.</w:t>
      </w:r>
      <w:r>
        <w:tab/>
        <w:t>vyzýva Komisiu, aby posilnila úlohu agentúry EFCA v boji proti nezákonnému, nenahlásenému a neregulovanému rybolovu;</w:t>
      </w:r>
    </w:p>
    <w:p w:rsidR="00CE023B" w:rsidRDefault="003A7BC0">
      <w:pPr>
        <w:pStyle w:val="NormalHanging12a"/>
        <w:rPr>
          <w:b/>
          <w:i/>
        </w:rPr>
      </w:pPr>
      <w:r>
        <w:t>129.</w:t>
      </w:r>
      <w:r>
        <w:tab/>
        <w:t>vyzýva na to, aby všetky dohody o voľnom obchode s</w:t>
      </w:r>
      <w:r>
        <w:t xml:space="preserve"> tretími krajinami obsahovali oddiel o boji proti nezákonnému, nenahlásenému a neregulovanému rybolovu;</w:t>
      </w:r>
    </w:p>
    <w:p w:rsidR="00CE023B" w:rsidRDefault="003A7BC0">
      <w:pPr>
        <w:pStyle w:val="Normal12a24b"/>
        <w:ind w:left="567" w:hanging="567"/>
      </w:pPr>
      <w:r>
        <w:rPr>
          <w:rStyle w:val="BoldItalic"/>
        </w:rPr>
        <w:t>Najvzdialenejšie regióny</w:t>
      </w:r>
    </w:p>
    <w:p w:rsidR="00CE023B" w:rsidRDefault="003A7BC0">
      <w:pPr>
        <w:pStyle w:val="NormalHanging12a"/>
      </w:pPr>
      <w:r>
        <w:t>130.</w:t>
      </w:r>
      <w:r>
        <w:tab/>
        <w:t>domnieva sa, že niektoré aspekty SRP dostatočne neriešia osobité potreby najvzdialenejších regiónov; vyzýva Komisiu a dotk</w:t>
      </w:r>
      <w:r>
        <w:t>nuté členské štáty, aby túto situáciu riešili na základe článku 349 ZFEÚ formou regionalizovaného prístupu zakotveného v SRP a v prípade potreby vykonali potrebné úpravy;</w:t>
      </w:r>
    </w:p>
    <w:p w:rsidR="00CE023B" w:rsidRDefault="003A7BC0">
      <w:pPr>
        <w:pStyle w:val="Normal6a"/>
        <w:ind w:left="567" w:hanging="567"/>
      </w:pPr>
      <w:r>
        <w:t>131.</w:t>
      </w:r>
      <w:r>
        <w:tab/>
        <w:t>poukazuje na osobitosti odvetví rybolovu a akvakultúry v najvzdialenejších regió</w:t>
      </w:r>
      <w:r>
        <w:t>noch; vyzýva Komisiu, aby navrhla program osobitných alternatív pre odľahlosť a ostrovný charakter (POSEI) pre rybárstvo a akvakultúru, podobný programu v oblasti poľnohospodárstva;</w:t>
      </w:r>
    </w:p>
    <w:p w:rsidR="00CE023B" w:rsidRDefault="003A7BC0">
      <w:pPr>
        <w:pStyle w:val="NormalHanging12a"/>
      </w:pPr>
      <w:r>
        <w:t>132.</w:t>
      </w:r>
      <w:r>
        <w:tab/>
        <w:t>zdôrazňuje, že pre tieto regióny je mimoriadne dôležité, aby sa na úr</w:t>
      </w:r>
      <w:r>
        <w:t>ovni EÚ, ako aj na vnútroštátnej úrovni podporovala obnova flotíl drobného rybolovu; vyzýva najmä Komisiu, aby prispôsobila svoje usmernenia pre analýzu rovnováhy medzi rybolovnou kapacitou a rybolovnými možnosťami (COM(2014)0545) charakteristikám najvzdia</w:t>
      </w:r>
      <w:r>
        <w:t>lenejších regiónov;</w:t>
      </w:r>
    </w:p>
    <w:p w:rsidR="00CE023B" w:rsidRDefault="003A7BC0">
      <w:pPr>
        <w:pStyle w:val="NormalHanging12a"/>
      </w:pPr>
      <w:r>
        <w:t>133.</w:t>
      </w:r>
      <w:r>
        <w:tab/>
        <w:t>zdôrazňuje, že je dôležité vypracovať dôkladné štúdie na posúdenie morských biologických zdrojov vo všetkých vodách Únie, a najmä v najvzdialenejších regiónoch;</w:t>
      </w:r>
    </w:p>
    <w:p w:rsidR="00CE023B" w:rsidRDefault="003A7BC0">
      <w:pPr>
        <w:pStyle w:val="NormalHanging12a"/>
      </w:pPr>
      <w:r>
        <w:t>134.</w:t>
      </w:r>
      <w:r>
        <w:tab/>
        <w:t>trvá na tom, že je potrebné podporovať metódy selektívneho rybolo</w:t>
      </w:r>
      <w:r>
        <w:t>vu, ako sú napríklad ukotvené zariadenia na zhlukovanie rýb, ktoré používajú flotily drobného rybolovu v najvzdialenejších regiónoch, ak takéto zariadenia prispievajú k udržateľnému a selektívnemu rybolovu;</w:t>
      </w:r>
    </w:p>
    <w:p w:rsidR="00CE023B" w:rsidRDefault="003A7BC0">
      <w:pPr>
        <w:pStyle w:val="NormalHanging12a"/>
      </w:pPr>
      <w:r>
        <w:lastRenderedPageBreak/>
        <w:t>135.</w:t>
      </w:r>
      <w:r>
        <w:tab/>
        <w:t>zdôrazňuje potrebu poskytnúť potrebné zdroje</w:t>
      </w:r>
      <w:r>
        <w:t xml:space="preserve"> na zlepšenie vedeckých poznatkov o výhradných hospodárskych zónach najvzdialenejších regiónov;</w:t>
      </w:r>
    </w:p>
    <w:p w:rsidR="00CE023B" w:rsidRDefault="003A7BC0">
      <w:pPr>
        <w:pStyle w:val="NormalHanging12a"/>
        <w:rPr>
          <w:b/>
          <w:i/>
        </w:rPr>
      </w:pPr>
      <w:r>
        <w:rPr>
          <w:b/>
          <w:i/>
        </w:rPr>
        <w:t>Zmena klímy a ďalšie výzvy do budúcnosti</w:t>
      </w:r>
    </w:p>
    <w:p w:rsidR="00CE023B" w:rsidRDefault="003A7BC0">
      <w:pPr>
        <w:pStyle w:val="NormalHanging12a"/>
      </w:pPr>
      <w:r>
        <w:t>136.</w:t>
      </w:r>
      <w:r>
        <w:tab/>
        <w:t>zdôrazňuje, že zmierňovanie zmeny klímy a adaptácia na ňu sú kľúčovými výzvami, ktoré súčasná SRP dostatočne nerie</w:t>
      </w:r>
      <w:r>
        <w:t>ši;</w:t>
      </w:r>
    </w:p>
    <w:p w:rsidR="00CE023B" w:rsidRDefault="003A7BC0">
      <w:pPr>
        <w:pStyle w:val="NormalHanging12a"/>
      </w:pPr>
      <w:r>
        <w:t>137.</w:t>
      </w:r>
      <w:r>
        <w:tab/>
        <w:t>zdôrazňuje, že úsilie odvetvia rybolovu zamerané na zlepšenie udržateľnosti populácií a na ich udržanie v dobrom stave po jeho dosiahnutí nebude mať zmysel, ak sa nebude riešiť zmena klímy;</w:t>
      </w:r>
    </w:p>
    <w:p w:rsidR="00CE023B" w:rsidRDefault="003A7BC0">
      <w:pPr>
        <w:pStyle w:val="NormalHanging12a"/>
      </w:pPr>
      <w:r>
        <w:t>138.</w:t>
      </w:r>
      <w:r>
        <w:tab/>
        <w:t>dôrazne pripomína, že vedecký výskum musí byť zamera</w:t>
      </w:r>
      <w:r>
        <w:t>ný viac na súvislosť medzi environmentálnymi zmenami spôsobenými zmenou klímy a populáciami rýb, aby sa prestalo s obviňovaním, že za vyčerpanie populácií môže výlučne odvetvie rybolovu;</w:t>
      </w:r>
    </w:p>
    <w:p w:rsidR="00CE023B" w:rsidRDefault="003A7BC0">
      <w:pPr>
        <w:pStyle w:val="NormalHanging12a"/>
      </w:pPr>
      <w:r>
        <w:t>139.</w:t>
      </w:r>
      <w:r>
        <w:tab/>
        <w:t>zdôrazňuje, že rybári a zvyšok morského potravinového reťazca ni</w:t>
      </w:r>
      <w:r>
        <w:t>e sú príčinou zmeny klímy, ale skôr jej obeťami;</w:t>
      </w:r>
    </w:p>
    <w:p w:rsidR="00CE023B" w:rsidRDefault="003A7BC0">
      <w:pPr>
        <w:pStyle w:val="NormalHanging12a"/>
      </w:pPr>
      <w:r>
        <w:t>140.</w:t>
      </w:r>
      <w:r>
        <w:tab/>
        <w:t>domnieva sa, že akvakultúra je schopná sústavne prispievať k ekosystémovým službám pre spoločnosť a že akvakultúra rybníkov, pestovanie rias a chov mäkkýšov, kôrovcov a ostnatokožcov môže prispieť k dek</w:t>
      </w:r>
      <w:r>
        <w:t>arbonizácii hospodárstva EÚ a zmierneniu zmeny klímy; zdôrazňuje však, že sekvestrácia uhlíka pri pestovaní rias a chove mäkkýšov, kôrovcov a ostnatokožcov je obmedzená v závislosti od spôsobu produkcie a ich použitia po zbere produktu; vyzýva členské štát</w:t>
      </w:r>
      <w:r>
        <w:t>y, aby s cieľom prispieť k boju proti zmene klímy v prípade potreby podporovali krátke efektívne dodávateľské reťazce;</w:t>
      </w:r>
    </w:p>
    <w:p w:rsidR="00CE023B" w:rsidRDefault="003A7BC0">
      <w:pPr>
        <w:pStyle w:val="NormalHanging12a"/>
      </w:pPr>
      <w:r>
        <w:t>141.</w:t>
      </w:r>
      <w:r>
        <w:tab/>
        <w:t>pripomína, že niektoré postupy akvakultúry, ako je chov slávok alebo ustríc a polykultúra v rybníkoch, môžu byť úspešnými modelmi bu</w:t>
      </w:r>
      <w:r>
        <w:t>dúcich systémov obchodovania s emisiami v kontexte klimatickej legislatívy EÚ; vyzýva Komisiu a členské štáty, aby tento druh ekologického podnikania podporovali;</w:t>
      </w:r>
    </w:p>
    <w:p w:rsidR="00CE023B" w:rsidRDefault="003A7BC0">
      <w:pPr>
        <w:pStyle w:val="NormalHanging12a"/>
      </w:pPr>
      <w:r>
        <w:t>142.</w:t>
      </w:r>
      <w:r>
        <w:tab/>
        <w:t>vyzýva členské štáty, aby naďalej podporovali pestovanie rias a uľahčovali ich využívani</w:t>
      </w:r>
      <w:r>
        <w:t>e ako zdroj potravín a krmív; zdôrazňuje, že pestovanie rias má nevyužitý potenciál na tvorby nových pracovných príležitostí a poskytovanie ekosystémových služieb a potravín a krmív šetrnejších k životnému prostrediu;</w:t>
      </w:r>
    </w:p>
    <w:p w:rsidR="00CE023B" w:rsidRDefault="003A7BC0">
      <w:pPr>
        <w:pStyle w:val="NormalHanging12a"/>
      </w:pPr>
      <w:r>
        <w:t>143.</w:t>
      </w:r>
      <w:r>
        <w:tab/>
        <w:t xml:space="preserve">vyzýva Európsku komisiu, aby pri </w:t>
      </w:r>
      <w:r>
        <w:t>revízii spoločnej rybárskej politiky zohľadnila skutočnosť, že vlastnosti oceánu (teplota, hustota, slanosť, saturácia kyslíkom atď.) sa za posledných 10 rokov zmenili;</w:t>
      </w:r>
    </w:p>
    <w:p w:rsidR="00CE023B" w:rsidRDefault="003A7BC0">
      <w:pPr>
        <w:pStyle w:val="NormalHanging12a"/>
      </w:pPr>
      <w:r>
        <w:t>144.</w:t>
      </w:r>
      <w:r>
        <w:tab/>
        <w:t>upozorňuje na potrebu zvýšenia odolnosti ekosystémov prepojením a účinným riadením</w:t>
      </w:r>
      <w:r>
        <w:t xml:space="preserve"> chránených morských oblastí ako základu pre odolné a ziskové odvetvia hospodárskeho rybolovu;</w:t>
      </w:r>
    </w:p>
    <w:p w:rsidR="00CE023B" w:rsidRDefault="003A7BC0">
      <w:pPr>
        <w:pStyle w:val="NormalHanging12a"/>
      </w:pPr>
      <w:r>
        <w:t>145.</w:t>
      </w:r>
      <w:r>
        <w:tab/>
        <w:t>zdôrazňuje, že v prípade rybárstva sa odolnosť voči zmene klímy dosahuje diverzifikáciou rybolovných zón a cieľových druhov;</w:t>
      </w:r>
    </w:p>
    <w:p w:rsidR="00CE023B" w:rsidRDefault="003A7BC0">
      <w:pPr>
        <w:pStyle w:val="NormalHanging12a"/>
      </w:pPr>
      <w:r>
        <w:rPr>
          <w:snapToGrid/>
        </w:rPr>
        <w:t>146.</w:t>
      </w:r>
      <w:r>
        <w:rPr>
          <w:snapToGrid/>
        </w:rPr>
        <w:tab/>
        <w:t>nabáda Komisiu a členské š</w:t>
      </w:r>
      <w:r>
        <w:rPr>
          <w:snapToGrid/>
        </w:rPr>
        <w:t>táty k tomu, aby zvýšili ľudské a finančné zdroje na vedu v rybárstve, ktorá sa zaoberá zmenou klímy a dekarbonizáciou flotíl, a analyzuje vplyv zmeny klímy na stav rybárstva a okolitého životného prostredia;</w:t>
      </w:r>
    </w:p>
    <w:p w:rsidR="00CE023B" w:rsidRDefault="003A7BC0">
      <w:pPr>
        <w:pStyle w:val="NormalHanging12a"/>
      </w:pPr>
      <w:r>
        <w:lastRenderedPageBreak/>
        <w:t>147.</w:t>
      </w:r>
      <w:r>
        <w:tab/>
        <w:t>vyzýva na inovácie pri monitorovaní vplyvu</w:t>
      </w:r>
      <w:r>
        <w:t xml:space="preserve"> zmeny klímy na populácie rýb v rámci úzkej spolupráce medzi vedeckou obcou a zainteresovanými stranami s cieľom zlepšiť reakcieschopnosť a vyvinúť prispôsobené nástroje riadenia;</w:t>
      </w:r>
    </w:p>
    <w:p w:rsidR="00CE023B" w:rsidRDefault="003A7BC0">
      <w:pPr>
        <w:pStyle w:val="NormalHanging12a"/>
      </w:pPr>
      <w:r>
        <w:t>148.</w:t>
      </w:r>
      <w:r>
        <w:tab/>
        <w:t xml:space="preserve">vyzýva Komisiu, aby navrhla nástroje a adekvátne možnosti financovania </w:t>
      </w:r>
      <w:r>
        <w:t>pre odvetvia zasiahnuté zmenou klímy;</w:t>
      </w:r>
    </w:p>
    <w:p w:rsidR="00CE023B" w:rsidRDefault="003A7BC0">
      <w:pPr>
        <w:pStyle w:val="NormalHanging12a"/>
      </w:pPr>
      <w:r>
        <w:t>149.</w:t>
      </w:r>
      <w:r>
        <w:tab/>
        <w:t>vyzýva Komisiu, aby v záujme podpory obehového hospodárstva v odvetví rybárstva vypracovala európske programy pre rybárov na zber odpadu na mori v obdobiach, keď nemôžu loviť, aby si, ak to bude možné, mohli zvýši</w:t>
      </w:r>
      <w:r>
        <w:t>ť svoj príjem;</w:t>
      </w:r>
    </w:p>
    <w:p w:rsidR="00CE023B" w:rsidRDefault="003A7BC0">
      <w:pPr>
        <w:pStyle w:val="NormalHanging12a"/>
      </w:pPr>
      <w:r>
        <w:t>150.</w:t>
      </w:r>
      <w:r>
        <w:tab/>
        <w:t>vyzýva Komisiu a členské štáty, aby sa zaoberali riešením všetkých ustanovení SRP, ktoré neboli vykonané, a sledovali ich;</w:t>
      </w:r>
    </w:p>
    <w:p w:rsidR="00CE023B" w:rsidRDefault="003A7BC0">
      <w:pPr>
        <w:pStyle w:val="Normal6a"/>
        <w:rPr>
          <w:b/>
          <w:i/>
        </w:rPr>
      </w:pPr>
      <w:r>
        <w:rPr>
          <w:b/>
          <w:i/>
        </w:rPr>
        <w:t>Rekreačný rybolov</w:t>
      </w:r>
    </w:p>
    <w:p w:rsidR="00CE023B" w:rsidRDefault="003A7BC0">
      <w:pPr>
        <w:pStyle w:val="Normal6a"/>
        <w:ind w:left="567" w:hanging="567"/>
      </w:pPr>
      <w:r>
        <w:t>151.</w:t>
      </w:r>
      <w:r>
        <w:tab/>
        <w:t>zdôrazňuje naliehavosť a potrebu zlepšiť zber údajov o úlovkoch rekreačného rybolovu; nali</w:t>
      </w:r>
      <w:r>
        <w:t>ehavo vyzýva Komisiu a členské štáty, aby do európskeho rámca pre zber údajov</w:t>
      </w:r>
      <w:r>
        <w:rPr>
          <w:rStyle w:val="FootnoteReference"/>
        </w:rPr>
        <w:footnoteReference w:id="20"/>
      </w:r>
      <w:r>
        <w:t xml:space="preserve"> – nariadenia (EÚ) 2017/1004 – zahrnuli všetky druhy, na ktoré sa vzťahujú TAC a kvóty, okrem tých, ktoré sa uvádzajú vo viacročných plánoch riadenia a v zmysle povinnosti vylodi</w:t>
      </w:r>
      <w:r>
        <w:t>ť úlovky;</w:t>
      </w:r>
    </w:p>
    <w:p w:rsidR="00CE023B" w:rsidRDefault="003A7BC0">
      <w:pPr>
        <w:pStyle w:val="Normal6a"/>
        <w:ind w:left="567" w:hanging="567"/>
      </w:pPr>
      <w:r>
        <w:t>152.</w:t>
      </w:r>
      <w:r>
        <w:tab/>
        <w:t>zdôrazňuje potrebu zberu údajov na účely posúdenia vplyvu rekreačného rybolovu v EÚ na morské ekosystémy a morské biologické zdroje vo vodách Únie vrátane údajov o vedľajších úlovkoch, najmä ak ide o druhy chránené právom Únie alebo medzinár</w:t>
      </w:r>
      <w:r>
        <w:t>odným právom, ako aj zberu údajov o vplyvoch rekreačného rybolovu na morské biotopy vrátane citlivých morských oblastí a údajov o vplyvoch rybolovu na potravinové siete;</w:t>
      </w:r>
    </w:p>
    <w:p w:rsidR="00CE023B" w:rsidRDefault="003A7BC0">
      <w:pPr>
        <w:pStyle w:val="NormalHanging12a"/>
      </w:pPr>
      <w:r>
        <w:t>153.</w:t>
      </w:r>
      <w:r>
        <w:tab/>
        <w:t xml:space="preserve">upozorňuje na to, že rekreačný rybolov by mohol výrazne ovplyvniť stav populácií </w:t>
      </w:r>
      <w:r>
        <w:t>rýb; víta pokrok dosiahnutý pri revízii nariadenia o kontrole rybárstva a vyzýva členské štáty, aby zabezpečili, že rekreačný rybolov sa bude vykonávať spôsobom, ktorý je v súlade s cieľmi SRP;</w:t>
      </w:r>
    </w:p>
    <w:p w:rsidR="00CE023B" w:rsidRDefault="003A7BC0">
      <w:pPr>
        <w:pStyle w:val="NormalHanging12a"/>
        <w:rPr>
          <w:b/>
          <w:i/>
        </w:rPr>
      </w:pPr>
      <w:r>
        <w:rPr>
          <w:b/>
          <w:i/>
        </w:rPr>
        <w:t>Akvakultúra</w:t>
      </w:r>
    </w:p>
    <w:p w:rsidR="00CE023B" w:rsidRDefault="003A7BC0">
      <w:pPr>
        <w:pStyle w:val="NormalHanging12a"/>
      </w:pPr>
      <w:r>
        <w:t>154.</w:t>
      </w:r>
      <w:r>
        <w:tab/>
        <w:t>pripomína význam akvakultúry z hľadiska zaruč</w:t>
      </w:r>
      <w:r>
        <w:t>enia dlhodobej potravinovej bezpečnosti a uspokojovania rastúceho celosvetového dopytu po morských potravinách, ako aj jej prínos k hospodárskemu rastu a zamestnanosti občanov EÚ, k lepšej ochrane ekosystémov a biodiverzity a k obehovejšiemu riadeniu zdroj</w:t>
      </w:r>
      <w:r>
        <w:t>ov;</w:t>
      </w:r>
    </w:p>
    <w:p w:rsidR="00CE023B" w:rsidRDefault="003A7BC0">
      <w:pPr>
        <w:pStyle w:val="NormalHanging12a"/>
      </w:pPr>
      <w:r>
        <w:t>155.</w:t>
      </w:r>
      <w:r>
        <w:tab/>
        <w:t>zdôrazňuje, že morské plody z chovov majú ako zdroj potravinových bielkovín nižšiu uhlíkovú stopu a vyžadujú si oveľa menšie využitie prírodných zdrojov ako iné suchozemské hospodárske zvieratá, pričom zohrávajú dôležitú úlohu pri budovaní udržate</w:t>
      </w:r>
      <w:r>
        <w:t>ľného potravinového systému;</w:t>
      </w:r>
    </w:p>
    <w:p w:rsidR="00CE023B" w:rsidRDefault="003A7BC0">
      <w:pPr>
        <w:pStyle w:val="NormalHanging12a"/>
      </w:pPr>
      <w:r>
        <w:lastRenderedPageBreak/>
        <w:t>156.</w:t>
      </w:r>
      <w:r>
        <w:tab/>
        <w:t>uznáva úlohu strategických usmernení a viacročných národných strategických plánov pri rozvoji udržateľnej a odolnej akvakultúry;</w:t>
      </w:r>
    </w:p>
    <w:p w:rsidR="00CE023B" w:rsidRDefault="003A7BC0">
      <w:pPr>
        <w:pStyle w:val="NormalHanging12a"/>
      </w:pPr>
      <w:r>
        <w:t>157.</w:t>
      </w:r>
      <w:r>
        <w:tab/>
        <w:t>vyjadruje poľutovanie nad tým, že od roku 2014 európska akvakultúra</w:t>
      </w:r>
      <w:r>
        <w:t xml:space="preserve"> stagnuje a len málo sa podarilo dosiahnuť pri znižovaní administratívnej záťaže a integrovaní akvakultúry do námorného, pobrežného a vnútrozemského priestorového plánovania;</w:t>
      </w:r>
    </w:p>
    <w:p w:rsidR="00CE023B" w:rsidRDefault="003A7BC0">
      <w:pPr>
        <w:pStyle w:val="NormalHanging12a"/>
      </w:pPr>
      <w:r>
        <w:t>158.</w:t>
      </w:r>
      <w:r>
        <w:tab/>
        <w:t>zdôrazňuje, že európska akvakultúra zďaleka nedosiahla svoj plný potenciál a</w:t>
      </w:r>
      <w:r>
        <w:t xml:space="preserve"> že miera závislosti EÚ od dovozu je veľmi vysoká, keďže takmer 75 % všetkých morských plodov, ktoré sa spotrebujú v EÚ, sa dováža z tretích krajín;</w:t>
      </w:r>
    </w:p>
    <w:p w:rsidR="00CE023B" w:rsidRDefault="003A7BC0">
      <w:pPr>
        <w:pStyle w:val="NormalHanging12a"/>
      </w:pPr>
      <w:r>
        <w:t>159.</w:t>
      </w:r>
      <w:r>
        <w:tab/>
        <w:t>vyzýva Komisiu a členské štáty, aby namiesto podpory rastu nízkotrofickej akvakultúry podporovali radš</w:t>
      </w:r>
      <w:r>
        <w:t>ej rast akvakultúry s malým vplyvom na životné prostredie, a to nielen mäkkýšov a rias, ale aj sladkovodných a morských rýb; zdôrazňuje najmä význam produkcie rýb, pokiaľ ide o zásobovanie trhu EÚ vzhľadom na dovážané množstvá v tonách (94 % v roku 2021);</w:t>
      </w:r>
    </w:p>
    <w:p w:rsidR="00CE023B" w:rsidRDefault="003A7BC0">
      <w:pPr>
        <w:pStyle w:val="NormalHanging12a"/>
      </w:pPr>
      <w:r>
        <w:t>160.</w:t>
      </w:r>
      <w:r>
        <w:tab/>
        <w:t>pripomína, že veľké producentské krajiny mimo EÚ naďalej výrazne podporujú rast svojho odvetvia chovu rýb, pričom EÚ je ich hlavným vývozným trhom;</w:t>
      </w:r>
    </w:p>
    <w:p w:rsidR="00CE023B" w:rsidRDefault="003A7BC0">
      <w:pPr>
        <w:pStyle w:val="NormalHanging12a"/>
      </w:pPr>
      <w:r>
        <w:t>161.</w:t>
      </w:r>
      <w:r>
        <w:tab/>
        <w:t>vyzýva Komisiu a členské štáty, aby aktívne podporovali vykonávanie revidovaných strategických usm</w:t>
      </w:r>
      <w:r>
        <w:t>ernení a viacročných národných plánov a presadzovali jeho dlhodobú udržateľnosť nielen z hľadiska environmentálnej, ale aj ekonomickej a sociálnej udržateľnosti akvakultúry EÚ;</w:t>
      </w:r>
    </w:p>
    <w:p w:rsidR="00CE023B" w:rsidRDefault="003A7BC0">
      <w:pPr>
        <w:pStyle w:val="NormalHanging12a"/>
      </w:pPr>
      <w:r>
        <w:t>162.</w:t>
      </w:r>
      <w:r>
        <w:tab/>
        <w:t xml:space="preserve">vyjadruje poľutovanie nad tým, že súčasná obchodná politika EÚ nezaručuje </w:t>
      </w:r>
      <w:r>
        <w:t>rovnaké podmienky pre výrobcov z EÚ a výrobcov z krajín mimo EÚ, ktoré by odvetviu akvakultúry umožňovali dosahovať udržateľné hospodárske výsledky, a prispieť tak k sociálnemu a hospodárskemu rozvoju regiónov EÚ;</w:t>
      </w:r>
    </w:p>
    <w:p w:rsidR="00CE023B" w:rsidRDefault="003A7BC0">
      <w:pPr>
        <w:pStyle w:val="NormalHanging12a"/>
        <w:rPr>
          <w:b/>
          <w:i/>
        </w:rPr>
      </w:pPr>
      <w:r>
        <w:t>163.</w:t>
      </w:r>
      <w:r>
        <w:tab/>
        <w:t>pripomína význam akvakultúry z hľadis</w:t>
      </w:r>
      <w:r>
        <w:t>ka zaručenia dlhodobej potravinovej bezpečnosti a uspokojovania rastúceho celosvetového dopytu po morských potravinách, ako aj jej prínos k hospodárskemu rastu a zamestnanosti občanov EÚ, k lepšej ochrane ekosystémov a biodiverzity a k obehovejšiemu riaden</w:t>
      </w:r>
      <w:r>
        <w:t>iu zdrojov; vyjadruje poľutovanie nad tým, že od roku 2014 európska akvakultúra stagnuje a len málo sa podarilo dosiahnuť pri znižovaní administratívnej záťaže a integrovaní akvakultúry do námorného, pobrežného a vnútrozemského priestorového plánovania; zd</w:t>
      </w:r>
      <w:r>
        <w:t>ôrazňuje, že európska akvakultúra zďaleka nedosiahla svoj plný potenciál a že 75 % morských plodov spotrebovaných v EÚ pochádza z chovných zariadení mimo EÚ; vyzýva Komisiu, aby aktívne podporovala vykonávanie revidovaných strategických usmernení a národný</w:t>
      </w:r>
      <w:r>
        <w:t>ch plánov a presadzovala ich dlhodobú environmentálnu, hospodársku a sociálnu udržateľnosť;</w:t>
      </w:r>
    </w:p>
    <w:p w:rsidR="00CE023B" w:rsidRDefault="003A7BC0">
      <w:pPr>
        <w:pStyle w:val="NormalCenter12a"/>
        <w:ind w:left="567" w:hanging="567"/>
      </w:pPr>
      <w:r>
        <w:t>°</w:t>
      </w:r>
    </w:p>
    <w:p w:rsidR="00CE023B" w:rsidRDefault="003A7BC0">
      <w:pPr>
        <w:pStyle w:val="NormalCenter12a"/>
        <w:ind w:left="567" w:hanging="567"/>
      </w:pPr>
      <w:r>
        <w:t>°</w:t>
      </w:r>
      <w:r>
        <w:tab/>
        <w:t>°</w:t>
      </w:r>
    </w:p>
    <w:p w:rsidR="00CE023B" w:rsidRDefault="003A7BC0">
      <w:pPr>
        <w:pStyle w:val="NormalHanging12a"/>
      </w:pPr>
      <w:r>
        <w:t>164.</w:t>
      </w:r>
      <w:r>
        <w:tab/>
        <w:t>poveruje svoju predsedníčku, aby postúpila toto uznesenie Rade, Komisii a vládam a parlamentom členských štátov.</w:t>
      </w:r>
    </w:p>
    <w:p w:rsidR="00CE023B" w:rsidRDefault="00CE023B"/>
    <w:p w:rsidR="00CE023B" w:rsidRDefault="00CE023B">
      <w:bookmarkStart w:id="9" w:name="TextBodyEnd"/>
      <w:bookmarkEnd w:id="9"/>
    </w:p>
    <w:sectPr w:rsidR="00CE02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23B" w:rsidRDefault="003A7BC0">
      <w:r>
        <w:separator/>
      </w:r>
    </w:p>
  </w:endnote>
  <w:endnote w:type="continuationSeparator" w:id="0">
    <w:p w:rsidR="00CE023B" w:rsidRDefault="003A7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23B" w:rsidRDefault="00CE023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23B" w:rsidRDefault="00CE023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23B" w:rsidRDefault="00CE02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23B" w:rsidRDefault="003A7BC0">
      <w:r>
        <w:separator/>
      </w:r>
    </w:p>
  </w:footnote>
  <w:footnote w:type="continuationSeparator" w:id="0">
    <w:p w:rsidR="00CE023B" w:rsidRDefault="003A7BC0">
      <w:r>
        <w:continuationSeparator/>
      </w:r>
    </w:p>
  </w:footnote>
  <w:footnote w:id="1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L 354, 28.12.2013, s. 22.</w:t>
      </w:r>
    </w:p>
  </w:footnote>
  <w:footnote w:id="2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L 257, 28.8.2014, s. 135.</w:t>
      </w:r>
    </w:p>
  </w:footnote>
  <w:footnote w:id="3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419, 16.12.2015, s. 167.</w:t>
      </w:r>
    </w:p>
  </w:footnote>
  <w:footnote w:id="4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456, 10.11.2021, s. 129.</w:t>
      </w:r>
    </w:p>
  </w:footnote>
  <w:footnote w:id="5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15, 12.1</w:t>
      </w:r>
      <w:r>
        <w:rPr>
          <w:sz w:val="24"/>
          <w:szCs w:val="24"/>
          <w:lang w:val="sk-SK"/>
        </w:rPr>
        <w:t>.2022, s. 9.</w:t>
      </w:r>
    </w:p>
  </w:footnote>
  <w:footnote w:id="6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 67, 8.2.2022, s. 25.</w:t>
      </w:r>
    </w:p>
  </w:footnote>
  <w:footnote w:id="7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 EÚ C 117, 11.3.2022, s. 67.</w:t>
      </w:r>
    </w:p>
  </w:footnote>
  <w:footnote w:id="8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 184, 5.5.2022, s. 2.</w:t>
      </w:r>
    </w:p>
  </w:footnote>
  <w:footnote w:id="9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 v. EÚ C 434, 15.11.2022, s. 2.</w:t>
      </w:r>
    </w:p>
  </w:footnote>
  <w:footnote w:id="10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493, 27.12.2022, s. 62.</w:t>
      </w:r>
    </w:p>
  </w:footnote>
  <w:footnote w:id="11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214, 16.6.2023, s. 150.</w:t>
      </w:r>
    </w:p>
  </w:footnote>
  <w:footnote w:id="12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 xml:space="preserve">Ú. v. ES C 105, </w:t>
      </w:r>
      <w:r>
        <w:rPr>
          <w:sz w:val="24"/>
          <w:szCs w:val="24"/>
          <w:lang w:val="sk-SK"/>
        </w:rPr>
        <w:t>7.5.1981, s. 1.</w:t>
      </w:r>
    </w:p>
  </w:footnote>
  <w:footnote w:id="13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 xml:space="preserve">Európska komisia, Európska výkonná agentúra pre klímu, infraštruktúru a životné prostredie, Bastardie, F., Feary, D., Kell, L. </w:t>
      </w:r>
      <w:r>
        <w:rPr>
          <w:sz w:val="24"/>
          <w:szCs w:val="24"/>
          <w:lang w:val="sk-SK"/>
        </w:rPr>
        <w:t xml:space="preserve">a kol., </w:t>
      </w:r>
      <w:hyperlink r:id="rId1" w:history="1">
        <w:r>
          <w:rPr>
            <w:i/>
            <w:sz w:val="24"/>
            <w:szCs w:val="24"/>
            <w:lang w:val="sk-SK"/>
          </w:rPr>
          <w:t>Climate change and the common fisheries poli</w:t>
        </w:r>
        <w:r>
          <w:rPr>
            <w:i/>
            <w:sz w:val="24"/>
            <w:szCs w:val="24"/>
            <w:lang w:val="sk-SK"/>
          </w:rPr>
          <w:t>cy – adaptation and building resilience to the effects of climate change on fisheries and reducing emissions of greenhouse gases from fishing:</w:t>
        </w:r>
      </w:hyperlink>
      <w:hyperlink r:id="rId2" w:history="1">
        <w:r>
          <w:rPr>
            <w:i/>
            <w:sz w:val="24"/>
            <w:szCs w:val="24"/>
            <w:lang w:val="sk-SK"/>
          </w:rPr>
          <w:t>final report</w:t>
        </w:r>
      </w:hyperlink>
      <w:r>
        <w:rPr>
          <w:sz w:val="24"/>
          <w:szCs w:val="24"/>
          <w:lang w:val="sk-SK"/>
        </w:rPr>
        <w:t xml:space="preserve">, (Zmena klímy a spoločná rybárska politika </w:t>
      </w:r>
      <w:r>
        <w:rPr>
          <w:sz w:val="24"/>
          <w:szCs w:val="24"/>
          <w:lang w:val="sk-SK"/>
        </w:rPr>
        <w:t xml:space="preserve">– adaptácia na zmenu klímy, zvyšovanie odolnosti voči jej vplyvom na rybárstvo a znižovanie emisií skleníkových plynov z rybolovu: záverečná správa), Úrad pre vydávanie publikácií Európskej únie, 2022. </w:t>
      </w:r>
    </w:p>
  </w:footnote>
  <w:footnote w:id="14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>Žiadosť EÚ adresovaná ICES o poskytnutie poradenstva v otázke preskúmania príspevku TAC k riadeniu rybárstva a ochrane populácií, ICES (2018). Osobitné odporúčanie rady ICES: Ekoregióny severovýchodného Atlantiku, sr.2018.15., uverejnené 20. septembra 2018</w:t>
      </w:r>
      <w:r>
        <w:rPr>
          <w:sz w:val="24"/>
          <w:szCs w:val="24"/>
          <w:lang w:val="sk-SK"/>
        </w:rPr>
        <w:t>, https://doi.org/10.17895/ices.pub.4531.</w:t>
      </w:r>
    </w:p>
  </w:footnote>
  <w:footnote w:id="15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COM(2023)0100.</w:t>
      </w:r>
    </w:p>
  </w:footnote>
  <w:footnote w:id="16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Podľa osobitnej správy Dvora audítorov o energii z obnoviteľných zdrojov na mori v EÚ z 5. júla 2023: „je potrebné lepšie identifikovať a riešiť potenciálne negatívne dôsledky rozvoja energie z</w:t>
      </w:r>
      <w:r>
        <w:rPr>
          <w:sz w:val="24"/>
          <w:szCs w:val="24"/>
          <w:lang w:val="sk-SK"/>
        </w:rPr>
        <w:t xml:space="preserve"> obnoviteľných zdrojov na mori na odvetvie rybárstva“ (https://www.eca.europa.eu/ECAPublications/SR-2023-22/SR-2023-22_SK.pdf, strana 40).</w:t>
      </w:r>
    </w:p>
  </w:footnote>
  <w:footnote w:id="17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Smernica 2014/89/EÚ z 23. júla 2014, ktorou sa ustanovuje rámec pre námorné priestorové plánovanie (Ú. v. EÚ L 257</w:t>
      </w:r>
      <w:r>
        <w:rPr>
          <w:sz w:val="24"/>
          <w:szCs w:val="24"/>
          <w:lang w:val="sk-SK"/>
        </w:rPr>
        <w:t>, 28.8.2014, s. 135).</w:t>
      </w:r>
    </w:p>
  </w:footnote>
  <w:footnote w:id="18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Smernica 2008/56/ES zo 17. júna 2008, ktorou sa ustanovuje rámec pre činnosť Spoločenstva v oblasti morskej environmentálnej politiky („rámcová smernica o morskej stratégii“) (Ú. v. EÚ L 164, 25.6.2008, s. 19).</w:t>
      </w:r>
    </w:p>
  </w:footnote>
  <w:footnote w:id="19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Nariadenie Rady (</w:t>
      </w:r>
      <w:r>
        <w:rPr>
          <w:sz w:val="24"/>
          <w:szCs w:val="24"/>
          <w:lang w:val="sk-SK"/>
        </w:rPr>
        <w:t>EÚ) č. 1379/2013 zo 11. decembra 2013 o spoločnej organizácii trhov s výrobkami rybolovu a akvakultúry (Ú. v. ES L 354, 28.12.2013, s. 1).</w:t>
      </w:r>
    </w:p>
  </w:footnote>
  <w:footnote w:id="20">
    <w:p w:rsidR="00CE023B" w:rsidRDefault="003A7BC0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Nariadenie (EÚ) 2017/1004 zo 17. mája 2017 o vytvorení rámca Únie pre zber, správu a využívanie údajov v odvetví r</w:t>
      </w:r>
      <w:r>
        <w:rPr>
          <w:sz w:val="24"/>
          <w:szCs w:val="24"/>
          <w:lang w:val="sk-SK"/>
        </w:rPr>
        <w:t xml:space="preserve">ybárstva a pre podporu vedeckých odporúčaní súvisiacich so spoločnou rybárskou politikou, a ktorým sa zrušuje nariadenie Rady (ES) č. 199/2008 (Ú. v. </w:t>
      </w:r>
      <w:r>
        <w:rPr>
          <w:sz w:val="24"/>
          <w:szCs w:val="24"/>
          <w:lang w:val="sk-SK"/>
        </w:rPr>
        <w:t>EÚ L 157</w:t>
      </w:r>
      <w:r>
        <w:rPr>
          <w:sz w:val="24"/>
          <w:szCs w:val="24"/>
          <w:lang w:val="sk-SK"/>
        </w:rPr>
        <w:t>, 20</w:t>
      </w:r>
      <w:r>
        <w:rPr>
          <w:sz w:val="24"/>
          <w:szCs w:val="24"/>
          <w:lang w:val="sk-SK"/>
        </w:rPr>
        <w:t>.6</w:t>
      </w:r>
      <w:r>
        <w:rPr>
          <w:sz w:val="24"/>
          <w:szCs w:val="24"/>
          <w:lang w:val="sk-SK"/>
        </w:rPr>
        <w:t>.2017</w:t>
      </w:r>
      <w:r>
        <w:rPr>
          <w:sz w:val="24"/>
          <w:szCs w:val="24"/>
          <w:lang w:val="sk-SK"/>
        </w:rPr>
        <w:t>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23B" w:rsidRDefault="00CE02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23B" w:rsidRDefault="00CE02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23B" w:rsidRDefault="00CE023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7/2023"/>
    <w:docVar w:name="dvlangue" w:val="SK"/>
    <w:docVar w:name="dvnumam" w:val="0"/>
    <w:docVar w:name="dvpe" w:val="719.724"/>
    <w:docVar w:name="dvrapporteur" w:val="Spravodajca: "/>
    <w:docVar w:name="dvtitre" w:val="Uznesenie Európskeho parlamentu z xx. januára 2024 o súčasnom stave vykonávania spoločnej rybárskej politiky a budúcich perspektívach(2021/2169(INI))"/>
  </w:docVars>
  <w:rsids>
    <w:rsidRoot w:val="00CE023B"/>
    <w:rsid w:val="003A7BC0"/>
    <w:rsid w:val="00CE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65AFE"/>
  <w15:chartTrackingRefBased/>
  <w15:docId w15:val="{A494FA5F-6647-498D-8201-EE854100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Normal6a">
    <w:name w:val="Normal6a"/>
    <w:basedOn w:val="Normal"/>
    <w:uiPriority w:val="99"/>
    <w:pPr>
      <w:spacing w:after="120"/>
    </w:pPr>
  </w:style>
  <w:style w:type="character" w:customStyle="1" w:styleId="BoldItalic">
    <w:name w:val="BoldItalic"/>
    <w:uiPriority w:val="1"/>
    <w:rPr>
      <w:b/>
      <w:i/>
      <w:u w:val="none"/>
    </w:rPr>
  </w:style>
  <w:style w:type="character" w:customStyle="1" w:styleId="Italic">
    <w:name w:val="Italic"/>
    <w:uiPriority w:val="1"/>
    <w:rPr>
      <w:i/>
    </w:rPr>
  </w:style>
  <w:style w:type="paragraph" w:customStyle="1" w:styleId="NormalHanging12a1">
    <w:name w:val="NormalHanging12a1"/>
    <w:basedOn w:val="Normal"/>
    <w:qFormat/>
    <w:pPr>
      <w:spacing w:after="240"/>
      <w:ind w:left="992" w:hanging="425"/>
    </w:pPr>
  </w:style>
  <w:style w:type="paragraph" w:customStyle="1" w:styleId="Normal12a24b">
    <w:name w:val="Normal12a24b"/>
    <w:basedOn w:val="Normal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Pr>
      <w:snapToGrid w:val="0"/>
      <w:sz w:val="24"/>
      <w:lang w:val="sk-SK" w:eastAsia="en-US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data.europa.eu/doi/10.2926/155626" TargetMode="External"/><Relationship Id="rId1" Type="http://schemas.openxmlformats.org/officeDocument/2006/relationships/hyperlink" Target="https://data.europa.eu/doi/10.2926/1556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E1C57-65FD-46D3-B653-FFD042026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10256</Words>
  <Characters>77541</Characters>
  <Application>Microsoft Office Word</Application>
  <DocSecurity>0</DocSecurity>
  <Lines>2280</Lines>
  <Paragraphs>1202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2024-02-26T10:23:00Z</dcterms:created>
  <dcterms:modified xsi:type="dcterms:W3CDTF">2024-02-26T10:23:00Z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A9-0357/2023</vt:lpwstr>
  </property>
  <property fmtid="{D5CDD505-2E9C-101B-9397-08002B2CF9AE}" pid="4" name="&lt;Type&gt;">
    <vt:lpwstr>RR</vt:lpwstr>
  </property>
</Properties>
</file>