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1B18" w:rsidTr="0010095E">
        <w:trPr>
          <w:trHeight w:hRule="exact" w:val="1418"/>
        </w:trPr>
        <w:tc>
          <w:tcPr>
            <w:tcW w:w="6804" w:type="dxa"/>
            <w:shd w:val="clear" w:color="auto" w:fill="auto"/>
            <w:vAlign w:val="center"/>
          </w:tcPr>
          <w:p w:rsidR="00751A4A" w:rsidRPr="00531B18" w:rsidRDefault="00881375" w:rsidP="0010095E">
            <w:pPr>
              <w:pStyle w:val="EPName"/>
            </w:pPr>
            <w:r w:rsidRPr="00531B18">
              <w:t>Evropski parlament</w:t>
            </w:r>
          </w:p>
          <w:p w:rsidR="00751A4A" w:rsidRPr="00531B18" w:rsidRDefault="00817416" w:rsidP="00756632">
            <w:pPr>
              <w:pStyle w:val="EPTerm"/>
              <w:rPr>
                <w:rStyle w:val="HideTWBExt"/>
                <w:noProof w:val="0"/>
                <w:vanish w:val="0"/>
                <w:color w:val="auto"/>
              </w:rPr>
            </w:pPr>
            <w:r w:rsidRPr="00531B18">
              <w:t>2019-2024</w:t>
            </w:r>
          </w:p>
        </w:tc>
        <w:tc>
          <w:tcPr>
            <w:tcW w:w="2268" w:type="dxa"/>
            <w:shd w:val="clear" w:color="auto" w:fill="auto"/>
          </w:tcPr>
          <w:p w:rsidR="00751A4A" w:rsidRPr="00531B18" w:rsidRDefault="00187494" w:rsidP="0010095E">
            <w:pPr>
              <w:pStyle w:val="EPLogo"/>
            </w:pPr>
            <w:r w:rsidRPr="00531B18">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31B18" w:rsidRDefault="00D058B8" w:rsidP="004C5D52">
      <w:pPr>
        <w:pStyle w:val="LineTop"/>
      </w:pPr>
    </w:p>
    <w:p w:rsidR="00680577" w:rsidRPr="00531B18" w:rsidRDefault="00881375" w:rsidP="00680577">
      <w:pPr>
        <w:pStyle w:val="EPBodyTA1"/>
      </w:pPr>
      <w:r w:rsidRPr="00531B18">
        <w:t>SPREJETA BESEDILA</w:t>
      </w:r>
    </w:p>
    <w:p w:rsidR="00D058B8" w:rsidRPr="00531B18" w:rsidRDefault="00D058B8" w:rsidP="00D058B8">
      <w:pPr>
        <w:pStyle w:val="LineBottom"/>
      </w:pPr>
    </w:p>
    <w:p w:rsidR="00881375" w:rsidRPr="00531B18" w:rsidRDefault="00881375" w:rsidP="00531B18">
      <w:pPr>
        <w:pStyle w:val="ATHeading1"/>
      </w:pPr>
      <w:bookmarkStart w:id="0" w:name="TANumber"/>
      <w:r w:rsidRPr="00531B18">
        <w:t>P9_TA(2024)00</w:t>
      </w:r>
      <w:r w:rsidR="00531B18" w:rsidRPr="00531B18">
        <w:t>46</w:t>
      </w:r>
      <w:bookmarkEnd w:id="0"/>
    </w:p>
    <w:p w:rsidR="00881375" w:rsidRPr="00531B18" w:rsidRDefault="00881375" w:rsidP="00881375">
      <w:pPr>
        <w:pStyle w:val="ATHeading2"/>
      </w:pPr>
      <w:bookmarkStart w:id="1" w:name="title"/>
      <w:r w:rsidRPr="00531B18">
        <w:t>Akcijski načrt EU: varstvo in obnova morskih ekosistemov za trajnostno in odporno ribištvo</w:t>
      </w:r>
      <w:bookmarkEnd w:id="1"/>
    </w:p>
    <w:p w:rsidR="00881375" w:rsidRPr="00531B18" w:rsidRDefault="00881375" w:rsidP="00881375">
      <w:pPr>
        <w:rPr>
          <w:i/>
          <w:vanish/>
        </w:rPr>
      </w:pPr>
      <w:r w:rsidRPr="00531B18">
        <w:rPr>
          <w:i/>
        </w:rPr>
        <w:fldChar w:fldCharType="begin"/>
      </w:r>
      <w:r w:rsidRPr="00531B18">
        <w:rPr>
          <w:i/>
        </w:rPr>
        <w:instrText xml:space="preserve"> TC"(</w:instrText>
      </w:r>
      <w:bookmarkStart w:id="2" w:name="DocNumber"/>
      <w:r w:rsidRPr="00531B18">
        <w:rPr>
          <w:i/>
        </w:rPr>
        <w:instrText>A9-0437/2023</w:instrText>
      </w:r>
      <w:bookmarkEnd w:id="2"/>
      <w:r w:rsidRPr="00531B18">
        <w:rPr>
          <w:i/>
        </w:rPr>
        <w:instrText xml:space="preserve"> - Poročevalec: Niclas Herbst)"\l3 \n&gt; \* MERGEFORMAT </w:instrText>
      </w:r>
      <w:r w:rsidRPr="00531B18">
        <w:rPr>
          <w:i/>
        </w:rPr>
        <w:fldChar w:fldCharType="end"/>
      </w:r>
    </w:p>
    <w:p w:rsidR="00881375" w:rsidRPr="00531B18" w:rsidRDefault="00881375" w:rsidP="00881375">
      <w:pPr>
        <w:rPr>
          <w:vanish/>
        </w:rPr>
      </w:pPr>
      <w:bookmarkStart w:id="3" w:name="Commission"/>
      <w:r w:rsidRPr="00531B18">
        <w:rPr>
          <w:vanish/>
        </w:rPr>
        <w:t>Odbor za ribištvo</w:t>
      </w:r>
      <w:bookmarkEnd w:id="3"/>
    </w:p>
    <w:p w:rsidR="00881375" w:rsidRPr="00531B18" w:rsidRDefault="00881375" w:rsidP="00881375">
      <w:pPr>
        <w:rPr>
          <w:vanish/>
        </w:rPr>
      </w:pPr>
      <w:bookmarkStart w:id="4" w:name="PE"/>
      <w:r w:rsidRPr="00531B18">
        <w:rPr>
          <w:vanish/>
        </w:rPr>
        <w:t>PE752.944</w:t>
      </w:r>
      <w:bookmarkEnd w:id="4"/>
    </w:p>
    <w:p w:rsidR="00881375" w:rsidRPr="00531B18" w:rsidRDefault="00881375" w:rsidP="00531B18">
      <w:pPr>
        <w:pStyle w:val="ATHeading3"/>
      </w:pPr>
      <w:bookmarkStart w:id="5" w:name="Sujet"/>
      <w:r w:rsidRPr="00531B18">
        <w:t xml:space="preserve">Resolucija Evropskega parlamenta z dne </w:t>
      </w:r>
      <w:r w:rsidR="00531B18" w:rsidRPr="00531B18">
        <w:t>18</w:t>
      </w:r>
      <w:r w:rsidRPr="00531B18">
        <w:t>. januarja 2024 o akcijskem načrtu EU: varstvo in obnova morskih ekosistemov za trajnostno in odporno ribištvo</w:t>
      </w:r>
      <w:bookmarkEnd w:id="5"/>
      <w:r w:rsidRPr="00531B18">
        <w:t xml:space="preserve"> </w:t>
      </w:r>
      <w:bookmarkStart w:id="6" w:name="References"/>
      <w:r w:rsidRPr="00531B18">
        <w:t>(2023/2124(INI))</w:t>
      </w:r>
      <w:bookmarkEnd w:id="6"/>
    </w:p>
    <w:p w:rsidR="0073653A" w:rsidRPr="00531B18" w:rsidRDefault="0073653A" w:rsidP="0073653A">
      <w:pPr>
        <w:pStyle w:val="EPComma"/>
      </w:pPr>
      <w:bookmarkStart w:id="7" w:name="TextBodyBegin"/>
      <w:bookmarkEnd w:id="7"/>
      <w:r w:rsidRPr="00531B18">
        <w:rPr>
          <w:rStyle w:val="Italic"/>
        </w:rPr>
        <w:t>Evropski parlament</w:t>
      </w:r>
      <w:r w:rsidRPr="00531B18">
        <w:t>,</w:t>
      </w:r>
    </w:p>
    <w:p w:rsidR="0073653A" w:rsidRPr="00531B18" w:rsidRDefault="0073653A" w:rsidP="0073653A">
      <w:pPr>
        <w:pStyle w:val="NormalHanging12a"/>
      </w:pPr>
      <w:r w:rsidRPr="00531B18">
        <w:t>–</w:t>
      </w:r>
      <w:r w:rsidRPr="00531B18">
        <w:tab/>
        <w:t>ob upoštevanju sporočila Komisije z dne 21. februarja 2023 z naslovom Akcijski načrt EU: Varstvo in obnova ekosistemov za trajnostno in odporno ribištvo (COM(2023)0102) (v nadaljevanju besedila: akcijski načrt),</w:t>
      </w:r>
    </w:p>
    <w:p w:rsidR="0073653A" w:rsidRPr="00531B18" w:rsidRDefault="0073653A" w:rsidP="0073653A">
      <w:pPr>
        <w:pStyle w:val="NormalHanging12a"/>
      </w:pPr>
      <w:r w:rsidRPr="00531B18">
        <w:t>–</w:t>
      </w:r>
      <w:r w:rsidRPr="00531B18">
        <w:tab/>
        <w:t>ob upoštevanju mnenja Evropskega ekonomsko-socialnega odbora z dne 12. julija 2023 o sporočilu Komisije Evropskemu parlamentu, Svetu, Evropskemu ekonomsko-socialnemu odboru in Odboru regij o akcijskem načrtu EU: varstvo in obnova morskih ekosistemov za trajnostno in odporno ribištvo</w:t>
      </w:r>
      <w:r w:rsidRPr="00531B18">
        <w:rPr>
          <w:rStyle w:val="FootnoteReference"/>
        </w:rPr>
        <w:footnoteReference w:id="1"/>
      </w:r>
      <w:r w:rsidRPr="00531B18">
        <w:t>,</w:t>
      </w:r>
    </w:p>
    <w:p w:rsidR="0073653A" w:rsidRPr="00531B18" w:rsidRDefault="0073653A" w:rsidP="0073653A">
      <w:pPr>
        <w:pStyle w:val="NormalHanging12a"/>
      </w:pPr>
      <w:r w:rsidRPr="00531B18">
        <w:t>–</w:t>
      </w:r>
      <w:r w:rsidRPr="00531B18">
        <w:tab/>
        <w:t>ob upoštevanju Pogodbe o delovanju Evropske unije, zlasti člena 39, ki zagotavlja primerno življenjsko raven kmetijske in ribiške skupnosti, ter člena 5 o načelu sorazmernosti,</w:t>
      </w:r>
    </w:p>
    <w:p w:rsidR="0073653A" w:rsidRPr="00531B18" w:rsidRDefault="0073653A" w:rsidP="0073653A">
      <w:pPr>
        <w:pStyle w:val="NormalHanging12a"/>
      </w:pPr>
      <w:r w:rsidRPr="00531B18">
        <w:t>–</w:t>
      </w:r>
      <w:r w:rsidRPr="00531B18">
        <w:tab/>
        <w:t>ob upoštevanju resolucije generalne skupščine OZN z naslovom Spreminjamo naš svet: agenda za trajnostni razvoj do leta 2030), ki je bila sprejeta na vrhu OZN o trajnostnem razvoju v New Yorku 25. septembra 2015, in zlasti cilja trajnostnega razvoja št. 14 iz agende OZN za trajnostni razvoj do leta 2030, s katerim se spodbujata ohranjanje in trajnostna uporaba oceanov, morij in morskih virov,</w:t>
      </w:r>
    </w:p>
    <w:p w:rsidR="0073653A" w:rsidRPr="00531B18" w:rsidRDefault="0073653A" w:rsidP="0073653A">
      <w:pPr>
        <w:pStyle w:val="NormalHanging12a"/>
      </w:pPr>
      <w:r w:rsidRPr="00531B18">
        <w:t>–</w:t>
      </w:r>
      <w:r w:rsidRPr="00531B18">
        <w:tab/>
        <w:t>ob upoštevanju Pariškega sporazuma z dne 12. decembra 2015, zlasti člena 2(1)(b) o prilagajanju negativnim vplivom podnebnih sprememb na način, ki ne ogroža proizvodnje hrane,</w:t>
      </w:r>
    </w:p>
    <w:p w:rsidR="0073653A" w:rsidRPr="00531B18" w:rsidRDefault="0073653A" w:rsidP="0073653A">
      <w:pPr>
        <w:pStyle w:val="NormalHanging12a"/>
      </w:pPr>
      <w:r w:rsidRPr="00531B18">
        <w:t>–</w:t>
      </w:r>
      <w:r w:rsidRPr="00531B18">
        <w:tab/>
        <w:t xml:space="preserve">ob upoštevanju sporazuma na podlagi Konvencije OZN o pomorskem pravu glede ohranjanja in trajnostne rabe morske biotske raznovrstnosti na območjih zunaj </w:t>
      </w:r>
      <w:r w:rsidRPr="00531B18">
        <w:lastRenderedPageBreak/>
        <w:t>nacionalne jurisdikcije, ki je bil sprejet 19. junija 2023 (sporazum OZN o odprtem morju) in Kunminško-montrealskega svetovnega okvira za biotsko raznovrstnost,</w:t>
      </w:r>
    </w:p>
    <w:p w:rsidR="0073653A" w:rsidRPr="00531B18" w:rsidRDefault="0073653A" w:rsidP="0073653A">
      <w:pPr>
        <w:pStyle w:val="NormalHanging12a"/>
      </w:pPr>
      <w:r w:rsidRPr="00531B18">
        <w:t>–</w:t>
      </w:r>
      <w:r w:rsidRPr="00531B18">
        <w:tab/>
        <w:t>ob upoštevanju Uredbe (EU) št. 1380/2013 Evropskega parlamenta in Sveta z dne 11. decembra 2013 o skupni ribiški politiki in o spremembi uredb Sveta (ES) št. 1954/2003 in (ES) št. 1224/2009 ter razveljavitvi uredb Sveta (ES) št. 2371/2002 in (ES) št. 639/2004 ter Sklepa Sveta 2004/585/ES</w:t>
      </w:r>
      <w:r w:rsidRPr="00531B18">
        <w:rPr>
          <w:rStyle w:val="FootnoteReference"/>
        </w:rPr>
        <w:footnoteReference w:id="2"/>
      </w:r>
      <w:r w:rsidRPr="00531B18">
        <w:t>,</w:t>
      </w:r>
    </w:p>
    <w:p w:rsidR="0073653A" w:rsidRPr="00531B18" w:rsidRDefault="0073653A" w:rsidP="0073653A">
      <w:pPr>
        <w:pStyle w:val="NormalHanging12a"/>
      </w:pPr>
      <w:r w:rsidRPr="00531B18">
        <w:t>–</w:t>
      </w:r>
      <w:r w:rsidRPr="00531B18">
        <w:tab/>
        <w:t>ob upoštevanju Direktive Evropskega parlamenta in Sveta 2000/60/ES z dne 23. oktobra 2000 o določitvi okvira za ukrepe Skupnosti na področju vodne politike</w:t>
      </w:r>
      <w:r w:rsidRPr="00531B18">
        <w:rPr>
          <w:rStyle w:val="FootnoteReference"/>
        </w:rPr>
        <w:footnoteReference w:id="3"/>
      </w:r>
      <w:r w:rsidRPr="00531B18">
        <w:t>,</w:t>
      </w:r>
    </w:p>
    <w:p w:rsidR="0073653A" w:rsidRPr="00531B18" w:rsidRDefault="0073653A" w:rsidP="0073653A">
      <w:pPr>
        <w:pStyle w:val="NormalHanging12a"/>
      </w:pPr>
      <w:r w:rsidRPr="00531B18">
        <w:t>–</w:t>
      </w:r>
      <w:r w:rsidRPr="00531B18">
        <w:tab/>
        <w:t>ob upoštevanju Direktive 2008/56/ES Evropskega parlamenta in Sveta z dne 17. junija 2008 o določitvi okvira za ukrepe Skupnosti na področju politike morskega okolja (okvirna direktiva o morski strategiji)</w:t>
      </w:r>
      <w:r w:rsidRPr="00531B18">
        <w:rPr>
          <w:rStyle w:val="FootnoteReference"/>
        </w:rPr>
        <w:footnoteReference w:id="4"/>
      </w:r>
      <w:r w:rsidRPr="00531B18">
        <w:t>,</w:t>
      </w:r>
    </w:p>
    <w:p w:rsidR="0073653A" w:rsidRPr="00531B18" w:rsidRDefault="0073653A" w:rsidP="0073653A">
      <w:pPr>
        <w:pStyle w:val="NormalHanging12a"/>
      </w:pPr>
      <w:r w:rsidRPr="00531B18">
        <w:t>–</w:t>
      </w:r>
      <w:r w:rsidRPr="00531B18">
        <w:tab/>
        <w:t>ob upoštevanju Direktive 2014/89/EU Evropskega parlamenta in Sveta z dne 23. julija 2014 o vzpostavitvi okvira za pomorsko prostorsko načrtovanje</w:t>
      </w:r>
      <w:r w:rsidRPr="00531B18">
        <w:rPr>
          <w:rStyle w:val="FootnoteReference"/>
        </w:rPr>
        <w:footnoteReference w:id="5"/>
      </w:r>
      <w:r w:rsidRPr="00531B18">
        <w:t xml:space="preserve"> (direktiva o pomorskem prostorskem načrtovanju),</w:t>
      </w:r>
    </w:p>
    <w:p w:rsidR="0073653A" w:rsidRPr="00531B18" w:rsidRDefault="0073653A" w:rsidP="0073653A">
      <w:pPr>
        <w:pStyle w:val="NormalHanging12a"/>
      </w:pPr>
      <w:r w:rsidRPr="00531B18">
        <w:t>–</w:t>
      </w:r>
      <w:r w:rsidRPr="00531B18">
        <w:tab/>
        <w:t>ob upoštevanju Uredbe (EU) 2016/2336 Evropskega parlamenta in Sveta z dne 14. decembra 2016 o določitvi posebnih pogojev za ribolov globokomorskih staležev v severovzhodnem Atlantiku in določb o ribolovu v mednarodnih vodah severovzhodnega Atlantika ter razveljavitvi Uredbe Sveta (ES) št. 2347/2002</w:t>
      </w:r>
      <w:r w:rsidRPr="00531B18">
        <w:rPr>
          <w:rStyle w:val="FootnoteReference"/>
        </w:rPr>
        <w:footnoteReference w:id="6"/>
      </w:r>
      <w:r w:rsidRPr="00531B18">
        <w:t>,</w:t>
      </w:r>
    </w:p>
    <w:p w:rsidR="0073653A" w:rsidRPr="00531B18" w:rsidRDefault="0073653A" w:rsidP="0073653A">
      <w:pPr>
        <w:pStyle w:val="NormalHanging12a"/>
      </w:pPr>
      <w:r w:rsidRPr="00531B18">
        <w:t>–</w:t>
      </w:r>
      <w:r w:rsidRPr="00531B18">
        <w:tab/>
        <w:t>ob upoštevanju Uredbe Sveta (ES) št. 1100/2007 z dne 18. septembra 2007 o ukrepih za obnovo staleža evropske jegulje</w:t>
      </w:r>
      <w:r w:rsidRPr="00531B18">
        <w:rPr>
          <w:rStyle w:val="FootnoteReference"/>
        </w:rPr>
        <w:footnoteReference w:id="7"/>
      </w:r>
      <w:r w:rsidRPr="00531B18">
        <w:t xml:space="preserve"> (uredba o jeguljah),</w:t>
      </w:r>
    </w:p>
    <w:p w:rsidR="0073653A" w:rsidRPr="00531B18" w:rsidRDefault="0073653A" w:rsidP="0073653A">
      <w:pPr>
        <w:pStyle w:val="NormalHanging12a"/>
      </w:pPr>
      <w:r w:rsidRPr="00531B18">
        <w:t>–</w:t>
      </w:r>
      <w:r w:rsidRPr="00531B18">
        <w:tab/>
        <w:t>ob upoštevanju Izvedbene uredbe Komisije (EU) 2022/1614 z dne 15. septembra 2022 o določitvi obstoječih globokomorskih ribolovnih območij in določitvi seznama območij, na katerih je prisotnost občutljivih morskih ekosistemov znana ali verjetna</w:t>
      </w:r>
      <w:r w:rsidRPr="00531B18">
        <w:rPr>
          <w:rStyle w:val="FootnoteReference"/>
        </w:rPr>
        <w:footnoteReference w:id="8"/>
      </w:r>
      <w:r w:rsidRPr="00531B18">
        <w:t>,</w:t>
      </w:r>
    </w:p>
    <w:p w:rsidR="0073653A" w:rsidRPr="00531B18" w:rsidRDefault="0073653A" w:rsidP="0073653A">
      <w:pPr>
        <w:pStyle w:val="NormalHanging12a"/>
      </w:pPr>
      <w:r w:rsidRPr="00531B18">
        <w:t>–</w:t>
      </w:r>
      <w:r w:rsidRPr="00531B18">
        <w:tab/>
        <w:t>ob upoštevanju svoje resolucije z dne 9. junija 2021 o strategiji EU za biotsko raznovrstnost do leta 2030: vračanje narave v naša življenja</w:t>
      </w:r>
      <w:r w:rsidRPr="00531B18">
        <w:rPr>
          <w:vertAlign w:val="superscript"/>
        </w:rPr>
        <w:footnoteReference w:id="9"/>
      </w:r>
      <w:r w:rsidRPr="00531B18">
        <w:t>,</w:t>
      </w:r>
    </w:p>
    <w:p w:rsidR="0073653A" w:rsidRPr="00531B18" w:rsidRDefault="0073653A" w:rsidP="0073653A">
      <w:pPr>
        <w:pStyle w:val="NormalHanging12a"/>
      </w:pPr>
      <w:r w:rsidRPr="00531B18">
        <w:t>–</w:t>
      </w:r>
      <w:r w:rsidRPr="00531B18">
        <w:tab/>
        <w:t>ob upoštevanju svoje resolucije z dne 21. januarja 2021 na temo Več rib v morju? Ukrepi za spodbujanje obnove staležev nad raven največjega trajnostnega donosa, vključno z območji obnove ribjih staležev in morskimi zavarovanimi območji</w:t>
      </w:r>
      <w:r w:rsidRPr="00531B18">
        <w:rPr>
          <w:rStyle w:val="FootnoteReference"/>
        </w:rPr>
        <w:footnoteReference w:id="10"/>
      </w:r>
      <w:r w:rsidRPr="00531B18">
        <w:t>,</w:t>
      </w:r>
    </w:p>
    <w:p w:rsidR="0073653A" w:rsidRPr="00531B18" w:rsidRDefault="0073653A" w:rsidP="0073653A">
      <w:pPr>
        <w:pStyle w:val="NormalHanging12a"/>
      </w:pPr>
      <w:r w:rsidRPr="00531B18">
        <w:t>–</w:t>
      </w:r>
      <w:r w:rsidRPr="00531B18">
        <w:tab/>
        <w:t>ob upoštevanju svoje resolucije z dne 3. maja 2022 z naslovom Na poti do trajnostnega modrega gospodarstva v EU: vloga ribištva in akvakulture</w:t>
      </w:r>
      <w:r w:rsidRPr="00531B18">
        <w:rPr>
          <w:rStyle w:val="FootnoteReference"/>
        </w:rPr>
        <w:footnoteReference w:id="11"/>
      </w:r>
      <w:r w:rsidRPr="00531B18">
        <w:t>,</w:t>
      </w:r>
    </w:p>
    <w:p w:rsidR="0073653A" w:rsidRPr="00531B18" w:rsidRDefault="0073653A" w:rsidP="0073653A">
      <w:pPr>
        <w:pStyle w:val="NormalHanging12a"/>
      </w:pPr>
      <w:r w:rsidRPr="00531B18">
        <w:lastRenderedPageBreak/>
        <w:t>–</w:t>
      </w:r>
      <w:r w:rsidRPr="00531B18">
        <w:tab/>
        <w:t>ob upoštevanju svoje resolucije z dne 7. junija 2022 o izvajanju člena 17 uredbe o skupni ribiški politiki</w:t>
      </w:r>
      <w:r w:rsidRPr="00531B18">
        <w:rPr>
          <w:rStyle w:val="FootnoteReference"/>
        </w:rPr>
        <w:footnoteReference w:id="12"/>
      </w:r>
      <w:r w:rsidRPr="00531B18">
        <w:t>,</w:t>
      </w:r>
    </w:p>
    <w:p w:rsidR="0073653A" w:rsidRPr="00531B18" w:rsidRDefault="0073653A" w:rsidP="0073653A">
      <w:pPr>
        <w:pStyle w:val="NormalHanging12a"/>
      </w:pPr>
      <w:r w:rsidRPr="00531B18">
        <w:t>–</w:t>
      </w:r>
      <w:r w:rsidRPr="00531B18">
        <w:tab/>
        <w:t>ob upoštevanju svoje resolucije z dne 6. oktobra 2022 o zavzemanju za oceane: za izboljšanje njihovega upravljanja in biotske raznovrstnosti</w:t>
      </w:r>
      <w:r w:rsidRPr="00531B18">
        <w:rPr>
          <w:rStyle w:val="FootnoteReference"/>
        </w:rPr>
        <w:footnoteReference w:id="13"/>
      </w:r>
      <w:r w:rsidRPr="00531B18">
        <w:t>,</w:t>
      </w:r>
    </w:p>
    <w:p w:rsidR="0073653A" w:rsidRPr="00531B18" w:rsidRDefault="0073653A" w:rsidP="0073653A">
      <w:pPr>
        <w:pStyle w:val="NormalHanging12a"/>
      </w:pPr>
      <w:r w:rsidRPr="00531B18">
        <w:t>–</w:t>
      </w:r>
      <w:r w:rsidRPr="00531B18">
        <w:tab/>
        <w:t>ob upoštevanju svoje resolucije z dne 9. maja 2023 o soupravljanju ribištva v Uniji in prispevku ribiškega sektorja k izvajanju ukrepov upravljanja</w:t>
      </w:r>
      <w:r w:rsidRPr="00531B18">
        <w:rPr>
          <w:rStyle w:val="FootnoteReference"/>
        </w:rPr>
        <w:footnoteReference w:id="14"/>
      </w:r>
      <w:r w:rsidRPr="00531B18">
        <w:t>,</w:t>
      </w:r>
    </w:p>
    <w:p w:rsidR="0073653A" w:rsidRPr="00531B18" w:rsidRDefault="0073653A" w:rsidP="0073653A">
      <w:pPr>
        <w:pStyle w:val="NormalHanging12a"/>
      </w:pPr>
      <w:r w:rsidRPr="00531B18">
        <w:t>–</w:t>
      </w:r>
      <w:r w:rsidRPr="00531B18">
        <w:tab/>
        <w:t>ob upoštevanju svoje resolucije z dne 21. novembra 2023 o izvajanju Uredbe Sveta (ES) št. 1100/2007 o ukrepih za obnovo staleža evropske jegulje</w:t>
      </w:r>
      <w:r w:rsidRPr="00531B18">
        <w:rPr>
          <w:rStyle w:val="FootnoteReference"/>
        </w:rPr>
        <w:footnoteReference w:id="15"/>
      </w:r>
      <w:r w:rsidRPr="00531B18">
        <w:t>,</w:t>
      </w:r>
    </w:p>
    <w:p w:rsidR="0073653A" w:rsidRPr="00531B18" w:rsidRDefault="0073653A" w:rsidP="0073653A">
      <w:pPr>
        <w:pStyle w:val="NormalHanging12a"/>
      </w:pPr>
      <w:r w:rsidRPr="00531B18">
        <w:t>–</w:t>
      </w:r>
      <w:r w:rsidRPr="00531B18">
        <w:tab/>
        <w:t>ob upoštevanju sklepov predsedstva z dne 26. junija 2023 o svežnju o ribiški politiki za trajnosten, odporen in konkurenčen sektor ribištva in akvakulture,</w:t>
      </w:r>
    </w:p>
    <w:p w:rsidR="0073653A" w:rsidRPr="00531B18" w:rsidRDefault="0073653A" w:rsidP="0073653A">
      <w:pPr>
        <w:pStyle w:val="NormalHanging12a"/>
      </w:pPr>
      <w:r w:rsidRPr="00531B18">
        <w:t>–</w:t>
      </w:r>
      <w:r w:rsidRPr="00531B18">
        <w:tab/>
        <w:t>ob upoštevanju govora predsednice Komisije Ursule von der Leyen 13. septembra 2023 o stanju v Uniji leta 2023 na plenarnem zasedanju Evropskega parlamenta,</w:t>
      </w:r>
    </w:p>
    <w:p w:rsidR="0073653A" w:rsidRPr="00531B18" w:rsidRDefault="0073653A" w:rsidP="0073653A">
      <w:pPr>
        <w:pStyle w:val="NormalHanging12a"/>
      </w:pPr>
      <w:r w:rsidRPr="00531B18">
        <w:t>–</w:t>
      </w:r>
      <w:r w:rsidRPr="00531B18">
        <w:tab/>
        <w:t>ob upoštevanju sporočila Komisije z dne 10. oktobra 2007 z naslovom Celostna pomorska politika za Evropsko unijo (COM(2007)0575),</w:t>
      </w:r>
    </w:p>
    <w:p w:rsidR="0073653A" w:rsidRPr="00531B18" w:rsidRDefault="0073653A" w:rsidP="0073653A">
      <w:pPr>
        <w:pStyle w:val="NormalHanging12a"/>
      </w:pPr>
      <w:r w:rsidRPr="00531B18">
        <w:t>–</w:t>
      </w:r>
      <w:r w:rsidRPr="00531B18">
        <w:tab/>
        <w:t>ob upoštevanju smernic Komisije iz leta 2018 o akvakulturi in območjih Natura 2000,</w:t>
      </w:r>
    </w:p>
    <w:p w:rsidR="0073653A" w:rsidRPr="00531B18" w:rsidRDefault="0073653A" w:rsidP="0073653A">
      <w:pPr>
        <w:pStyle w:val="NormalHanging12a"/>
      </w:pPr>
      <w:r w:rsidRPr="00531B18">
        <w:t>–</w:t>
      </w:r>
      <w:r w:rsidRPr="00531B18">
        <w:tab/>
        <w:t>ob upoštevanju poročila Komisije z dne 23. septembra 2021 z naslovom Izvajanje uredbe o tehničnih ukrepih (člen 31 Uredbe (EU) 2019/1241) (COM(2021)0583),</w:t>
      </w:r>
    </w:p>
    <w:p w:rsidR="0073653A" w:rsidRPr="00531B18" w:rsidRDefault="0073653A" w:rsidP="0073653A">
      <w:pPr>
        <w:pStyle w:val="NormalHanging12a"/>
      </w:pPr>
      <w:r w:rsidRPr="00531B18">
        <w:t>–</w:t>
      </w:r>
      <w:r w:rsidRPr="00531B18">
        <w:tab/>
        <w:t>ob upoštevanju delovnega dokumenta služb Komisije z dne 28. januarja 2022 o merilih in smernicah za določitev zavarovanih območij (SWD(2022)0023),</w:t>
      </w:r>
    </w:p>
    <w:p w:rsidR="0073653A" w:rsidRPr="00531B18" w:rsidRDefault="0073653A" w:rsidP="0073653A">
      <w:pPr>
        <w:pStyle w:val="NormalHanging12a"/>
      </w:pPr>
      <w:r w:rsidRPr="00531B18">
        <w:t>–</w:t>
      </w:r>
      <w:r w:rsidRPr="00531B18">
        <w:tab/>
        <w:t>ob upoštevanju poročila Medvladne platforme za znanstveno politiko o biotski raznovrstnosti in ekosistemskih storitvah z dne 4. maja 2019 o globalnem ocenjevalnem poročilu o biološki raznovrstnosti in ekosistemskih storitvah,</w:t>
      </w:r>
    </w:p>
    <w:p w:rsidR="0073653A" w:rsidRPr="00531B18" w:rsidRDefault="0073653A" w:rsidP="0073653A">
      <w:pPr>
        <w:pStyle w:val="NormalHanging12a"/>
      </w:pPr>
      <w:r w:rsidRPr="00531B18">
        <w:t>–</w:t>
      </w:r>
      <w:r w:rsidRPr="00531B18">
        <w:tab/>
        <w:t>ob upoštevanju poročila Mednarodnega sveta za raziskovanje morja z dne 24. junija 2021 o tem, kako scenariji upravljanja za zmanjšanje mobilnih motenj pridnenega ribolova na habitate morskega dna vplivajo na iztovarjanje in vrednost ribolova,</w:t>
      </w:r>
    </w:p>
    <w:p w:rsidR="0073653A" w:rsidRPr="00531B18" w:rsidRDefault="0073653A" w:rsidP="0073653A">
      <w:pPr>
        <w:pStyle w:val="NormalHanging12a"/>
      </w:pPr>
      <w:r w:rsidRPr="00531B18">
        <w:t>–</w:t>
      </w:r>
      <w:r w:rsidRPr="00531B18">
        <w:tab/>
        <w:t>ob upoštevanju posebnega poročila Evropskega računskega sodišča št. 26/2020 z dne 26. novembra 2020 z naslovom Morsko okolje: zaščita EU je obsežna, vendar ni poglobljena,</w:t>
      </w:r>
    </w:p>
    <w:p w:rsidR="0073653A" w:rsidRPr="00531B18" w:rsidRDefault="0073653A" w:rsidP="0073653A">
      <w:pPr>
        <w:pStyle w:val="NormalHanging12a"/>
      </w:pPr>
      <w:r w:rsidRPr="00531B18">
        <w:t>–</w:t>
      </w:r>
      <w:r w:rsidRPr="00531B18">
        <w:tab/>
        <w:t>ob upoštevanju priporočila svetovalnega sveta za akvakulturo iz junija 2023 o učinku prepovedi pridnenega ribolova lupinarjev iz akcijskega načrta ter odgovora Komisije na priporočila z dne 1. avgusta 2023 in njenega pisma z dne 3. aprila 2023 poslancem Evropskega parlamenta Davidu McAllisterju, Jensu Giesekeju in Niclasu Herbstu o ribolovu morskega pajka</w:t>
      </w:r>
      <w:r w:rsidRPr="00531B18">
        <w:rPr>
          <w:rStyle w:val="FootnoteReference"/>
        </w:rPr>
        <w:footnoteReference w:id="16"/>
      </w:r>
      <w:r w:rsidRPr="00531B18">
        <w:t>,</w:t>
      </w:r>
    </w:p>
    <w:p w:rsidR="0073653A" w:rsidRPr="00531B18" w:rsidRDefault="0073653A" w:rsidP="0073653A">
      <w:pPr>
        <w:pStyle w:val="NormalHanging12a"/>
      </w:pPr>
      <w:r w:rsidRPr="00531B18">
        <w:lastRenderedPageBreak/>
        <w:t>–</w:t>
      </w:r>
      <w:r w:rsidRPr="00531B18">
        <w:tab/>
        <w:t>ob upoštevanju člena 54 Poslovnika,</w:t>
      </w:r>
    </w:p>
    <w:p w:rsidR="0073653A" w:rsidRPr="00531B18" w:rsidRDefault="0073653A" w:rsidP="0073653A">
      <w:pPr>
        <w:pStyle w:val="NormalHanging12a"/>
      </w:pPr>
      <w:r w:rsidRPr="00531B18">
        <w:t>–</w:t>
      </w:r>
      <w:r w:rsidRPr="00531B18">
        <w:tab/>
        <w:t>ob upoštevanju mnenja Odbora za razvoj,</w:t>
      </w:r>
    </w:p>
    <w:p w:rsidR="0073653A" w:rsidRPr="00531B18" w:rsidRDefault="0073653A" w:rsidP="0073653A">
      <w:pPr>
        <w:pStyle w:val="NormalHanging12a"/>
      </w:pPr>
      <w:r w:rsidRPr="00531B18">
        <w:t>–</w:t>
      </w:r>
      <w:r w:rsidRPr="00531B18">
        <w:tab/>
        <w:t>ob upoštevanju poročila Odbora za ribištvo (A9</w:t>
      </w:r>
      <w:r w:rsidRPr="00531B18">
        <w:noBreakHyphen/>
        <w:t>0437/2023),</w:t>
      </w:r>
    </w:p>
    <w:p w:rsidR="0073653A" w:rsidRPr="00531B18" w:rsidRDefault="0073653A" w:rsidP="0073653A">
      <w:pPr>
        <w:pStyle w:val="NormalHanging12a"/>
      </w:pPr>
      <w:r w:rsidRPr="00531B18">
        <w:t>A.</w:t>
      </w:r>
      <w:r w:rsidRPr="00531B18">
        <w:tab/>
        <w:t>ker bi moralo varovanje oceanov temeljiti na načelu skupne dediščine človeštva; ker je nujno treba okrepiti ukrepe na svetovni ravni in na ravni EU za zaustavitev dejanskega, obstoječega in znanstveno opisanega upadanja morskih ekosistemov, in sicer z obravnavanjem vseh možnih človeških in naravnih pritiskov v okviru naših zmogljivosti, podpiranjem pozitivnega obnavljanja ribjih staležev, vrst in njihovih habitatov ter spodbujanjem znanstvenih študij, raziskav in razvoja, pa tudi s podpiranjem ribištva in tehnik, ki zagotavljajo trajnostno ribištvo in akvakulturo, ob polnem sodelovanju gospodarskih subjektov, predstavnikov lokalnih oblasti, civilne družbe in obalnih skupnosti, ki bistveno prispevajo k temu svetovnemu cilju;</w:t>
      </w:r>
    </w:p>
    <w:p w:rsidR="0073653A" w:rsidRPr="00531B18" w:rsidRDefault="0073653A" w:rsidP="0073653A">
      <w:pPr>
        <w:pStyle w:val="NormalHanging12a"/>
      </w:pPr>
      <w:r w:rsidRPr="00531B18">
        <w:t>B.</w:t>
      </w:r>
      <w:r w:rsidRPr="00531B18">
        <w:tab/>
        <w:t>ker trenutno obstajajo številna zakonodajna besedila, sporočila, strategije in predpisi, povezani z varstvom okolja in upravljanjem ribištva, zlasti o obnovi narave;</w:t>
      </w:r>
    </w:p>
    <w:p w:rsidR="0073653A" w:rsidRPr="00531B18" w:rsidRDefault="0073653A" w:rsidP="0073653A">
      <w:pPr>
        <w:pStyle w:val="NormalHanging12a"/>
      </w:pPr>
      <w:r w:rsidRPr="00531B18">
        <w:t>C.</w:t>
      </w:r>
      <w:r w:rsidRPr="00531B18">
        <w:tab/>
        <w:t>ker se je EU zavezala, da bo uresničila agendo OZN do leta 2030, vključno s ciljem trajnostnega razvoja št. 14, ter svoje obveznosti iz Kunminško-montrealskega svetovnega okvira za biotsko raznovrstnost;</w:t>
      </w:r>
    </w:p>
    <w:p w:rsidR="0073653A" w:rsidRPr="00531B18" w:rsidRDefault="0073653A" w:rsidP="0073653A">
      <w:pPr>
        <w:pStyle w:val="NormalHanging12a"/>
      </w:pPr>
      <w:r w:rsidRPr="00531B18">
        <w:t>D.</w:t>
      </w:r>
      <w:r w:rsidRPr="00531B18">
        <w:tab/>
        <w:t>ker se vse politike EU, povezane z notranjo in zunanjo razsežnostjo trajnostnega modrega gospodarstva, upravljajo z razdrobljeno strukturo upravljanja, kar povzroča pomanjkanje sinergij in spore med deležniki trajnostnega modrega gospodarstva; ker bi morala Komisija uporabiti ekosistemski pristop v vseh politikah EU, povezanih z modrim gospodarstvom, kot del splošnega pravnega okvira, da bi dosegla posebne cilje politike in zagotovila njihovo upravljanje s celostnim in doslednim pristopom, ki spodbuja sinergije med vsemi dejavnostmi, povezanimi z morjem;</w:t>
      </w:r>
    </w:p>
    <w:p w:rsidR="0073653A" w:rsidRPr="00531B18" w:rsidRDefault="0073653A" w:rsidP="0073653A">
      <w:pPr>
        <w:pStyle w:val="NormalHanging12a"/>
      </w:pPr>
      <w:r w:rsidRPr="00531B18">
        <w:t>E.</w:t>
      </w:r>
      <w:r w:rsidRPr="00531B18">
        <w:tab/>
        <w:t>ker so države članice na seji Sveta za kmetijstvo in ribištvo 20. marca 2023 izrazile različna stališča glede akcijskega načrta, vključno s kritikami; ker so ta pregled opravili nacionalni parlamenti v osmih državah članicah;</w:t>
      </w:r>
    </w:p>
    <w:p w:rsidR="0073653A" w:rsidRPr="00531B18" w:rsidRDefault="0073653A" w:rsidP="0073653A">
      <w:pPr>
        <w:pStyle w:val="NormalHanging12a"/>
      </w:pPr>
      <w:r w:rsidRPr="00531B18">
        <w:t>F.</w:t>
      </w:r>
      <w:r w:rsidRPr="00531B18">
        <w:tab/>
        <w:t>ker mora biti akcijski načrt skladen s cilji skupne ribiške politike, ki si prizadeva za ustrezno ohranjanje in upravljanje morskih bioloških virov in da so ribolovne dejavnosti in dejavnosti akvakulture, ki so se v času nedavnih kriz izkazale za strateške, dolgoročno okoljsko trajnostne in se upravljajo na način, skladen s cilji doseganja gospodarskih in socialnih koristi ter koristi zaposlovanja in prispevanja k zanesljivi preskrbi s hrano;</w:t>
      </w:r>
    </w:p>
    <w:p w:rsidR="0073653A" w:rsidRPr="00531B18" w:rsidRDefault="0073653A" w:rsidP="0073653A">
      <w:pPr>
        <w:pStyle w:val="NormalHanging12a"/>
      </w:pPr>
      <w:r w:rsidRPr="00531B18">
        <w:t>G.</w:t>
      </w:r>
      <w:r w:rsidRPr="00531B18">
        <w:tab/>
        <w:t>ker so Kraljevina Španija 14. novembra 2022 ter galicijski ribiči in organizacije proizvajalcev 13. decembra 2022 na Sodišču Evropske unije začeli sodne postopke v zvezi z Izvedbeno uredbo Komisije (EU) 2022/1614, ki določa 87 območij v vodah EU severovzhodnega Atlantika, kjer je prepovedano vse orodje za pridneni ribolov, kar predstavlja skupno površino 16 419 km² in 17 % območja, globokega od 400 do 800 metrov, kjer orodje za pridneni ribolov ni dovoljeno; ker je bila ta izvedbena uredba sprejeta brez predhodne ocene socialno-ekonomskega učinka, kljub temu da bo imelo njeno izvajanje velik učinek na zadevne ribiške flote;</w:t>
      </w:r>
    </w:p>
    <w:p w:rsidR="0073653A" w:rsidRPr="00531B18" w:rsidRDefault="0073653A" w:rsidP="0073653A">
      <w:pPr>
        <w:pStyle w:val="Normal12a24b"/>
        <w:ind w:left="567" w:hanging="567"/>
      </w:pPr>
      <w:r w:rsidRPr="00531B18">
        <w:t>H.</w:t>
      </w:r>
      <w:r w:rsidRPr="00531B18">
        <w:tab/>
        <w:t xml:space="preserve">ker je treba morsko biotsko raznovrstnost zaščititi in obnoviti v sodelovanju z vsemi </w:t>
      </w:r>
      <w:r w:rsidRPr="00531B18">
        <w:lastRenderedPageBreak/>
        <w:t>deležniki, zlasti z ribiškim sektorjem in znanstveno skupnostjo;</w:t>
      </w:r>
    </w:p>
    <w:p w:rsidR="0073653A" w:rsidRPr="00531B18" w:rsidRDefault="0073653A" w:rsidP="0073653A">
      <w:pPr>
        <w:pStyle w:val="Normal12a24b"/>
        <w:ind w:left="567" w:hanging="567"/>
      </w:pPr>
      <w:r w:rsidRPr="00531B18">
        <w:t>I.</w:t>
      </w:r>
      <w:r w:rsidRPr="00531B18">
        <w:tab/>
        <w:t>ker je bilo po podatkih Komisije leta 2009 v EU le pet trajnostno lovljenih ribjih staležev, do leta 2022 se je to število povečalo na več kot 60, razmere pa se še naprej izboljšujejo</w:t>
      </w:r>
      <w:r w:rsidRPr="00531B18">
        <w:rPr>
          <w:rStyle w:val="FootnoteReference"/>
        </w:rPr>
        <w:footnoteReference w:id="17"/>
      </w:r>
      <w:r w:rsidRPr="00531B18">
        <w:t xml:space="preserve">; ker je kljub velikemu napredku v letu 2022 pri doseganju ciljev skupne ribiške politike potreben večji napredek v morskih ekosistemih EU, zlasti v Sredozemskem in Črnem morju; </w:t>
      </w:r>
    </w:p>
    <w:p w:rsidR="0073653A" w:rsidRPr="00531B18" w:rsidRDefault="0073653A" w:rsidP="0073653A">
      <w:pPr>
        <w:pStyle w:val="Normal12a24b"/>
        <w:ind w:left="567" w:hanging="567"/>
      </w:pPr>
      <w:r w:rsidRPr="00531B18">
        <w:t>J.</w:t>
      </w:r>
      <w:r w:rsidRPr="00531B18">
        <w:tab/>
        <w:t>ker bo prihodnost prehranske varnosti odvisna tudi od naše zmogljivosti za boj proti siromašenju narave in vse večjim vplivom podnebnih sprememb;</w:t>
      </w:r>
    </w:p>
    <w:p w:rsidR="0073653A" w:rsidRPr="00531B18" w:rsidRDefault="0073653A" w:rsidP="0073653A">
      <w:pPr>
        <w:pStyle w:val="Normal12a24b"/>
        <w:ind w:left="567" w:hanging="567"/>
      </w:pPr>
      <w:r w:rsidRPr="00531B18">
        <w:t>K.</w:t>
      </w:r>
      <w:r w:rsidRPr="00531B18">
        <w:tab/>
        <w:t>ker je za upravljanje ekosistemov potreben celosten pristop, ki upošteva vse vzroke za izgubo biotske raznovrstnosti, kot so prelov, podnebne spremembe, zakisljevanje oceanov, pojav tujih vrst, obalna erozija ali izguba morske biotske raznovrstnosti, tudi z ukrepi, ki bodo omogočali, da bodo ustrezno upravljana zavarovana morska območja, drugi učinkoviti ohranitveni ukrepi in dejavnosti, vezani na posamezno območje, kot je gojenje lupinarjev, koristili ribištvu in ekosistemom;</w:t>
      </w:r>
    </w:p>
    <w:p w:rsidR="0073653A" w:rsidRPr="00531B18" w:rsidRDefault="0073653A" w:rsidP="0073653A">
      <w:pPr>
        <w:pStyle w:val="Normal12a24b"/>
      </w:pPr>
      <w:r w:rsidRPr="00531B18">
        <w:rPr>
          <w:rStyle w:val="BoldItalic"/>
        </w:rPr>
        <w:t>Varstvo okolja in trajnostnost</w:t>
      </w:r>
    </w:p>
    <w:p w:rsidR="0073653A" w:rsidRDefault="0073653A" w:rsidP="0073653A">
      <w:pPr>
        <w:pStyle w:val="NormalHanging12a"/>
      </w:pPr>
      <w:r w:rsidRPr="00531B18">
        <w:t>1.</w:t>
      </w:r>
      <w:r w:rsidRPr="00531B18">
        <w:tab/>
        <w:t>pozdravlja prizadevanja ribiškega sektorja EU in napredek, dosežen pri še bolj trajnostnem ribištvu ter prispevanju k varstvu in trajnostni rabi morskih ekosistemov; meni, da na oceane kljub tem prizadevanjem in napredku vpliva več drugih dejavnikov, kot so prelov, podnebne spremembe, zakisljevanje, invazivne tujerodne vrste in različni viri onesnaževanja, predvsem od kopenskih dejavnosti in prometa, ki so v določeni meri izven nadzora ribičev in predstavljajo veliko grožnjo za preživetje ribičev in morske ekosisteme;</w:t>
      </w:r>
    </w:p>
    <w:p w:rsidR="00531B18" w:rsidRPr="00531B18" w:rsidRDefault="00531B18" w:rsidP="00531B18">
      <w:pPr>
        <w:pStyle w:val="NormalHanging12a"/>
      </w:pPr>
      <w:r>
        <w:t>2</w:t>
      </w:r>
      <w:r w:rsidRPr="00531B18">
        <w:t>.</w:t>
      </w:r>
      <w:r w:rsidRPr="00531B18">
        <w:tab/>
        <w:t>poudarja vrednost oceanov in vseh vrst, ki so od njih odvisne; poudarja, da so zdravi morski ekosistemi bistveni za življenje na Zemlji in imajo ključno vlogo pri blaginji planeta; priznava, da je treba izboljšati varstvo oceanov na svetovni ravni in ravni EU;</w:t>
      </w:r>
    </w:p>
    <w:p w:rsidR="0073653A" w:rsidRPr="00531B18" w:rsidRDefault="00396CEA" w:rsidP="0073653A">
      <w:pPr>
        <w:pStyle w:val="NormalHanging12a"/>
      </w:pPr>
      <w:r>
        <w:t>3</w:t>
      </w:r>
      <w:r w:rsidR="0073653A" w:rsidRPr="00531B18">
        <w:t>.</w:t>
      </w:r>
      <w:r w:rsidR="0073653A" w:rsidRPr="00531B18">
        <w:tab/>
        <w:t>kot vsi deležniki, vključeni v ribištvo in okoljsko politiko, je prepričan, da zdravi morski ekosistemi koristijo našemu zdravju, družbi in gospodarstvu ter so bistvenega pomena za ves planet, predvsem pa za prebivalstvo, ki je odvisno od njih;</w:t>
      </w:r>
    </w:p>
    <w:p w:rsidR="0073653A" w:rsidRPr="00531B18" w:rsidRDefault="00396CEA" w:rsidP="0073653A">
      <w:pPr>
        <w:pStyle w:val="NormalHanging12a"/>
      </w:pPr>
      <w:r>
        <w:t>4</w:t>
      </w:r>
      <w:r w:rsidR="0073653A" w:rsidRPr="00531B18">
        <w:t>.</w:t>
      </w:r>
      <w:r w:rsidR="0073653A" w:rsidRPr="00531B18">
        <w:tab/>
        <w:t>spominja na izjemno pomembnost oceana kot stebra podnebnega in prehranskega sistema, saj pokriva 71 % zemeljskega površja, iz njega prihaja kar polovica vsega kisika in v njem se absorbira tretjina emisij ogljikovega dioksida; poudarja, da je treba razviti politiko in pristope financiranja za ohranjanje in trajnostno rabo oceanov; poziva, da se ohranijo načini preživljanja, odvisni od oceanov, in biotska raznovrstnost oceanov po vsem svetu; poudarja odločilno vlogo oceanov, zlasti pri sekvestraciji ogljika, razvoju obnovljivih virov energije, ustvarjanju delovnih mest, zmanjševanju revščine, prevozu blaga in internetnih komunikacijah; opozarja na soodvisnost ribištva in zanesljive preskrbe s hrano, saj je 3,3 milijarde ljudi odvisnih od hrane iz morja, s katero pridobijo vsaj 20 % svojega vnosa živalskih beljakovin;</w:t>
      </w:r>
    </w:p>
    <w:p w:rsidR="0073653A" w:rsidRPr="00531B18" w:rsidRDefault="00396CEA" w:rsidP="0073653A">
      <w:pPr>
        <w:pStyle w:val="NormalHanging12a"/>
      </w:pPr>
      <w:r>
        <w:lastRenderedPageBreak/>
        <w:t>5</w:t>
      </w:r>
      <w:r w:rsidR="0073653A" w:rsidRPr="00531B18">
        <w:t>.</w:t>
      </w:r>
      <w:r w:rsidR="0073653A" w:rsidRPr="00531B18">
        <w:tab/>
        <w:t>ugotavlja, da obalne skupnosti že več generacij pridobivajo hrano iz evropskih morij; meni, da ribiški in akvakulturni sektor ter obalne skupnosti prispevajo k trajnostni prehranski varnosti na področju modrega gospodarstva; meni, da bi bilo treba trajnostno rabo in upravljanje morskih virov obravnavati kot prispevek k morskim ekosistemom, ne pa kot njihovo okrnitev;</w:t>
      </w:r>
    </w:p>
    <w:p w:rsidR="0073653A" w:rsidRPr="00531B18" w:rsidRDefault="0073653A" w:rsidP="0073653A">
      <w:pPr>
        <w:pStyle w:val="Normal12a24b"/>
      </w:pPr>
      <w:r w:rsidRPr="00531B18">
        <w:rPr>
          <w:rStyle w:val="BoldItalic"/>
        </w:rPr>
        <w:t>Pristop, skladen z obstoječimi predpisi</w:t>
      </w:r>
    </w:p>
    <w:p w:rsidR="0073653A" w:rsidRPr="00531B18" w:rsidRDefault="00396CEA" w:rsidP="0073653A">
      <w:pPr>
        <w:pStyle w:val="NormalHanging12a"/>
      </w:pPr>
      <w:r>
        <w:t>6</w:t>
      </w:r>
      <w:r w:rsidR="0073653A" w:rsidRPr="00531B18">
        <w:t>.</w:t>
      </w:r>
      <w:r w:rsidR="0073653A" w:rsidRPr="00531B18">
        <w:tab/>
        <w:t>meni, da v akcijskem načrtu Komisije ni pristopa, skladnega z drugimi prednostnimi nalogami in strategijami, kot sta zagotavljanje prehranske varnosti in strateška avtonomija EU; poleg tega poudarja, da bi bilo treba akcijski načrt upravljati v skladu s celostnim, doslednim in ekosistemskim pristopom, ki spodbuja sinergije med vsemi pomorskimi dejavnostmi, da bi se izognili konfliktom in okrepili sodelovanje, zlasti v zvezi z morsko energetsko infrastrukturo, ter da bi moral zagotoviti enake konkurenčne pogoje v primerjavi z državami nečlanicami EU; meni, da v akcijskem načrtu niso bili v zadostni meri upoštevani vidiki, kot so naraščajoče cene, krepitev socialne razsežnosti skupne ribiške politike ter povečanje gospodarske rasti in zaposlovanja;</w:t>
      </w:r>
    </w:p>
    <w:p w:rsidR="0073653A" w:rsidRPr="00531B18" w:rsidRDefault="00396CEA" w:rsidP="0073653A">
      <w:pPr>
        <w:pStyle w:val="NormalHanging12a"/>
      </w:pPr>
      <w:r>
        <w:t>7</w:t>
      </w:r>
      <w:r w:rsidR="0073653A" w:rsidRPr="00531B18">
        <w:t>.</w:t>
      </w:r>
      <w:r w:rsidR="0073653A" w:rsidRPr="00531B18">
        <w:tab/>
        <w:t>obžaluje, da je predlagani akcijski načrt nastal v času, ko je ribiški sektor obremenjen zaradi posledic ruske invazije v Ukrajini, zvišanja in nepredvidljivosti cen nafte ter brexita;</w:t>
      </w:r>
    </w:p>
    <w:p w:rsidR="0073653A" w:rsidRPr="00531B18" w:rsidRDefault="00396CEA" w:rsidP="0073653A">
      <w:pPr>
        <w:pStyle w:val="NormalHanging12a"/>
      </w:pPr>
      <w:r>
        <w:t>8</w:t>
      </w:r>
      <w:r w:rsidR="0073653A" w:rsidRPr="00531B18">
        <w:t>.</w:t>
      </w:r>
      <w:r w:rsidR="0073653A" w:rsidRPr="00531B18">
        <w:tab/>
        <w:t xml:space="preserve">poudarja splošno zaskrbljenost, ker pravno posvetovanje z deležniki ni zadostno za zagotovitev podpore akcijskemu načrtu; je na splošno zaskrbljen, ker vidiki sorazmernosti v predlogih Komisije niso ustrezno upoštevani; </w:t>
      </w:r>
    </w:p>
    <w:p w:rsidR="0073653A" w:rsidRPr="00531B18" w:rsidRDefault="00396CEA" w:rsidP="0073653A">
      <w:pPr>
        <w:pStyle w:val="NormalHanging12a"/>
      </w:pPr>
      <w:r>
        <w:t>9</w:t>
      </w:r>
      <w:r w:rsidR="0073653A" w:rsidRPr="00531B18">
        <w:t>.</w:t>
      </w:r>
      <w:r w:rsidR="0073653A" w:rsidRPr="00531B18">
        <w:tab/>
        <w:t>opozarja, da bi moral biti akcijski načrt skladen s cilji skupne ribiške politike, da se zagotovi dolgoročna okoljska trajnostnost ribolovnih dejavnosti in dejavnosti akvakulture, ki se bodo upravljale v skladu z ekosistemskim pristopom; opozarja, da bi moral biti akcijski načrt skladen tudi s cilji zagotavljanja gospodarskih in socialnih koristi ter koristi zaposlovanja, prispevati k zanesljivi preskrbi s hrano in čim bolje izkoristiti razpoložljive ribolovne možnosti za zmanjšanje odvisnosti od trgov zunaj EU; pozdravlja vse cilje, ki omogočajo dosleden pristop med skupno ribiško politiko in drugimi politikami, zlasti okoljsko zakonodajo;</w:t>
      </w:r>
    </w:p>
    <w:p w:rsidR="0073653A" w:rsidRPr="00531B18" w:rsidRDefault="00396CEA" w:rsidP="0073653A">
      <w:pPr>
        <w:pStyle w:val="NormalHanging12a"/>
      </w:pPr>
      <w:r>
        <w:t>10</w:t>
      </w:r>
      <w:r w:rsidR="0073653A" w:rsidRPr="00531B18">
        <w:t>.</w:t>
      </w:r>
      <w:r w:rsidR="0073653A" w:rsidRPr="00531B18">
        <w:tab/>
        <w:t>podpira potrebo po okrepitvi in izboljšanju znanstvenih raziskav in inovacijskih projektov, ki bi jih bilo treba izvajati na način, skladen z drugimi politikami EU, pilotnimi projekti in znanstvenimi projekti, ki se ukvarjajo z inovacijami in raziskavami, kot so na primer tisti, katerih namen je zmanjšati in nadomestiti uporabo (mikro)plastike;</w:t>
      </w:r>
    </w:p>
    <w:p w:rsidR="0073653A" w:rsidRPr="00531B18" w:rsidRDefault="0073653A" w:rsidP="0073653A">
      <w:pPr>
        <w:pStyle w:val="Normal12a24b"/>
        <w:rPr>
          <w:b/>
          <w:i/>
        </w:rPr>
      </w:pPr>
      <w:r w:rsidRPr="00531B18">
        <w:rPr>
          <w:b/>
          <w:i/>
        </w:rPr>
        <w:t>Obnova morskih ekosistemov</w:t>
      </w:r>
    </w:p>
    <w:p w:rsidR="0073653A" w:rsidRDefault="00396CEA" w:rsidP="0073653A">
      <w:pPr>
        <w:pStyle w:val="NormalHanging12a"/>
      </w:pPr>
      <w:r>
        <w:t>11</w:t>
      </w:r>
      <w:r w:rsidR="0073653A" w:rsidRPr="00531B18">
        <w:t>.</w:t>
      </w:r>
      <w:r w:rsidR="0073653A" w:rsidRPr="00531B18">
        <w:tab/>
        <w:t>obžaluje nedoslednost naslova akcijskega načrta in to, da načrt ne vsebuje celovitega sklopa predlogov, saj se večinoma osredotoča na spreminjanje ribolovnih praks, ki vplivajo na vrste in habitate, ne obravnava pa možnosti za uskladitev ribolovnih tehnik in praks z varstvom ali obnovo ekosistemov; želi opomniti, da je za zagotavljanje predvidljivosti in pravne jasnosti posebej pomembno najti ravnovesje med zahtevami za uporabnike in koristmi za naravo, ter poudarja, da morajo biti ribiči del rešitve, namesto da so predstavljeni kot vzrok težave;</w:t>
      </w:r>
    </w:p>
    <w:p w:rsidR="00531B18" w:rsidRDefault="00396CEA" w:rsidP="0073653A">
      <w:pPr>
        <w:pStyle w:val="NormalHanging12a"/>
      </w:pPr>
      <w:r>
        <w:lastRenderedPageBreak/>
        <w:t>12</w:t>
      </w:r>
      <w:r w:rsidR="00531B18" w:rsidRPr="00531B18">
        <w:t>.</w:t>
      </w:r>
      <w:r w:rsidR="00531B18" w:rsidRPr="00531B18">
        <w:tab/>
        <w:t>pozdravlja dejstvo, da akcijski načrt obravnava tudi možnost uvedbe dodatnih ukrepov za večjo selektivnost, vključno z inovacijami za izboljšanje selektivnosti ribolovnega orodja in naprav ter ukrepi za zmanjšanje ulova mladih rib in prilova občutljivih vrst; opozarja, da je treba naključni ulov občutljivih morskih vrst zmanjšati in po možnosti odpraviti, da ne bi ogrozili stanja ohranjenosti teh vrst, kot zahteva Uredba (EU) 2019/1241 Evropskega parlamenta in Sveta z dne 20. junija 2019 o ohranjanju ribolovnih virov in varstvu morskih ekosistemov s tehničnimi ukrepi;</w:t>
      </w:r>
    </w:p>
    <w:p w:rsidR="00531B18" w:rsidRPr="00531B18" w:rsidRDefault="00396CEA" w:rsidP="00531B18">
      <w:pPr>
        <w:pStyle w:val="NormalHanging12a"/>
      </w:pPr>
      <w:r>
        <w:t>13</w:t>
      </w:r>
      <w:r w:rsidR="00531B18" w:rsidRPr="00531B18">
        <w:t>.</w:t>
      </w:r>
      <w:r w:rsidR="00531B18" w:rsidRPr="00531B18">
        <w:tab/>
        <w:t>pozdravlja pozive Komisije k zmanjšanju prilova občutljivih vrst; zlasti poudarja, da je treba nujno ukrepati, da bi zmanjšali prilov navadnih delfinov in pliskavk, in sicer z uvedbo kratkoročnega zaprtja nekaterih ribolovnih območij v kombinaciji z akustičnimi odvračalnimi napravami in izboljšanimi sistemi spremljanja v skladu z mnenjem znanstvenikov; opozarja, da so v okviru Evropskega sklada za pomorstvo, ribištvo in akvakulturo (ESPRA) na voljo finančna nadomestila in spodbude za ublažitev socialno-ekonomskih učinkov teh ukrepov;</w:t>
      </w:r>
    </w:p>
    <w:p w:rsidR="0073653A" w:rsidRDefault="00396CEA" w:rsidP="0073653A">
      <w:pPr>
        <w:pStyle w:val="NormalHanging12a"/>
      </w:pPr>
      <w:r>
        <w:t>14</w:t>
      </w:r>
      <w:r w:rsidR="0073653A" w:rsidRPr="00531B18">
        <w:t>.</w:t>
      </w:r>
      <w:r w:rsidR="0073653A" w:rsidRPr="00531B18">
        <w:tab/>
        <w:t>poudarja, da je treba razviti in podpreti pobude za obnovo morskih ekosistemov, ki jih je mogoče uresničiti le, če se bodo oblikovalci politik v celoti vključili in sodelovali s tistimi, katerih preživetje je odvisno od teh morskih območij; v ta namen prosi za finančno podporo za znanstvene študije in zbiranje podatkov o morskih ekosistemih, finančno nadomestilo in spodbude, na primer prek Evropskega sklada za pomorstvo, ribištvo in akvakulturo (ESPRA), ki bi jih bilo treba uporabiti za zagotavljanje učinkovite podpore ribiškim flotam EU, ki prehajajo na bolj selektivne ribolovne tehnike, in zlasti za podporo ribičem, ki so jih omejitve najbolj prizadele, pa tudi za ublažitev socialno-ekonomskih učinkov omejevalnih ukrepov;</w:t>
      </w:r>
    </w:p>
    <w:p w:rsidR="00531B18" w:rsidRPr="00531B18" w:rsidRDefault="00396CEA" w:rsidP="0073653A">
      <w:pPr>
        <w:pStyle w:val="NormalHanging12a"/>
      </w:pPr>
      <w:r>
        <w:t>15</w:t>
      </w:r>
      <w:r w:rsidR="00531B18" w:rsidRPr="00531B18">
        <w:t>.</w:t>
      </w:r>
      <w:r w:rsidR="00531B18" w:rsidRPr="00531B18">
        <w:tab/>
        <w:t>poudarja na primer, da znanstvene študije kažejo, da bi povečanje velikosti mrežnega očesa in najmanjše velikosti ob iztovarjanju omogočilo, da v vodi ostanejo najmlajše ribe, s čimer bi se povečale možnosti za razmnoževanje ribjih populacij, kar bi privedlo do večjega donosa za ribiče in večjega iztovarjanja na enoto napora;</w:t>
      </w:r>
    </w:p>
    <w:p w:rsidR="0073653A" w:rsidRPr="00531B18" w:rsidRDefault="00396CEA" w:rsidP="0073653A">
      <w:pPr>
        <w:pStyle w:val="NormalHanging12a"/>
      </w:pPr>
      <w:r>
        <w:t>16</w:t>
      </w:r>
      <w:r w:rsidR="0073653A" w:rsidRPr="00531B18">
        <w:t>.</w:t>
      </w:r>
      <w:r w:rsidR="0073653A" w:rsidRPr="00531B18">
        <w:tab/>
        <w:t>ponovno poudarja cilja, da se do leta 2030 zaščiti vsaj 30 % morij EU in strogo zaščiti vsaj 10 % morij EU; ugotavlja, da je EU dosegla napredek pri določanju novih morskih zavarovanih območij v okviru omrežja EU Natura 2000 in z dopolnilnimi nacionalnimi določitvami zavarovanih območij;</w:t>
      </w:r>
    </w:p>
    <w:p w:rsidR="0073653A" w:rsidRPr="00531B18" w:rsidRDefault="0073653A" w:rsidP="0073653A">
      <w:pPr>
        <w:pStyle w:val="NormalHanging12a"/>
      </w:pPr>
      <w:r w:rsidRPr="00531B18">
        <w:rPr>
          <w:rStyle w:val="BoldItalic"/>
        </w:rPr>
        <w:t>Morska zavarovana območja</w:t>
      </w:r>
    </w:p>
    <w:p w:rsidR="0073653A" w:rsidRDefault="00396CEA" w:rsidP="0073653A">
      <w:pPr>
        <w:pStyle w:val="NormalHanging12a"/>
      </w:pPr>
      <w:r>
        <w:t>17</w:t>
      </w:r>
      <w:r w:rsidR="0073653A" w:rsidRPr="00531B18">
        <w:t>.</w:t>
      </w:r>
      <w:r w:rsidR="0073653A" w:rsidRPr="00531B18">
        <w:tab/>
        <w:t>poudarja, da se morska zavarovana območja razlikujejo po velikosti, vrstah, habitatih in ekosistemih, ki jih je treba zaščititi, so vzpostavljena z različnimi cilji ohranjanja in se ne bi smela obravnavati kot enotna območja, ki vsa prinašajo koristi dobro upravljanih morskih zavarovanih območij za morske ekosisteme; zato meni, da akcijski načrt Komisije predstavlja preveč poenostavljen in pretirano posplošen pristop, kar torej daje vtis, da je vsa morska zavarovana območja mogoče izvajati in upravljati na enak način, kot na primer ponazarjajo predlogi v zvezi z nekaterimi ribolovnimi orodji in postopnim opuščanjem pridnenega ribolova z mobilnim orodjem na vseh morskih zavarovanih območjih do leta 2030; poziva k uravnoteženemu pristopu k opredelitvi in izvajanju morskih zavarovanih območij, pri katerem se upoštevajo cilji ohranjanja posameznih območij, pa tudi dejavnosti, ki se na teh območjih tradicionalno izvajajo, ter dinamično in spreminjajoče se okolja, ki je posledica podnebnih sprememb, ob hkratnem zagotavljanju učinkovitega sodelovanja ribičev pri njihovem določanju in upravljanju;</w:t>
      </w:r>
    </w:p>
    <w:p w:rsidR="00531B18" w:rsidRPr="00531B18" w:rsidRDefault="00396CEA" w:rsidP="0073653A">
      <w:pPr>
        <w:pStyle w:val="NormalHanging12a"/>
      </w:pPr>
      <w:r>
        <w:lastRenderedPageBreak/>
        <w:t>18</w:t>
      </w:r>
      <w:r w:rsidR="00531B18" w:rsidRPr="00531B18">
        <w:t>.</w:t>
      </w:r>
      <w:r w:rsidR="00531B18" w:rsidRPr="00531B18">
        <w:tab/>
        <w:t>je seznanjen, da obstaja močno znanstveno soglasje, da lahko morska zavarovana območja zaradi učinka prelivanja in pozitivnih učinkov na zaposlovanje koristijo ribolovu, na primer z zaščito območij razmnoževanja, mladih rib in velikih ribjih samic z visoko zmogljivostjo razmnoževanja, kot se je izkazalo v različnih morskih zavarovanih območjih v EU; poudarja, da morska zavarovana območja, če so uspešna, omogočajo velike socialno-ekonomske koristi, zlasti za obalne skupnosti ter sektor ribištva in turizma, ter lahko opravljajo ključne ekološke funkcije za razmnoževanje ribjih populacij, denimo z zagotavljanjem drstitvenih območij in območij odraščanja in povečajo njihovo odpornost;</w:t>
      </w:r>
    </w:p>
    <w:p w:rsidR="0073653A" w:rsidRPr="00531B18" w:rsidRDefault="00396CEA" w:rsidP="0073653A">
      <w:pPr>
        <w:pStyle w:val="NormalHanging12a"/>
      </w:pPr>
      <w:r>
        <w:t>19</w:t>
      </w:r>
      <w:r w:rsidR="0073653A" w:rsidRPr="00531B18">
        <w:t>.</w:t>
      </w:r>
      <w:r w:rsidR="0073653A" w:rsidRPr="00531B18">
        <w:tab/>
        <w:t xml:space="preserve">poziva Komisijo in države članice, naj v akcijskem načrtu upoštevajo druge učinkovite okoljevarstvene instrumente, kot so drugi učinkoviti ohranitveni ukrepi za posamezno območje, da bi pripomogli k doseganju ciljev in čim večjim učinkom ukrepov, že izvedenih v dinamičnem in spreminjajočem se okolju, ki je posledica podnebnih sprememb, ter k ohranjanju sorazmernosti med vsemi ukrepi; </w:t>
      </w:r>
    </w:p>
    <w:p w:rsidR="0073653A" w:rsidRPr="00531B18" w:rsidRDefault="00396CEA" w:rsidP="0073653A">
      <w:pPr>
        <w:pStyle w:val="NormalHanging12a"/>
      </w:pPr>
      <w:r>
        <w:t>20</w:t>
      </w:r>
      <w:r w:rsidR="0073653A" w:rsidRPr="00531B18">
        <w:t>.</w:t>
      </w:r>
      <w:r w:rsidR="0073653A" w:rsidRPr="00531B18">
        <w:tab/>
        <w:t>poziva Komisijo in države članice, naj začnejo izvajati varstvene ali omejevalne ukrepe, ki so potrebni za doseganje ciljev ohranjanja in obnove, specifičnih za vsako od teh morskih zavarovanih območij, tudi tehnične ukrepe, potrebne za doseganje ciljev, in poskrbijo za zadostno financiranje, začenši z najbolj ogroženimi območji in območji Natura 2000, katerih namen je zaščititi morske habitate; opozarja na pravne obveznosti držav članic in poudarja, da je Komisija sprožila postopke proti nekaterim od njih, ker domnevno ne izpolnjujejo svojih obveznosti iz direktive o habitatih</w:t>
      </w:r>
      <w:r w:rsidR="0073653A" w:rsidRPr="00531B18">
        <w:rPr>
          <w:rStyle w:val="FootnoteReference"/>
        </w:rPr>
        <w:footnoteReference w:id="18"/>
      </w:r>
      <w:r w:rsidR="0073653A" w:rsidRPr="00531B18">
        <w:t>;</w:t>
      </w:r>
    </w:p>
    <w:p w:rsidR="0073653A" w:rsidRPr="00531B18" w:rsidRDefault="00396CEA" w:rsidP="0073653A">
      <w:pPr>
        <w:pStyle w:val="Normal6"/>
        <w:ind w:left="567" w:hanging="567"/>
      </w:pPr>
      <w:r>
        <w:t>21</w:t>
      </w:r>
      <w:r w:rsidR="0073653A" w:rsidRPr="00531B18">
        <w:t>.</w:t>
      </w:r>
      <w:r w:rsidR="0073653A" w:rsidRPr="00531B18">
        <w:tab/>
        <w:t>meni, da so morska zavarovana območja in druga zavarovana območja orodja in ne sama po sebi cilji; se zaveda, da se njihov uspeh skriva v tem, da jih ribiči, obalne skupnosti in drugi deležniki sprejmejo in upoštevajo; poziva Komisijo in države članice, naj začnejo in financirajo znanstvenoraziskovalne programe, ter poziva, naj v snovanje, upravljanje, izvajanje, spremljanje in nadzor morskih zavarovanih območij vključijo ribiški sektor, tudi obrtniško ribištvo, in druge ustrezne deležnike;</w:t>
      </w:r>
    </w:p>
    <w:p w:rsidR="0073653A" w:rsidRDefault="00396CEA" w:rsidP="0073653A">
      <w:pPr>
        <w:pStyle w:val="NormalHanging12a"/>
      </w:pPr>
      <w:r>
        <w:t>22</w:t>
      </w:r>
      <w:r w:rsidR="0073653A" w:rsidRPr="00531B18">
        <w:t>.</w:t>
      </w:r>
      <w:r w:rsidR="0073653A" w:rsidRPr="00531B18">
        <w:tab/>
        <w:t>meni, da si za udejstvovanje znanosti, ribiškega sektorja in vseh ustreznih deležnikov ne more prizadevati zgolj EU, zlasti v zvezi s preprečevanjem slabe prakse tujih flot; poziva k nadaljnjim prizadevanjem za obravnavo globalnih dejavnosti, ki škodujejo varstvu oceanov, tudi s strani flot držav nečlanic EU, kot je kitajska flota, in k razmisleku o vzpostavitvi svetovne mreže morskih zavarovanih območij;</w:t>
      </w:r>
    </w:p>
    <w:p w:rsidR="00531B18" w:rsidRPr="00531B18" w:rsidRDefault="00396CEA" w:rsidP="00531B18">
      <w:pPr>
        <w:pStyle w:val="NormalHanging12a"/>
      </w:pPr>
      <w:r>
        <w:t>23</w:t>
      </w:r>
      <w:r w:rsidR="00531B18" w:rsidRPr="00531B18">
        <w:t>.</w:t>
      </w:r>
      <w:r w:rsidR="00531B18" w:rsidRPr="00531B18">
        <w:tab/>
        <w:t>izraža globoko zaskrbljenost zaradi vpliva črpanja nafte in plina na morsko okolje ter ribištvo in akvakulturo; ponovno poziva k prepovedi vseh okolju škodljivih ekstraktivnih industrijskih dejavnosti, kot sta rudarjenje in pridobivanje fosilnih goriv, na morskih zavarovanih območjih;</w:t>
      </w:r>
    </w:p>
    <w:p w:rsidR="0073653A" w:rsidRPr="00531B18" w:rsidRDefault="0073653A" w:rsidP="0073653A">
      <w:pPr>
        <w:pStyle w:val="NormalHanging12a"/>
        <w:rPr>
          <w:rStyle w:val="BoldItalic"/>
          <w:b w:val="0"/>
        </w:rPr>
      </w:pPr>
      <w:r w:rsidRPr="00531B18">
        <w:rPr>
          <w:b/>
          <w:i/>
        </w:rPr>
        <w:t>Pridnena ribolovna orodja</w:t>
      </w:r>
      <w:r w:rsidRPr="00531B18">
        <w:rPr>
          <w:rStyle w:val="BoldItalic"/>
        </w:rPr>
        <w:t xml:space="preserve"> </w:t>
      </w:r>
    </w:p>
    <w:p w:rsidR="0073653A" w:rsidRPr="00531B18" w:rsidRDefault="00396CEA" w:rsidP="0073653A">
      <w:pPr>
        <w:pStyle w:val="NormalHanging12a"/>
      </w:pPr>
      <w:r>
        <w:t>24</w:t>
      </w:r>
      <w:r w:rsidR="0073653A" w:rsidRPr="00531B18">
        <w:t>.</w:t>
      </w:r>
      <w:r w:rsidR="0073653A" w:rsidRPr="00531B18">
        <w:tab/>
        <w:t xml:space="preserve">poudarja, da številna plovila Unije uporabljajo mobilna pridnena ribolovna orodja in da so številne obalne regije socialno in ekonomsko odvisne od dejavnosti, ki uporabljajo mobilna in fiksna pridnena ribolovna orodja, kot je na primer gojenje lupinarjev; poudarja, da pri omejevanju ali zaprtju ribolovnih območij za pridnena ribolovna orodja ne gre zgolj za vprašanje preusmeritve dejavnosti ribiških plovil na druga ribolovna območja; želi poudariti, da je treba med drugim upoštevati morebitne razpoložljive vire, </w:t>
      </w:r>
      <w:r w:rsidR="0073653A" w:rsidRPr="00531B18">
        <w:lastRenderedPageBreak/>
        <w:t>ki jih je mogoče uloviti s tem orodjem, praktične izkušnje ribičev, prisotnost in prerazporeditev ribiških plovil na sosednja območja, da bi se izognili prekrivanju, ki bi lahko povzročilo konflikte glede uporabe prostora, okrepljen pritisk na drugih ribolovnih območjih in poslabšanje delovnih pogojev;</w:t>
      </w:r>
    </w:p>
    <w:p w:rsidR="0073653A" w:rsidRPr="00531B18" w:rsidRDefault="00396CEA" w:rsidP="0073653A">
      <w:pPr>
        <w:pStyle w:val="NormalHanging12a"/>
      </w:pPr>
      <w:r>
        <w:t>25</w:t>
      </w:r>
      <w:r w:rsidR="0073653A" w:rsidRPr="00531B18">
        <w:t>.</w:t>
      </w:r>
      <w:r w:rsidR="0073653A" w:rsidRPr="00531B18">
        <w:tab/>
        <w:t>želi opomniti, da je bil napredek na področju regionalizacije, do katerega je prišlo med zadnjo reformo skupne ribiške politike, poskus odmika od univerzalnega pristopa, pri katerem so bile odločitve preveč centralizirane znotraj EU; pozdravlja ukrepe za izboljšanje regionalnega sodelovanja, predlagane v akcijskem načrtu; vendar meni, da je akcijski načrt naredil nekaj korakov nazaj, zlasti v zvezi s predlogi o ribolovu s pridnenimi vlečnimi mrežami;</w:t>
      </w:r>
    </w:p>
    <w:p w:rsidR="0073653A" w:rsidRPr="00531B18" w:rsidRDefault="00396CEA" w:rsidP="0073653A">
      <w:pPr>
        <w:pStyle w:val="NormalHanging12a"/>
      </w:pPr>
      <w:r>
        <w:t>26</w:t>
      </w:r>
      <w:r w:rsidR="0073653A" w:rsidRPr="00531B18">
        <w:t>.</w:t>
      </w:r>
      <w:r w:rsidR="0073653A" w:rsidRPr="00531B18">
        <w:tab/>
        <w:t>meni, da je v okviru akcijskega načrta in zunaj njega nastalo več pobud v zvezi z istimi ribolovnimi tehnikami, ki so ustvarile mozaik pobud in postavile pod vprašaj skladnost in predvidljivost ukrepov, ki bodo sprejeti na ravni EU, ter močno vplivale na zaupanje ribičev in ribiških skupnosti v postopke oblikovanja politik in odločanja (EU);</w:t>
      </w:r>
    </w:p>
    <w:p w:rsidR="0073653A" w:rsidRPr="00531B18" w:rsidRDefault="00396CEA" w:rsidP="0073653A">
      <w:pPr>
        <w:pStyle w:val="NormalHanging12a"/>
      </w:pPr>
      <w:r>
        <w:t>27</w:t>
      </w:r>
      <w:r w:rsidR="0073653A" w:rsidRPr="00531B18">
        <w:t>.</w:t>
      </w:r>
      <w:r w:rsidR="0073653A" w:rsidRPr="00531B18">
        <w:tab/>
        <w:t>meni, da je treba vsak načrt za izvajanje določb ali omejitev uporabe določenega ribolovnega orodja pripraviti v skladu z drugimi politikami in upoštevati vse deležnike, pa tudi vse ustrezne vidike prehranske varnosti ter socialno-ekonomske, okoljske, tehnične in znanstvene vidike; ponovno poudarja, da bodo ukrepi, podprti s soglasjem in utemeljeni s temi premisleki, bolj uspešni in bo to pozitivno vplivalo na njihovo izvajanje;</w:t>
      </w:r>
    </w:p>
    <w:p w:rsidR="0073653A" w:rsidRPr="00531B18" w:rsidRDefault="00396CEA" w:rsidP="0073653A">
      <w:pPr>
        <w:pStyle w:val="NormalHanging12a"/>
      </w:pPr>
      <w:r>
        <w:t>28</w:t>
      </w:r>
      <w:r w:rsidR="0073653A" w:rsidRPr="00531B18">
        <w:t>.</w:t>
      </w:r>
      <w:r w:rsidR="0073653A" w:rsidRPr="00531B18">
        <w:tab/>
        <w:t>meni, da morajo posledice vsakega akcijskega načrta ali zakonodajnega predloga temeljiti na znanstvenih in socialno-ekonomskih ocenah in vrednotenjih; je seznanjen s pomanjkljivim pregledom nad posledicami nekaterih vidikov tega akcijskega načrta, kot so na primer pozivi Komisije državam članicam, naj prepovejo pridneni ribolov z mobilnim orodjem na morskih zavarovanih območjih, ki v skladu z direktivo o habitatih sodijo med območja Natura 2000 ter do konca marca 2024 varujejo morsko dno in morske vrste, po drugi strani pa istočasno in v enakem časovnem obdobju poziva države članice, naj posredujejo informacije o tem, kako nameravajo na vseh morskih zavarovanih območjih do leta 2030 postopno odpraviti pridneni ribolov z mobilnim orodjem, ne da bi na primer počakali na znanstvene in socialno-ekonomske zaključke prejšnjih predlogov; pozdravlja dejstvo, da je Komisija priznala, da splošni pristop, ki prepoveduje pridneni ribolov z mobilnim orodjem, ni primeren za doseganje ciljev akcijskega načrta;</w:t>
      </w:r>
    </w:p>
    <w:p w:rsidR="0073653A" w:rsidRPr="00531B18" w:rsidRDefault="00396CEA" w:rsidP="0073653A">
      <w:pPr>
        <w:pStyle w:val="NormalHanging12a"/>
      </w:pPr>
      <w:r>
        <w:t>29</w:t>
      </w:r>
      <w:r w:rsidR="0073653A" w:rsidRPr="00531B18">
        <w:t>.</w:t>
      </w:r>
      <w:r w:rsidR="0073653A" w:rsidRPr="00531B18">
        <w:tab/>
        <w:t xml:space="preserve">meni, da bi bilo treba ukrepe, povezane z ribolovom s pridnenimi vlečnimi mrežami, oceniti v skladu z vsemi možnimi smernicami, kot so smernice Mednarodnega sveta za raziskovanje morja ali Znanstvenega, tehničnega in gospodarskega odbora za ribištvo, pa tudi z najboljšimi razpoložljivimi znanstvenimi podatki; meni, da bi bilo treba pri teh ukrepih upoštevati, da je pridnena vlečna mreža eno najpogostejših in najbolj reguliranih ribolovnih orodij v Evropi, in da bilo treba ribolov z njo prednostno urejati v </w:t>
      </w:r>
      <w:r w:rsidR="0073653A" w:rsidRPr="00531B18">
        <w:lastRenderedPageBreak/>
        <w:t>okviru uredbe o tehničnih ukrepih (Uredba (EU) 2019/1241</w:t>
      </w:r>
      <w:r w:rsidR="0073653A" w:rsidRPr="00531B18">
        <w:rPr>
          <w:rStyle w:val="FootnoteReference"/>
        </w:rPr>
        <w:footnoteReference w:id="19"/>
      </w:r>
      <w:r w:rsidR="0073653A" w:rsidRPr="00531B18">
        <w:t>), katere cilj je, kot je navedeno v njenem naslovu, „ohranjanje ribolovnih virov in varstvo morskih ekosistemov“;</w:t>
      </w:r>
    </w:p>
    <w:p w:rsidR="0073653A" w:rsidRPr="00531B18" w:rsidRDefault="00396CEA" w:rsidP="0073653A">
      <w:pPr>
        <w:pStyle w:val="NormalHanging12a"/>
      </w:pPr>
      <w:r>
        <w:t>30</w:t>
      </w:r>
      <w:r w:rsidR="0073653A" w:rsidRPr="00531B18">
        <w:t>.</w:t>
      </w:r>
      <w:r w:rsidR="0073653A" w:rsidRPr="00531B18">
        <w:tab/>
        <w:t>ugotavlja, da so znanstveni organi, kot je Mednarodni svet za raziskovanje morja, in mnoge strokovno pregledane znanstvene študije pokazali in priznali, da mobilno pridneno ribolovno orodje vpliva na ekosisteme; vendar poudarja, da so učinki ribolova z vlečnimi mrežami različni in da se glede na več dejavnikov, kot je vrsta ribolova, v znanosti štejejo za trajnostne in združljive z doseganjem ciljev ohranjanja morskega dna ali staležev, ki se izkoriščajo nad ravnmi največjega trajnostnega donosa;</w:t>
      </w:r>
    </w:p>
    <w:p w:rsidR="0073653A" w:rsidRPr="00531B18" w:rsidRDefault="00396CEA" w:rsidP="0073653A">
      <w:pPr>
        <w:pStyle w:val="NormalHanging12a"/>
      </w:pPr>
      <w:r>
        <w:t>31</w:t>
      </w:r>
      <w:r w:rsidR="0073653A" w:rsidRPr="00531B18">
        <w:t>.</w:t>
      </w:r>
      <w:r w:rsidR="0073653A" w:rsidRPr="00531B18">
        <w:tab/>
        <w:t>poudarja, da bi namera Komisije, da z akcijskim načrtom uvede ukrepe, namesto da bi odločitev prepustila sozakonodajalcema, lahko ogrozila dobro upravljanje in dialog med deležniki in različnimi ravnmi uprave ter spodkopala medinstitucionalno ravnovesje in vlogo vsake institucije v postopku odločanja;</w:t>
      </w:r>
    </w:p>
    <w:p w:rsidR="0073653A" w:rsidRPr="00531B18" w:rsidRDefault="0073653A" w:rsidP="0073653A">
      <w:pPr>
        <w:pStyle w:val="Normal12a24b"/>
      </w:pPr>
      <w:r w:rsidRPr="00531B18">
        <w:rPr>
          <w:rStyle w:val="BoldItalic"/>
        </w:rPr>
        <w:t>Jegulje</w:t>
      </w:r>
    </w:p>
    <w:p w:rsidR="0073653A" w:rsidRPr="00531B18" w:rsidRDefault="00396CEA" w:rsidP="0073653A">
      <w:pPr>
        <w:pStyle w:val="NormalHanging12a"/>
      </w:pPr>
      <w:r>
        <w:t>32</w:t>
      </w:r>
      <w:r w:rsidR="0073653A" w:rsidRPr="00531B18">
        <w:t>.</w:t>
      </w:r>
      <w:r w:rsidR="0073653A" w:rsidRPr="00531B18">
        <w:tab/>
        <w:t>poudarja, da je upravljanje staleža jegulje kompleksno in raznoliko ter ga ni mogoče omejiti zgolj na en pristop, osredotočen predvsem na morje; ponovno poudarja, da je Komisija v oceni iz leta 2020 ugotovila, da je uredba o jeguljah primerna za svoj namen; kljub temu meni, da so za zagotovitev celovitega pristopa k izvajanju te uredbe potrebni boljše izvajanje uredbe o jeguljah in dodatni okrepljeni ukrepi držav članic; opozarja Komisijo in države članice, naj v celoti izkoristijo uredbo o jeguljah kot temeljno politiko za upravljanje in obnovo staleža jegulje ter poskrbijo za celosten in dosleden pristop, ki bo zajemal tako morske kot sladkovodne življenjske faze jegulje ter obravnaval vplive ribištva in neribištva s popolnim izvajanjem ukrepov na vseh ustreznih področjih;</w:t>
      </w:r>
    </w:p>
    <w:p w:rsidR="0073653A" w:rsidRPr="00531B18" w:rsidRDefault="00396CEA" w:rsidP="0073653A">
      <w:pPr>
        <w:pStyle w:val="NormalHanging12a"/>
      </w:pPr>
      <w:r>
        <w:t>33</w:t>
      </w:r>
      <w:r w:rsidR="0073653A" w:rsidRPr="00531B18">
        <w:t>.</w:t>
      </w:r>
      <w:r w:rsidR="0073653A" w:rsidRPr="00531B18">
        <w:tab/>
        <w:t>meni, da se z ukrepi, sprejetimi zunaj okvira uredbe o jeguljah, lahko omaja skladnost sprejete politike; zato ima velike pomisleke zaradi necelostnega pristopa iz Uredbe Sveta (EU) 2023/194</w:t>
      </w:r>
      <w:r w:rsidR="0073653A" w:rsidRPr="00531B18">
        <w:rPr>
          <w:rStyle w:val="FootnoteReference"/>
        </w:rPr>
        <w:footnoteReference w:id="20"/>
      </w:r>
      <w:r w:rsidR="0073653A" w:rsidRPr="00531B18">
        <w:t>, ki omejuje ribolov jegulje z uvedbo šestmesečnega obdobja prepovedi brez ustreznega posvetovanja z deležniki in brez razmisleka o celovitem svežnju ukrepov na drugih področjih politike ali ustreznem nadomestilu, vključno z ukrepi, ki bi upoštevali socialno-ekonomske učinke; zato meni, da bi bilo treba pred preučitvijo dodatnih omejevalnih ukrepov, kot je bilo objavljeno v akcijskem načrtu, pripraviti predhodno analizo o obnovi vrste in njeni morebitni vlogi v boju proti invazivnim vrstam;</w:t>
      </w:r>
    </w:p>
    <w:p w:rsidR="0073653A" w:rsidRPr="00531B18" w:rsidRDefault="00396CEA" w:rsidP="0073653A">
      <w:pPr>
        <w:pStyle w:val="NormalHanging12a"/>
      </w:pPr>
      <w:r>
        <w:lastRenderedPageBreak/>
        <w:t>34</w:t>
      </w:r>
      <w:r w:rsidR="0073653A" w:rsidRPr="00531B18">
        <w:t>.</w:t>
      </w:r>
      <w:r w:rsidR="0073653A" w:rsidRPr="00531B18">
        <w:tab/>
        <w:t>ponovno poziva k ustanovitvi posebne strokovne skupine za jegulje, da bi zagotovili popolno in uravnoteženo zastopanost vseh ustreznih deležnikov; poziva države članice, naj redno posodabljajo svoje načrte za upravljanje jegulje in spoštujejo svoje obveznosti glede poročanja iz uredbe o jeguljah;</w:t>
      </w:r>
    </w:p>
    <w:p w:rsidR="0073653A" w:rsidRPr="00531B18" w:rsidRDefault="0073653A" w:rsidP="0073653A">
      <w:pPr>
        <w:pStyle w:val="Normal12a24b"/>
      </w:pPr>
      <w:r w:rsidRPr="00531B18">
        <w:rPr>
          <w:rStyle w:val="BoldItalic"/>
        </w:rPr>
        <w:t>Odzivi držav članic na akcijski načrt</w:t>
      </w:r>
    </w:p>
    <w:p w:rsidR="0073653A" w:rsidRPr="00531B18" w:rsidRDefault="00396CEA" w:rsidP="0073653A">
      <w:pPr>
        <w:pStyle w:val="NormalHanging12a"/>
      </w:pPr>
      <w:r>
        <w:t>35</w:t>
      </w:r>
      <w:r w:rsidR="0073653A" w:rsidRPr="00531B18">
        <w:t>.</w:t>
      </w:r>
      <w:r w:rsidR="0073653A" w:rsidRPr="00531B18">
        <w:tab/>
        <w:t>je seznanjen s številnimi deklaracijami in jasnimi izjavami predstavnikov držav članic, v katerih so izraženi pomisleki glede akcijskega načrta in z njim povezanih negotovosti; ugotavlja, da so države članice zlasti podvomile v preveč poenostavljeni pristop Komisije v zvezi z omejitvami ribolova s pridnenimi vlečnimi mrežami na morskih zavarovanih območjih;</w:t>
      </w:r>
    </w:p>
    <w:p w:rsidR="0073653A" w:rsidRPr="00531B18" w:rsidRDefault="00396CEA" w:rsidP="0073653A">
      <w:pPr>
        <w:pStyle w:val="NormalHanging12a"/>
      </w:pPr>
      <w:r>
        <w:t>36</w:t>
      </w:r>
      <w:r w:rsidR="0073653A" w:rsidRPr="00531B18">
        <w:t>.</w:t>
      </w:r>
      <w:r w:rsidR="0073653A" w:rsidRPr="00531B18">
        <w:tab/>
        <w:t>meni, da je vztrajno prerivanje med razvojem ribiške industrije in varstvom morske biotske raznovrstnosti obstalo na mrtvi točki; meni, da je oboje mogoče doseči na uravnotežen način, kot so predstavniki držav članic izjavili po predstavitvi akcijskega načrta;</w:t>
      </w:r>
    </w:p>
    <w:p w:rsidR="0073653A" w:rsidRPr="00531B18" w:rsidRDefault="00396CEA" w:rsidP="0073653A">
      <w:pPr>
        <w:pStyle w:val="NormalHanging12a"/>
      </w:pPr>
      <w:r>
        <w:t>37</w:t>
      </w:r>
      <w:r w:rsidR="0073653A" w:rsidRPr="00531B18">
        <w:t>.</w:t>
      </w:r>
      <w:r w:rsidR="0073653A" w:rsidRPr="00531B18">
        <w:tab/>
        <w:t>pozdravlja ustanovitev posebne skupine za dialog, ki jo sestavljajo generalna direktorata Komisije za okolje (GD ENV) in za pomorske zadeve in ribištvo (GD MARE), države članice in zainteresirani deležniki; meni, da bi morala biti vloga skupine za dialog ta, da omogoči znanje in morebitne razprave med ribiško in okoljsko skupnostjo ter državam članicam služi kot platforma za preglednost in dialog o izvajanju njihovih časovnih načrtov;</w:t>
      </w:r>
    </w:p>
    <w:p w:rsidR="0073653A" w:rsidRPr="00531B18" w:rsidRDefault="0073653A" w:rsidP="0073653A">
      <w:pPr>
        <w:pStyle w:val="Normal12a24b"/>
        <w:rPr>
          <w:rStyle w:val="BoldItalic"/>
          <w:b w:val="0"/>
          <w:i w:val="0"/>
        </w:rPr>
      </w:pPr>
      <w:r w:rsidRPr="00531B18">
        <w:rPr>
          <w:b/>
          <w:i/>
        </w:rPr>
        <w:t>Pravne posledice akcijskega načrta Komisije</w:t>
      </w:r>
    </w:p>
    <w:p w:rsidR="0073653A" w:rsidRPr="00531B18" w:rsidRDefault="00396CEA" w:rsidP="0073653A">
      <w:pPr>
        <w:pStyle w:val="NormalHanging12a"/>
      </w:pPr>
      <w:r>
        <w:t>38</w:t>
      </w:r>
      <w:r w:rsidR="0073653A" w:rsidRPr="00531B18">
        <w:t>.</w:t>
      </w:r>
      <w:r w:rsidR="0073653A" w:rsidRPr="00531B18">
        <w:tab/>
        <w:t>ponovno potrjuje svojo zavezanost izvajanju pooblastil in pristojnosti Parlamenta v zvezi z vsemi pobudami, kot so zakonodajni predlogi ter delegirani ali izvedbeni akti, tako tisti, ki so povezani z akcijskim načrtom ali ki niso;</w:t>
      </w:r>
    </w:p>
    <w:p w:rsidR="0073653A" w:rsidRPr="00531B18" w:rsidRDefault="00396CEA" w:rsidP="0073653A">
      <w:pPr>
        <w:pStyle w:val="NormalHanging12a"/>
      </w:pPr>
      <w:r>
        <w:t>39</w:t>
      </w:r>
      <w:r w:rsidR="0073653A" w:rsidRPr="00531B18">
        <w:t>.</w:t>
      </w:r>
      <w:r w:rsidR="0073653A" w:rsidRPr="00531B18">
        <w:tab/>
        <w:t>ugotavlja, da bo izvajanje akcijskega načrta, čeprav ni pravno zavezujoč, pomenilo precejšnje socialno-ekonomske stroške za države članice in njihove flote, saj načrt vsebuje približno 90 ukrepov v oblik predpisov, smernic, analiz, časovnih načrtov, študij, poročil in pobud; poziva države članice in Komisijo, naj v okviru priprav na nove ali reformirane predpise ali pobude pravočasno izvedejo potrebne študije ter naj upoštevajo postopke pomorskega prostorskega načrtovanja med regijami in morskimi bazeni pa tudi med različnimi državami članicami in državami nečlanicami EU ter naj sodelujejo v njih, da bi si zagotovile socialno-ekonomske koristi;</w:t>
      </w:r>
    </w:p>
    <w:p w:rsidR="0073653A" w:rsidRPr="00531B18" w:rsidRDefault="00396CEA" w:rsidP="0073653A">
      <w:pPr>
        <w:pStyle w:val="NormalHanging12a"/>
      </w:pPr>
      <w:r>
        <w:t>40</w:t>
      </w:r>
      <w:r w:rsidR="0073653A" w:rsidRPr="00531B18">
        <w:t>.</w:t>
      </w:r>
      <w:r w:rsidR="0073653A" w:rsidRPr="00531B18">
        <w:tab/>
        <w:t>meni, da bi morali ukrepi, vključeni v akcijski načrt, kjer je to mogoče, slediti rednemu zakonodajnemu postopku, da se zagotovi večja preglednost, in da bi morali vključevati resnično oceno učinka, pri tem pa bi morali ustrezno sodelovati vsi deležniki;</w:t>
      </w:r>
    </w:p>
    <w:p w:rsidR="0073653A" w:rsidRPr="00531B18" w:rsidRDefault="00396CEA" w:rsidP="0073653A">
      <w:pPr>
        <w:pStyle w:val="NormalHanging12a"/>
      </w:pPr>
      <w:r>
        <w:t>41</w:t>
      </w:r>
      <w:r w:rsidR="0073653A" w:rsidRPr="00531B18">
        <w:t>.</w:t>
      </w:r>
      <w:r w:rsidR="0073653A" w:rsidRPr="00531B18">
        <w:tab/>
        <w:t>z zaskrbljenostjo ugotavlja, da pravne posledice akcijskega načrta niso dovolj jasne, in sicer zaradi izjav Komisije, na primer med predstavitvijo Odboru Parlamenta za ribištvo in različnim deležnikom; meni, da to ni prineslo jasnosti in stabilnosti za ribiški sektor in da je negativno vplivalo na številne sektorje ribiške industrije v času, ko negotovost zaradi kumulativnih posledic več kriz močno slabi prizadevnost ljudi, ki delajo v tej panogi;</w:t>
      </w:r>
    </w:p>
    <w:p w:rsidR="0073653A" w:rsidRPr="00531B18" w:rsidRDefault="00396CEA" w:rsidP="0073653A">
      <w:pPr>
        <w:pStyle w:val="NormalHanging12a"/>
      </w:pPr>
      <w:r>
        <w:lastRenderedPageBreak/>
        <w:t>42</w:t>
      </w:r>
      <w:r w:rsidR="0073653A" w:rsidRPr="00531B18">
        <w:t>.</w:t>
      </w:r>
      <w:r w:rsidR="0073653A" w:rsidRPr="00531B18">
        <w:tab/>
        <w:t>z zaskrbljenostjo ugotavlja, da Komisija vse pogosteje uporablja nezavezujoče instrumente, kot so sporočila, običajno imenovana „mehko pravo“, da bi predstavila zelo konkretne politične ukrepe, ne da bi sprejela ustrezne zakonodajne predloge; meni, da lahko vsaka negotovost med predvidenim pravnim pomenom predstavljenih sporočil in njihovim dejanskim pravnim učinkom vpliva na pravno varnost in predvidljivost za sektor ter sproži pravna vprašanja v zvezi z institucionalnim ravnovesjem ter omejitvami in izvajanjem pristojnosti EU; zato meni, da se sporočila Komisije ne bi smela uporabljati za pripravo zavezujočih ukrepov;</w:t>
      </w:r>
    </w:p>
    <w:p w:rsidR="0073653A" w:rsidRPr="00531B18" w:rsidRDefault="00396CEA" w:rsidP="0073653A">
      <w:pPr>
        <w:pStyle w:val="NormalHanging12a"/>
      </w:pPr>
      <w:r>
        <w:t>43</w:t>
      </w:r>
      <w:r w:rsidR="0073653A" w:rsidRPr="00531B18">
        <w:t>.</w:t>
      </w:r>
      <w:r w:rsidR="0073653A" w:rsidRPr="00531B18">
        <w:tab/>
        <w:t>obžaluje, da je sporočilo Komisije, zlasti GD MARE in GD ENV, vsebovalo nasprotujoče si izjave o zavezujočih učinkih akcijskega načrta; poziva GD MARE in GD ENV, naj pred pripravo ali predložitvijo skupnih pobud bolj upoštevata posebnosti ribiškega sektorja;</w:t>
      </w:r>
    </w:p>
    <w:p w:rsidR="0073653A" w:rsidRPr="00531B18" w:rsidRDefault="0073653A" w:rsidP="0073653A">
      <w:pPr>
        <w:pStyle w:val="Normal12a24b"/>
      </w:pPr>
      <w:r w:rsidRPr="00531B18">
        <w:rPr>
          <w:rStyle w:val="BoldItalic"/>
        </w:rPr>
        <w:t>Socialno-ekonomski vidiki in prehranska varnost</w:t>
      </w:r>
    </w:p>
    <w:p w:rsidR="0073653A" w:rsidRPr="00531B18" w:rsidRDefault="00396CEA" w:rsidP="0073653A">
      <w:pPr>
        <w:pStyle w:val="NormalHanging12a"/>
      </w:pPr>
      <w:r>
        <w:t>44</w:t>
      </w:r>
      <w:r w:rsidR="0073653A" w:rsidRPr="00531B18">
        <w:t>.</w:t>
      </w:r>
      <w:r w:rsidR="0073653A" w:rsidRPr="00531B18">
        <w:tab/>
        <w:t>podpira govor predsednice Komisije o stanju v Uniji leta 2023, v katerem je navedeno, da bo za vsak nov zakonodajni akt opravljeno preverjanje konkurenčnosti; poziva, naj akcijski načrt, vsi zakonodajni predlogi, povezani z ribištvom, in druge pobude vključujejo preverjanje konkurenčnosti glede njihovega socialno-ekonomskega vpliva na različne dejavnosti in vpliva na obalne skupnosti, pa tudi na sektor rekreacijskega ribolova, in kumulativni učinek na razpoložljivost preskrbe s hrano;</w:t>
      </w:r>
    </w:p>
    <w:p w:rsidR="0073653A" w:rsidRDefault="00396CEA" w:rsidP="0073653A">
      <w:pPr>
        <w:pStyle w:val="NormalHanging12a"/>
      </w:pPr>
      <w:r>
        <w:t>45</w:t>
      </w:r>
      <w:r w:rsidR="0073653A" w:rsidRPr="00531B18">
        <w:t>.</w:t>
      </w:r>
      <w:r w:rsidR="0073653A" w:rsidRPr="00531B18">
        <w:tab/>
        <w:t>obžaluje, da akcijskemu načrtu ni priložena socialno-ekonomska študija, ocena učinka z znanstveno analizo ali vmesno poročilo ter da niso predlagani dodatni finančni ukrepi za zeleni in energetski prehod; opozarja Komisijo na dejstvo, da bi morali biti strateški dokumenti, kot je ta akcijski načrt, predstavljeni različnim deležnikom in da bi morali bolj usklajeno in jasno upoštevati njihova stališča ter da bi morali vključevati celovite okoljske, socialne, gospodarske in pravne ocene njihovega izvajanja; poziva k vzpostavitvi vseh potrebnih sredstev, vključno s spodbudami in izravnalnimi mehanizmi, za pravičen in uravnotežen prehod;</w:t>
      </w:r>
    </w:p>
    <w:p w:rsidR="00531B18" w:rsidRPr="00531B18" w:rsidRDefault="00396CEA" w:rsidP="00531B18">
      <w:pPr>
        <w:pStyle w:val="NormalHanging12a"/>
      </w:pPr>
      <w:r>
        <w:t>46</w:t>
      </w:r>
      <w:r w:rsidR="00531B18" w:rsidRPr="00531B18">
        <w:t>.</w:t>
      </w:r>
      <w:r w:rsidR="00531B18" w:rsidRPr="00531B18">
        <w:tab/>
        <w:t>opozarja, da morajo države članice pri dodeljevanju ribolovnih možnosti v celoti izvajati člen 17 skupne ribiške politike; poziva države članice, naj ribolovne možnosti dodeljujejo na podlagi preglednih in objektivnih meril, ki temeljijo na socialni in okoljski uspešnosti ribiških flot, ter naj izvajajo člen 17 kot orodje za spodbujanje odgovornih ribolovnih praks z majhnim vplivom;</w:t>
      </w:r>
    </w:p>
    <w:p w:rsidR="0073653A" w:rsidRPr="00531B18" w:rsidRDefault="00396CEA" w:rsidP="0073653A">
      <w:pPr>
        <w:pStyle w:val="NormalHanging12a"/>
      </w:pPr>
      <w:r>
        <w:t>47</w:t>
      </w:r>
      <w:r w:rsidR="0073653A" w:rsidRPr="00531B18">
        <w:t>.</w:t>
      </w:r>
      <w:r w:rsidR="0073653A" w:rsidRPr="00531B18">
        <w:tab/>
        <w:t>poudarja, da bi moral akcijski načrt v enaki meri prispevati k stebrom trajnostnosti skupne ribiške politike (okoljski, socialni in gospodarski) ter med drugim prispevati k rasti produktivnosti, dostojnim delovnim pogojem v sektorju, zlasti za mali ribolov, in k stabilnim trgom, zagotavljati prehranske, kakovostne in trajnostne proizvode, ne da bi pri tem ogrozili prehransko varnost in avtonomijo, ter ribičem omogočiti, da v celoti izkoristijo ribolovne kvote, ki so jim bile dodeljene, pa tudi k oživitvi okolja in varstvu okolja, da bi ublažili podnebne spremembe in se prilagodili njihovim učinkom;</w:t>
      </w:r>
    </w:p>
    <w:p w:rsidR="0073653A" w:rsidRPr="00531B18" w:rsidRDefault="00396CEA" w:rsidP="0073653A">
      <w:pPr>
        <w:pStyle w:val="NormalHanging12a"/>
      </w:pPr>
      <w:r>
        <w:t>48</w:t>
      </w:r>
      <w:r w:rsidR="0073653A" w:rsidRPr="00531B18">
        <w:t>.</w:t>
      </w:r>
      <w:r w:rsidR="0073653A" w:rsidRPr="00531B18">
        <w:tab/>
        <w:t>pozdravlja poziv Komisije k zbiranju podatkov o vplivu rekreacijskega ribolova, vendar poudarja, da je treba upoštevati tudi ekonomske in socialne učinke trajnostnih dejavnosti rekreacijskega ribolova; meni, da lahko rekreacijski ribolov ponuja odlične priložnosti za spodbujanje pristopa „občanske znanosti“;</w:t>
      </w:r>
    </w:p>
    <w:p w:rsidR="0073653A" w:rsidRPr="00531B18" w:rsidRDefault="0073653A" w:rsidP="0073653A">
      <w:pPr>
        <w:pStyle w:val="Normal12a24b"/>
      </w:pPr>
      <w:r w:rsidRPr="00531B18">
        <w:rPr>
          <w:rStyle w:val="BoldItalic"/>
        </w:rPr>
        <w:lastRenderedPageBreak/>
        <w:t>Mednarodni ukrepi in vzajemnost</w:t>
      </w:r>
    </w:p>
    <w:p w:rsidR="0073653A" w:rsidRPr="00531B18" w:rsidRDefault="00396CEA" w:rsidP="0073653A">
      <w:pPr>
        <w:pStyle w:val="Normal6"/>
        <w:ind w:left="567" w:hanging="567"/>
      </w:pPr>
      <w:r>
        <w:t>49</w:t>
      </w:r>
      <w:r w:rsidR="0073653A" w:rsidRPr="00531B18">
        <w:t>.</w:t>
      </w:r>
      <w:r w:rsidR="0073653A" w:rsidRPr="00531B18">
        <w:tab/>
        <w:t>meni, da je sporazum OZN o odprtem morju pomemben dosežek na mednarodni ravni za zaščito oceanov; vendar obžaluje, da v akcijskem načrtu ni dovolj poudarjeno, da je treba v mednarodne sporazume vključiti vzajemnost; zato meni, da je bistveno, da EU na mednarodni ravni sodeluje z drugimi partnerji pri izvajanju pravil s cilji, ki so podobni tistim iz skupne ribiške politike, zlasti iz njenega člena 28(2)(d), evropskega zelenega dogovora in ciljev trajnostnega razvoja;</w:t>
      </w:r>
    </w:p>
    <w:p w:rsidR="0073653A" w:rsidRPr="00531B18" w:rsidRDefault="00396CEA" w:rsidP="0073653A">
      <w:pPr>
        <w:pStyle w:val="NormalHanging12a"/>
      </w:pPr>
      <w:r>
        <w:t>50</w:t>
      </w:r>
      <w:r w:rsidR="0073653A" w:rsidRPr="00531B18">
        <w:t>.</w:t>
      </w:r>
      <w:r w:rsidR="0073653A" w:rsidRPr="00531B18">
        <w:tab/>
        <w:t>poudarja pomen sodelovanja EU z državami v razvoju, zlasti v Afriki, na Karibih in v Tihem oceanu, pri pripravi na prihodnji razvoj obnovljive morske energije, tako da EU deli svoje strokovno znanje in izkušnje na področju pomorskega načrtovanja in industrijskega razvoja; poziva EU, naj poveča krepitev zmogljivosti in financiranje držav v razvoju za izboljšanje upravljanja oceanov in obalnih območij, razvoj strategij za oceansko gospodarstvo, premostitev vrzeli pri upravljanju ter boj proti nezakonitemu, neprijavljenemu in nereguliranemu ribolovu ter nezakoniti trgovini z morskimi viri; poudarja, da je treba najti odgovore, ki bodo zadovoljili lokalne potrebe po energiji brez emisij, zagotovili zaščito morskih ekosistemov in pomagali ohraniti tradicionalne dejavnosti, kot je ribolov; poudarja, da je treba v izvajanje teh ukrepov vključiti obalne skupnosti; nadalje poudarja, da je treba v najbolj oddaljenih regijah podpirati trajnostne ribolovne prakse, ki temeljijo na trajnostni rabi morskih virov ter upravljanju ribištva, akvakulture in turizma, saj bi tako zagotovili dolgoročni socialno-ekonomski razvoj teh regij;</w:t>
      </w:r>
    </w:p>
    <w:p w:rsidR="0073653A" w:rsidRPr="00531B18" w:rsidRDefault="00396CEA" w:rsidP="0073653A">
      <w:pPr>
        <w:pStyle w:val="NormalHanging12a"/>
      </w:pPr>
      <w:r>
        <w:t>51</w:t>
      </w:r>
      <w:r w:rsidR="0073653A" w:rsidRPr="00531B18">
        <w:t>.</w:t>
      </w:r>
      <w:r w:rsidR="0073653A" w:rsidRPr="00531B18">
        <w:tab/>
        <w:t>poziva EU, naj spodbuja preglednost ribištva in drugih ekstraktivnih panog na morju v partnerskih državah, saj je to pogoj za ustavitev prelova, izgube biotske raznovrstnosti in kršitev človekovih pravic; poudarja, da lahko obalne države v razvoju za izboljšanje preglednosti izvajajo standarde iz pobude za preglednost v ribištvu in pobude za preglednost v ekstraktivni industriji;</w:t>
      </w:r>
    </w:p>
    <w:p w:rsidR="0073653A" w:rsidRPr="00531B18" w:rsidRDefault="00396CEA" w:rsidP="0073653A">
      <w:pPr>
        <w:pStyle w:val="NormalHanging12a"/>
      </w:pPr>
      <w:r>
        <w:t>52</w:t>
      </w:r>
      <w:r w:rsidR="0073653A" w:rsidRPr="00531B18">
        <w:t>.</w:t>
      </w:r>
      <w:r w:rsidR="0073653A" w:rsidRPr="00531B18">
        <w:tab/>
        <w:t>poziva, naj se vse omejitve, ne glede na to, ali temeljijo na akcijskem načrtu ali ne, samodejno odražajo za proizvode, uvožene iz držav nečlanic EU, zlasti glede na to, da EU uvozi 70 % rib, ki jih porabi; poudarja, da je bistveno zagotoviti skladnost med notranjimi in zunanjimi politikami ter enake konkurenčne pogoje za gospodarske subjekte iz EU in zunaj nje;</w:t>
      </w:r>
    </w:p>
    <w:p w:rsidR="0073653A" w:rsidRPr="00531B18" w:rsidRDefault="00396CEA" w:rsidP="0073653A">
      <w:pPr>
        <w:pStyle w:val="NormalHanging12a"/>
      </w:pPr>
      <w:r>
        <w:t>53</w:t>
      </w:r>
      <w:r w:rsidR="0073653A" w:rsidRPr="00531B18">
        <w:t>.</w:t>
      </w:r>
      <w:r w:rsidR="0073653A" w:rsidRPr="00531B18">
        <w:tab/>
        <w:t>ugotavlja, da ulov z mobilnim pridnenim orodjem predstavlja 25 % celotnega evropskega ulova; meni, da nova pravila upravljanja, zlasti omejitve glede uporabe ribolovnih tehnik na ravni EU, ne bi smela ogrožati prehranske varnosti niti povzročiti povečanja uvoza ribiških proizvodov, še manj pa, če se ti proizvodi lovijo z ribolovnim orodjem z majhno ali omejeno uporabo v EU;</w:t>
      </w:r>
    </w:p>
    <w:p w:rsidR="0073653A" w:rsidRPr="00531B18" w:rsidRDefault="0073653A" w:rsidP="0073653A">
      <w:pPr>
        <w:pStyle w:val="Normal12a24b"/>
        <w:rPr>
          <w:rStyle w:val="BoldItalic"/>
          <w:b w:val="0"/>
          <w:i w:val="0"/>
        </w:rPr>
      </w:pPr>
      <w:r w:rsidRPr="00531B18">
        <w:rPr>
          <w:b/>
          <w:i/>
        </w:rPr>
        <w:t>Sodelovanje z ribiškim sektorjem</w:t>
      </w:r>
    </w:p>
    <w:p w:rsidR="0073653A" w:rsidRPr="00531B18" w:rsidRDefault="00396CEA" w:rsidP="0073653A">
      <w:pPr>
        <w:pStyle w:val="NormalHanging12a"/>
      </w:pPr>
      <w:r>
        <w:t>54</w:t>
      </w:r>
      <w:r w:rsidR="0073653A" w:rsidRPr="00531B18">
        <w:t>.</w:t>
      </w:r>
      <w:r w:rsidR="0073653A" w:rsidRPr="00531B18">
        <w:tab/>
        <w:t>podpira sedanja prizadevanja ribiškega sektorja za izboljšanje selektivnosti ribolovnih tehnik in zmanjšanje njegovega vpliva na okolje; opozarja na pozitivne primere, ko so se staleži vrst na zavarovanih območjih obnovili in hkrati ohranile ribolovne dejavnosti; podpira nadaljnja prizadevanja za okrepitev ureditev soupravljanja, pri čemer lokalni deležniki prevzamejo odgovornost za trajnostno upravljanje in več vlagajo v raziskave, inovacije in razvoj novega ribolovnega orodja in tehnik; poudarja vlogo ribičev kot „varuhov morja“, njihovo zavezanost obnavljanju ribjih staležev in njihov prispevek k obnovi morskih ekosistemov;</w:t>
      </w:r>
    </w:p>
    <w:p w:rsidR="0073653A" w:rsidRPr="00531B18" w:rsidRDefault="00396CEA" w:rsidP="0073653A">
      <w:pPr>
        <w:pStyle w:val="NormalHanging12a"/>
      </w:pPr>
      <w:r>
        <w:lastRenderedPageBreak/>
        <w:t>55</w:t>
      </w:r>
      <w:r w:rsidR="0073653A" w:rsidRPr="00531B18">
        <w:t>.</w:t>
      </w:r>
      <w:r w:rsidR="0073653A" w:rsidRPr="00531B18">
        <w:tab/>
        <w:t>ugotavlja, da je bil po navedbah Komisije v zadnjih desetletjih po zaslugi skupne ribiške politike dosežen opazen napredek v smeri bolj trajnostnega ribištva na terenu; vendar poudarja, da je ta obnova večini ribiških skupnosti povzročila visoke stroške;</w:t>
      </w:r>
    </w:p>
    <w:p w:rsidR="0073653A" w:rsidRPr="00531B18" w:rsidRDefault="00396CEA" w:rsidP="0073653A">
      <w:pPr>
        <w:pStyle w:val="NormalHanging12a"/>
      </w:pPr>
      <w:r>
        <w:t>56</w:t>
      </w:r>
      <w:r w:rsidR="0073653A" w:rsidRPr="00531B18">
        <w:t>.</w:t>
      </w:r>
      <w:r w:rsidR="0073653A" w:rsidRPr="00531B18">
        <w:tab/>
        <w:t>poudarja, da je pomembno vse ustrezne deležnike, od ribičev do predstavnikov civilne družbe, vključiti v postopek odločanja in izvajanje ukrepov, ki prispevajo k varstvu in obnovi morskih ekosistemov ter lahko podprejo trajnostno in odporno ribištvo;</w:t>
      </w:r>
    </w:p>
    <w:p w:rsidR="0073653A" w:rsidRPr="00531B18" w:rsidRDefault="00396CEA" w:rsidP="0073653A">
      <w:pPr>
        <w:pStyle w:val="NormalHanging12a"/>
        <w:rPr>
          <w:snapToGrid/>
        </w:rPr>
      </w:pPr>
      <w:r>
        <w:t>57</w:t>
      </w:r>
      <w:r w:rsidR="0073653A" w:rsidRPr="00531B18">
        <w:t>.</w:t>
      </w:r>
      <w:r w:rsidR="0073653A" w:rsidRPr="00531B18">
        <w:tab/>
        <w:t>poudarja, da je treba posebno pozornost nameniti enakosti spolov in krepitvi vloge žensk, saj imajo ženske in mladi ključno vlogo, zlasti v trajnostnem gospodarstvu, ki temelji na oceanih, in na zaščitenih morskih območjih;</w:t>
      </w:r>
    </w:p>
    <w:p w:rsidR="0073653A" w:rsidRPr="00531B18" w:rsidRDefault="0073653A" w:rsidP="0073653A">
      <w:pPr>
        <w:pStyle w:val="NormalCenter12a"/>
      </w:pPr>
      <w:r w:rsidRPr="00531B18">
        <w:t>°</w:t>
      </w:r>
    </w:p>
    <w:p w:rsidR="0073653A" w:rsidRPr="00531B18" w:rsidRDefault="0073653A" w:rsidP="0073653A">
      <w:pPr>
        <w:pStyle w:val="NormalCenter12a"/>
      </w:pPr>
      <w:r w:rsidRPr="00531B18">
        <w:t>°</w:t>
      </w:r>
      <w:r w:rsidRPr="00531B18">
        <w:tab/>
        <w:t>°</w:t>
      </w:r>
    </w:p>
    <w:p w:rsidR="00E365E1" w:rsidRPr="00531B18" w:rsidRDefault="00396CEA" w:rsidP="00291DBD">
      <w:pPr>
        <w:pStyle w:val="NormalHanging12a"/>
      </w:pPr>
      <w:r>
        <w:t>58</w:t>
      </w:r>
      <w:r w:rsidR="0073653A" w:rsidRPr="00531B18">
        <w:t>.</w:t>
      </w:r>
      <w:r w:rsidR="0073653A" w:rsidRPr="00531B18">
        <w:tab/>
        <w:t>naroči svoji predsednici, naj to resolucijo posreduje Svetu in Komisiji.</w:t>
      </w:r>
      <w:bookmarkStart w:id="9" w:name="TextBodyEnd"/>
      <w:bookmarkEnd w:id="9"/>
    </w:p>
    <w:sectPr w:rsidR="00E365E1" w:rsidRPr="00531B18" w:rsidSect="005539C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1375" w:rsidRPr="005539C8" w:rsidRDefault="00881375">
      <w:r w:rsidRPr="005539C8">
        <w:separator/>
      </w:r>
    </w:p>
  </w:endnote>
  <w:endnote w:type="continuationSeparator" w:id="0">
    <w:p w:rsidR="00881375" w:rsidRPr="005539C8" w:rsidRDefault="00881375">
      <w:r w:rsidRPr="005539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1375" w:rsidRPr="005539C8" w:rsidRDefault="00881375">
      <w:r w:rsidRPr="005539C8">
        <w:separator/>
      </w:r>
    </w:p>
  </w:footnote>
  <w:footnote w:type="continuationSeparator" w:id="0">
    <w:p w:rsidR="00881375" w:rsidRPr="005539C8" w:rsidRDefault="00881375">
      <w:r w:rsidRPr="005539C8">
        <w:continuationSeparator/>
      </w:r>
    </w:p>
  </w:footnote>
  <w:footnote w:id="1">
    <w:p w:rsidR="0073653A" w:rsidRPr="005539C8" w:rsidRDefault="0073653A" w:rsidP="005539C8">
      <w:pPr>
        <w:pStyle w:val="FootnoteText"/>
        <w:ind w:left="567" w:hanging="567"/>
        <w:rPr>
          <w:sz w:val="24"/>
          <w:lang w:val="sl-SI"/>
        </w:rPr>
      </w:pPr>
      <w:r w:rsidRPr="005539C8">
        <w:rPr>
          <w:rStyle w:val="FootnoteReference"/>
          <w:sz w:val="24"/>
          <w:lang w:val="sl-SI"/>
        </w:rPr>
        <w:footnoteRef/>
      </w:r>
      <w:r w:rsidR="005539C8" w:rsidRPr="005539C8">
        <w:rPr>
          <w:sz w:val="24"/>
          <w:lang w:val="sl-SI"/>
        </w:rPr>
        <w:t xml:space="preserve"> </w:t>
      </w:r>
      <w:r w:rsidR="005539C8" w:rsidRPr="005539C8">
        <w:rPr>
          <w:sz w:val="24"/>
          <w:lang w:val="sl-SI"/>
        </w:rPr>
        <w:tab/>
      </w:r>
      <w:r w:rsidRPr="005539C8">
        <w:rPr>
          <w:sz w:val="24"/>
          <w:lang w:val="sl-SI"/>
        </w:rPr>
        <w:t>UL C 349, 29.9.2023, str. 127.</w:t>
      </w:r>
    </w:p>
  </w:footnote>
  <w:footnote w:id="2">
    <w:p w:rsidR="0073653A" w:rsidRPr="005539C8" w:rsidRDefault="0073653A" w:rsidP="005539C8">
      <w:pPr>
        <w:pStyle w:val="FootnoteText"/>
        <w:ind w:left="567" w:hanging="567"/>
        <w:rPr>
          <w:sz w:val="24"/>
          <w:lang w:val="sl-SI"/>
        </w:rPr>
      </w:pPr>
      <w:r w:rsidRPr="005539C8">
        <w:rPr>
          <w:rStyle w:val="FootnoteReference"/>
          <w:sz w:val="24"/>
          <w:lang w:val="sl-SI"/>
        </w:rPr>
        <w:footnoteRef/>
      </w:r>
      <w:r w:rsidR="005539C8" w:rsidRPr="005539C8">
        <w:rPr>
          <w:sz w:val="24"/>
          <w:lang w:val="sl-SI"/>
        </w:rPr>
        <w:t xml:space="preserve"> </w:t>
      </w:r>
      <w:r w:rsidR="005539C8" w:rsidRPr="005539C8">
        <w:rPr>
          <w:sz w:val="24"/>
          <w:lang w:val="sl-SI"/>
        </w:rPr>
        <w:tab/>
      </w:r>
      <w:r w:rsidRPr="005539C8">
        <w:rPr>
          <w:sz w:val="24"/>
          <w:lang w:val="sl-SI"/>
        </w:rPr>
        <w:t>UL L 354, 28.12.2013, str. 22.</w:t>
      </w:r>
    </w:p>
  </w:footnote>
  <w:footnote w:id="3">
    <w:p w:rsidR="0073653A" w:rsidRPr="005539C8" w:rsidRDefault="0073653A" w:rsidP="005539C8">
      <w:pPr>
        <w:pStyle w:val="FootnoteText"/>
        <w:ind w:left="567" w:hanging="567"/>
        <w:rPr>
          <w:sz w:val="24"/>
          <w:lang w:val="sl-SI"/>
        </w:rPr>
      </w:pPr>
      <w:r w:rsidRPr="005539C8">
        <w:rPr>
          <w:rStyle w:val="FootnoteReference"/>
          <w:sz w:val="24"/>
          <w:lang w:val="sl-SI"/>
        </w:rPr>
        <w:footnoteRef/>
      </w:r>
      <w:r w:rsidR="005539C8" w:rsidRPr="005539C8">
        <w:rPr>
          <w:sz w:val="24"/>
          <w:lang w:val="sl-SI"/>
        </w:rPr>
        <w:t xml:space="preserve"> </w:t>
      </w:r>
      <w:r w:rsidR="005539C8" w:rsidRPr="005539C8">
        <w:rPr>
          <w:sz w:val="24"/>
          <w:lang w:val="sl-SI"/>
        </w:rPr>
        <w:tab/>
      </w:r>
      <w:r w:rsidRPr="005539C8">
        <w:rPr>
          <w:sz w:val="24"/>
          <w:lang w:val="sl-SI"/>
        </w:rPr>
        <w:t>UL L 327, 22.12.2000, str. 1.</w:t>
      </w:r>
    </w:p>
  </w:footnote>
  <w:footnote w:id="4">
    <w:p w:rsidR="0073653A" w:rsidRPr="005539C8" w:rsidRDefault="0073653A" w:rsidP="005539C8">
      <w:pPr>
        <w:pStyle w:val="FootnoteText"/>
        <w:ind w:left="567" w:hanging="567"/>
        <w:rPr>
          <w:sz w:val="24"/>
          <w:lang w:val="sl-SI"/>
        </w:rPr>
      </w:pPr>
      <w:r w:rsidRPr="005539C8">
        <w:rPr>
          <w:rStyle w:val="FootnoteReference"/>
          <w:sz w:val="24"/>
          <w:lang w:val="sl-SI"/>
        </w:rPr>
        <w:footnoteRef/>
      </w:r>
      <w:r w:rsidR="005539C8" w:rsidRPr="005539C8">
        <w:rPr>
          <w:sz w:val="24"/>
          <w:lang w:val="sl-SI"/>
        </w:rPr>
        <w:t xml:space="preserve"> </w:t>
      </w:r>
      <w:r w:rsidR="005539C8" w:rsidRPr="005539C8">
        <w:rPr>
          <w:sz w:val="24"/>
          <w:lang w:val="sl-SI"/>
        </w:rPr>
        <w:tab/>
      </w:r>
      <w:r w:rsidRPr="005539C8">
        <w:rPr>
          <w:sz w:val="24"/>
          <w:lang w:val="sl-SI"/>
        </w:rPr>
        <w:t>UL L 164, 25.6.2008, str. 19.</w:t>
      </w:r>
    </w:p>
  </w:footnote>
  <w:footnote w:id="5">
    <w:p w:rsidR="0073653A" w:rsidRPr="005539C8" w:rsidRDefault="0073653A" w:rsidP="005539C8">
      <w:pPr>
        <w:pStyle w:val="FootnoteText"/>
        <w:ind w:left="567" w:hanging="567"/>
        <w:rPr>
          <w:sz w:val="24"/>
          <w:lang w:val="sl-SI"/>
        </w:rPr>
      </w:pPr>
      <w:r w:rsidRPr="005539C8">
        <w:rPr>
          <w:rStyle w:val="FootnoteReference"/>
          <w:sz w:val="24"/>
          <w:lang w:val="sl-SI"/>
        </w:rPr>
        <w:footnoteRef/>
      </w:r>
      <w:r w:rsidR="005539C8" w:rsidRPr="005539C8">
        <w:rPr>
          <w:sz w:val="24"/>
          <w:lang w:val="sl-SI"/>
        </w:rPr>
        <w:t xml:space="preserve"> </w:t>
      </w:r>
      <w:r w:rsidR="005539C8" w:rsidRPr="005539C8">
        <w:rPr>
          <w:sz w:val="24"/>
          <w:lang w:val="sl-SI"/>
        </w:rPr>
        <w:tab/>
      </w:r>
      <w:r w:rsidRPr="005539C8">
        <w:rPr>
          <w:sz w:val="24"/>
          <w:lang w:val="sl-SI"/>
        </w:rPr>
        <w:t>UL L 257, 28.8.2014, str. 135.</w:t>
      </w:r>
    </w:p>
  </w:footnote>
  <w:footnote w:id="6">
    <w:p w:rsidR="0073653A" w:rsidRPr="005539C8" w:rsidRDefault="0073653A" w:rsidP="005539C8">
      <w:pPr>
        <w:pStyle w:val="FootnoteText"/>
        <w:ind w:left="567" w:hanging="567"/>
        <w:rPr>
          <w:color w:val="0000FF"/>
          <w:sz w:val="24"/>
          <w:u w:val="single" w:color="0000FF"/>
          <w:lang w:val="sl-SI"/>
        </w:rPr>
      </w:pPr>
      <w:r w:rsidRPr="005539C8">
        <w:rPr>
          <w:rStyle w:val="FootnoteReference"/>
          <w:sz w:val="24"/>
          <w:lang w:val="sl-SI"/>
        </w:rPr>
        <w:footnoteRef/>
      </w:r>
      <w:r w:rsidR="005539C8" w:rsidRPr="005539C8">
        <w:rPr>
          <w:sz w:val="24"/>
          <w:lang w:val="sl-SI"/>
        </w:rPr>
        <w:t xml:space="preserve"> </w:t>
      </w:r>
      <w:r w:rsidR="005539C8" w:rsidRPr="005539C8">
        <w:rPr>
          <w:sz w:val="24"/>
          <w:lang w:val="sl-SI"/>
        </w:rPr>
        <w:tab/>
      </w:r>
      <w:r w:rsidRPr="005539C8">
        <w:rPr>
          <w:sz w:val="24"/>
          <w:lang w:val="sl-SI"/>
        </w:rPr>
        <w:t>UL L 354, 23.12.2016, str. 1.</w:t>
      </w:r>
    </w:p>
  </w:footnote>
  <w:footnote w:id="7">
    <w:p w:rsidR="0073653A" w:rsidRPr="005539C8" w:rsidRDefault="0073653A" w:rsidP="005539C8">
      <w:pPr>
        <w:pStyle w:val="FootnoteText"/>
        <w:ind w:left="567" w:hanging="567"/>
        <w:rPr>
          <w:sz w:val="24"/>
          <w:lang w:val="sl-SI"/>
        </w:rPr>
      </w:pPr>
      <w:r w:rsidRPr="005539C8">
        <w:rPr>
          <w:rStyle w:val="FootnoteReference"/>
          <w:sz w:val="24"/>
          <w:lang w:val="sl-SI"/>
        </w:rPr>
        <w:footnoteRef/>
      </w:r>
      <w:r w:rsidR="005539C8" w:rsidRPr="005539C8">
        <w:rPr>
          <w:sz w:val="24"/>
          <w:lang w:val="sl-SI"/>
        </w:rPr>
        <w:t xml:space="preserve"> </w:t>
      </w:r>
      <w:r w:rsidR="005539C8" w:rsidRPr="005539C8">
        <w:rPr>
          <w:sz w:val="24"/>
          <w:lang w:val="sl-SI"/>
        </w:rPr>
        <w:tab/>
      </w:r>
      <w:r w:rsidRPr="005539C8">
        <w:rPr>
          <w:sz w:val="24"/>
          <w:lang w:val="sl-SI"/>
        </w:rPr>
        <w:t>UL L 248, 22.9.2007, str.</w:t>
      </w:r>
      <w:r w:rsidR="005749F8">
        <w:rPr>
          <w:sz w:val="24"/>
          <w:lang w:val="sl-SI"/>
        </w:rPr>
        <w:t xml:space="preserve"> </w:t>
      </w:r>
      <w:bookmarkStart w:id="8" w:name="_GoBack"/>
      <w:bookmarkEnd w:id="8"/>
      <w:r w:rsidRPr="005539C8">
        <w:rPr>
          <w:sz w:val="24"/>
          <w:lang w:val="sl-SI"/>
        </w:rPr>
        <w:t>17.</w:t>
      </w:r>
    </w:p>
  </w:footnote>
  <w:footnote w:id="8">
    <w:p w:rsidR="0073653A" w:rsidRPr="005539C8" w:rsidRDefault="0073653A" w:rsidP="005539C8">
      <w:pPr>
        <w:pStyle w:val="FootnoteText"/>
        <w:ind w:left="567" w:hanging="567"/>
        <w:rPr>
          <w:color w:val="0000FF"/>
          <w:sz w:val="24"/>
          <w:u w:val="single" w:color="0000FF"/>
          <w:lang w:val="sl-SI"/>
        </w:rPr>
      </w:pPr>
      <w:r w:rsidRPr="005539C8">
        <w:rPr>
          <w:rStyle w:val="FootnoteReference"/>
          <w:sz w:val="24"/>
          <w:lang w:val="sl-SI"/>
        </w:rPr>
        <w:footnoteRef/>
      </w:r>
      <w:r w:rsidR="005539C8" w:rsidRPr="005539C8">
        <w:rPr>
          <w:sz w:val="24"/>
          <w:lang w:val="sl-SI"/>
        </w:rPr>
        <w:t xml:space="preserve"> </w:t>
      </w:r>
      <w:r w:rsidR="005539C8" w:rsidRPr="005539C8">
        <w:rPr>
          <w:sz w:val="24"/>
          <w:lang w:val="sl-SI"/>
        </w:rPr>
        <w:tab/>
      </w:r>
      <w:r w:rsidRPr="005539C8">
        <w:rPr>
          <w:sz w:val="24"/>
          <w:lang w:val="sl-SI"/>
        </w:rPr>
        <w:t>UL L 242, 19.9.2022, str. 1.</w:t>
      </w:r>
    </w:p>
  </w:footnote>
  <w:footnote w:id="9">
    <w:p w:rsidR="0073653A" w:rsidRPr="005539C8" w:rsidRDefault="0073653A" w:rsidP="005539C8">
      <w:pPr>
        <w:pStyle w:val="FootnoteText"/>
        <w:ind w:left="567" w:hanging="567"/>
        <w:rPr>
          <w:sz w:val="24"/>
          <w:lang w:val="sl-SI"/>
        </w:rPr>
      </w:pPr>
      <w:r w:rsidRPr="005539C8">
        <w:rPr>
          <w:rStyle w:val="FootnoteReference"/>
          <w:sz w:val="24"/>
          <w:lang w:val="sl-SI"/>
        </w:rPr>
        <w:footnoteRef/>
      </w:r>
      <w:r w:rsidR="005539C8" w:rsidRPr="005539C8">
        <w:rPr>
          <w:sz w:val="24"/>
          <w:lang w:val="sl-SI"/>
        </w:rPr>
        <w:t xml:space="preserve"> </w:t>
      </w:r>
      <w:r w:rsidR="005539C8" w:rsidRPr="005539C8">
        <w:rPr>
          <w:sz w:val="24"/>
          <w:lang w:val="sl-SI"/>
        </w:rPr>
        <w:tab/>
      </w:r>
      <w:r w:rsidRPr="005539C8">
        <w:rPr>
          <w:sz w:val="24"/>
          <w:lang w:val="sl-SI"/>
        </w:rPr>
        <w:t>UL C 67, 8.2.2022, str. 25.</w:t>
      </w:r>
    </w:p>
  </w:footnote>
  <w:footnote w:id="10">
    <w:p w:rsidR="0073653A" w:rsidRPr="005539C8" w:rsidRDefault="0073653A" w:rsidP="005539C8">
      <w:pPr>
        <w:pStyle w:val="FootnoteText"/>
        <w:ind w:left="567" w:hanging="567"/>
        <w:rPr>
          <w:sz w:val="24"/>
          <w:lang w:val="sl-SI"/>
        </w:rPr>
      </w:pPr>
      <w:r w:rsidRPr="005539C8">
        <w:rPr>
          <w:rStyle w:val="FootnoteReference"/>
          <w:sz w:val="24"/>
          <w:lang w:val="sl-SI"/>
        </w:rPr>
        <w:footnoteRef/>
      </w:r>
      <w:r w:rsidR="005539C8" w:rsidRPr="005539C8">
        <w:rPr>
          <w:sz w:val="24"/>
          <w:lang w:val="sl-SI"/>
        </w:rPr>
        <w:t xml:space="preserve"> </w:t>
      </w:r>
      <w:r w:rsidR="005539C8" w:rsidRPr="005539C8">
        <w:rPr>
          <w:sz w:val="24"/>
          <w:lang w:val="sl-SI"/>
        </w:rPr>
        <w:tab/>
      </w:r>
      <w:r w:rsidRPr="005539C8">
        <w:rPr>
          <w:sz w:val="24"/>
          <w:lang w:val="sl-SI"/>
        </w:rPr>
        <w:t>UL C 456, 10.11.2021, str. 129.</w:t>
      </w:r>
    </w:p>
  </w:footnote>
  <w:footnote w:id="11">
    <w:p w:rsidR="0073653A" w:rsidRPr="005539C8" w:rsidRDefault="0073653A" w:rsidP="005539C8">
      <w:pPr>
        <w:pStyle w:val="FootnoteText"/>
        <w:ind w:left="567" w:hanging="567"/>
        <w:rPr>
          <w:sz w:val="24"/>
          <w:lang w:val="sl-SI"/>
        </w:rPr>
      </w:pPr>
      <w:r w:rsidRPr="005539C8">
        <w:rPr>
          <w:rStyle w:val="FootnoteReference"/>
          <w:sz w:val="24"/>
          <w:lang w:val="sl-SI"/>
        </w:rPr>
        <w:footnoteRef/>
      </w:r>
      <w:r w:rsidR="005539C8" w:rsidRPr="005539C8">
        <w:rPr>
          <w:sz w:val="24"/>
          <w:lang w:val="sl-SI"/>
        </w:rPr>
        <w:t xml:space="preserve"> </w:t>
      </w:r>
      <w:r w:rsidR="005539C8" w:rsidRPr="005539C8">
        <w:rPr>
          <w:sz w:val="24"/>
          <w:lang w:val="sl-SI"/>
        </w:rPr>
        <w:tab/>
      </w:r>
      <w:r w:rsidRPr="005539C8">
        <w:rPr>
          <w:sz w:val="24"/>
          <w:lang w:val="sl-SI"/>
        </w:rPr>
        <w:t>UL C 465, 6.12.2022, str. 2.</w:t>
      </w:r>
    </w:p>
  </w:footnote>
  <w:footnote w:id="12">
    <w:p w:rsidR="0073653A" w:rsidRPr="005539C8" w:rsidRDefault="0073653A" w:rsidP="005539C8">
      <w:pPr>
        <w:pStyle w:val="FootnoteText"/>
        <w:ind w:left="567" w:hanging="567"/>
        <w:rPr>
          <w:sz w:val="24"/>
          <w:lang w:val="sl-SI"/>
        </w:rPr>
      </w:pPr>
      <w:r w:rsidRPr="005539C8">
        <w:rPr>
          <w:rStyle w:val="FootnoteReference"/>
          <w:sz w:val="24"/>
          <w:lang w:val="sl-SI"/>
        </w:rPr>
        <w:footnoteRef/>
      </w:r>
      <w:r w:rsidR="005539C8" w:rsidRPr="005539C8">
        <w:rPr>
          <w:sz w:val="24"/>
          <w:lang w:val="sl-SI"/>
        </w:rPr>
        <w:t xml:space="preserve"> </w:t>
      </w:r>
      <w:r w:rsidR="005539C8" w:rsidRPr="005539C8">
        <w:rPr>
          <w:sz w:val="24"/>
          <w:lang w:val="sl-SI"/>
        </w:rPr>
        <w:tab/>
      </w:r>
      <w:r w:rsidRPr="005539C8">
        <w:rPr>
          <w:sz w:val="24"/>
          <w:lang w:val="sl-SI"/>
        </w:rPr>
        <w:t>UL C 493, 27.12.2022, str. 62.</w:t>
      </w:r>
    </w:p>
  </w:footnote>
  <w:footnote w:id="13">
    <w:p w:rsidR="0073653A" w:rsidRPr="005539C8" w:rsidRDefault="0073653A" w:rsidP="005539C8">
      <w:pPr>
        <w:pStyle w:val="FootnoteText"/>
        <w:ind w:left="567" w:hanging="567"/>
        <w:rPr>
          <w:sz w:val="24"/>
          <w:lang w:val="sl-SI"/>
        </w:rPr>
      </w:pPr>
      <w:r w:rsidRPr="005539C8">
        <w:rPr>
          <w:rStyle w:val="FootnoteReference"/>
          <w:sz w:val="24"/>
          <w:lang w:val="sl-SI"/>
        </w:rPr>
        <w:footnoteRef/>
      </w:r>
      <w:r w:rsidR="005539C8" w:rsidRPr="005539C8">
        <w:rPr>
          <w:sz w:val="24"/>
          <w:lang w:val="sl-SI"/>
        </w:rPr>
        <w:t xml:space="preserve"> </w:t>
      </w:r>
      <w:r w:rsidR="005539C8" w:rsidRPr="005539C8">
        <w:rPr>
          <w:sz w:val="24"/>
          <w:lang w:val="sl-SI"/>
        </w:rPr>
        <w:tab/>
      </w:r>
      <w:r w:rsidRPr="005539C8">
        <w:rPr>
          <w:sz w:val="24"/>
          <w:lang w:val="sl-SI"/>
        </w:rPr>
        <w:t>UL C 132, 14.4.2023, str. 106.</w:t>
      </w:r>
    </w:p>
  </w:footnote>
  <w:footnote w:id="14">
    <w:p w:rsidR="0073653A" w:rsidRPr="005539C8" w:rsidRDefault="0073653A" w:rsidP="005539C8">
      <w:pPr>
        <w:pStyle w:val="FootnoteText"/>
        <w:ind w:left="567" w:hanging="567"/>
        <w:rPr>
          <w:sz w:val="24"/>
          <w:lang w:val="sl-SI"/>
        </w:rPr>
      </w:pPr>
      <w:r w:rsidRPr="005539C8">
        <w:rPr>
          <w:rStyle w:val="FootnoteReference"/>
          <w:sz w:val="24"/>
          <w:lang w:val="sl-SI"/>
        </w:rPr>
        <w:footnoteRef/>
      </w:r>
      <w:r w:rsidR="005539C8" w:rsidRPr="005539C8">
        <w:rPr>
          <w:sz w:val="24"/>
          <w:lang w:val="sl-SI"/>
        </w:rPr>
        <w:t xml:space="preserve"> </w:t>
      </w:r>
      <w:r w:rsidR="005539C8" w:rsidRPr="005539C8">
        <w:rPr>
          <w:sz w:val="24"/>
          <w:lang w:val="sl-SI"/>
        </w:rPr>
        <w:tab/>
      </w:r>
      <w:r w:rsidRPr="005539C8">
        <w:rPr>
          <w:sz w:val="24"/>
          <w:lang w:val="sl-SI"/>
        </w:rPr>
        <w:t>Sprejeta besedila, P9_TA(2023)0132.</w:t>
      </w:r>
    </w:p>
  </w:footnote>
  <w:footnote w:id="15">
    <w:p w:rsidR="0073653A" w:rsidRPr="005539C8" w:rsidRDefault="0073653A" w:rsidP="005539C8">
      <w:pPr>
        <w:pStyle w:val="FootnoteText"/>
        <w:ind w:left="567" w:hanging="567"/>
        <w:rPr>
          <w:sz w:val="24"/>
          <w:lang w:val="sl-SI"/>
        </w:rPr>
      </w:pPr>
      <w:r w:rsidRPr="005539C8">
        <w:rPr>
          <w:rStyle w:val="FootnoteReference"/>
          <w:sz w:val="24"/>
          <w:lang w:val="sl-SI"/>
        </w:rPr>
        <w:footnoteRef/>
      </w:r>
      <w:r w:rsidR="005539C8" w:rsidRPr="005539C8">
        <w:rPr>
          <w:sz w:val="24"/>
          <w:lang w:val="sl-SI"/>
        </w:rPr>
        <w:t xml:space="preserve"> </w:t>
      </w:r>
      <w:r w:rsidR="005539C8" w:rsidRPr="005539C8">
        <w:rPr>
          <w:sz w:val="24"/>
          <w:lang w:val="sl-SI"/>
        </w:rPr>
        <w:tab/>
      </w:r>
      <w:r w:rsidRPr="005539C8">
        <w:rPr>
          <w:sz w:val="24"/>
          <w:lang w:val="sl-SI"/>
        </w:rPr>
        <w:t>Sprejeta besedila, P9_TA(2023)0411.</w:t>
      </w:r>
    </w:p>
  </w:footnote>
  <w:footnote w:id="16">
    <w:p w:rsidR="0073653A" w:rsidRPr="005539C8" w:rsidRDefault="0073653A" w:rsidP="005539C8">
      <w:pPr>
        <w:pStyle w:val="FootnoteText"/>
        <w:ind w:left="567" w:hanging="567"/>
        <w:rPr>
          <w:sz w:val="24"/>
          <w:lang w:val="sl-SI"/>
        </w:rPr>
      </w:pPr>
      <w:r w:rsidRPr="005539C8">
        <w:rPr>
          <w:rStyle w:val="FootnoteReference"/>
          <w:sz w:val="24"/>
          <w:lang w:val="sl-SI"/>
        </w:rPr>
        <w:footnoteRef/>
      </w:r>
      <w:r w:rsidR="005539C8" w:rsidRPr="005539C8">
        <w:rPr>
          <w:sz w:val="24"/>
          <w:lang w:val="sl-SI"/>
        </w:rPr>
        <w:t xml:space="preserve"> </w:t>
      </w:r>
      <w:r w:rsidR="005539C8" w:rsidRPr="005539C8">
        <w:rPr>
          <w:sz w:val="24"/>
          <w:lang w:val="sl-SI"/>
        </w:rPr>
        <w:tab/>
      </w:r>
      <w:r w:rsidRPr="005539C8">
        <w:rPr>
          <w:sz w:val="24"/>
          <w:lang w:val="sl-SI"/>
        </w:rPr>
        <w:t>Ares(2023)3615063.</w:t>
      </w:r>
    </w:p>
  </w:footnote>
  <w:footnote w:id="17">
    <w:p w:rsidR="0073653A" w:rsidRPr="005539C8" w:rsidRDefault="0073653A" w:rsidP="005539C8">
      <w:pPr>
        <w:pStyle w:val="FootnoteText"/>
        <w:ind w:left="567" w:hanging="567"/>
        <w:rPr>
          <w:sz w:val="24"/>
          <w:lang w:val="sl-SI"/>
        </w:rPr>
      </w:pPr>
      <w:r w:rsidRPr="005539C8">
        <w:rPr>
          <w:rStyle w:val="FootnoteReference"/>
          <w:sz w:val="24"/>
          <w:lang w:val="sl-SI"/>
        </w:rPr>
        <w:footnoteRef/>
      </w:r>
      <w:r w:rsidR="005539C8" w:rsidRPr="005539C8">
        <w:rPr>
          <w:sz w:val="24"/>
          <w:lang w:val="sl-SI"/>
        </w:rPr>
        <w:t xml:space="preserve"> </w:t>
      </w:r>
      <w:r w:rsidR="005539C8" w:rsidRPr="005539C8">
        <w:rPr>
          <w:sz w:val="24"/>
          <w:lang w:val="sl-SI"/>
        </w:rPr>
        <w:tab/>
      </w:r>
      <w:r w:rsidRPr="005539C8">
        <w:rPr>
          <w:sz w:val="24"/>
          <w:lang w:val="sl-SI"/>
        </w:rPr>
        <w:t>Sporočilo Komisije z dne 21. februarja 2023 z naslovom Skupna ribiška politika danes in jutri: pakt za ribištvo in oceane za trajnostno, na znanosti temelječe, inovativno in vključujoče upravljanje ribištva (COM(2023)0103).</w:t>
      </w:r>
    </w:p>
  </w:footnote>
  <w:footnote w:id="18">
    <w:p w:rsidR="0073653A" w:rsidRPr="005539C8" w:rsidRDefault="0073653A" w:rsidP="005539C8">
      <w:pPr>
        <w:pStyle w:val="FootnoteText"/>
        <w:ind w:left="567" w:hanging="567"/>
        <w:rPr>
          <w:sz w:val="24"/>
          <w:lang w:val="sl-SI"/>
        </w:rPr>
      </w:pPr>
      <w:r w:rsidRPr="005539C8">
        <w:rPr>
          <w:rStyle w:val="FootnoteReference"/>
          <w:sz w:val="24"/>
          <w:lang w:val="sl-SI"/>
        </w:rPr>
        <w:footnoteRef/>
      </w:r>
      <w:r w:rsidR="005539C8" w:rsidRPr="005539C8">
        <w:rPr>
          <w:sz w:val="24"/>
          <w:lang w:val="sl-SI"/>
        </w:rPr>
        <w:t xml:space="preserve"> </w:t>
      </w:r>
      <w:r w:rsidR="005539C8" w:rsidRPr="005539C8">
        <w:rPr>
          <w:sz w:val="24"/>
          <w:lang w:val="sl-SI"/>
        </w:rPr>
        <w:tab/>
      </w:r>
      <w:r w:rsidRPr="005539C8">
        <w:rPr>
          <w:sz w:val="24"/>
          <w:lang w:val="sl-SI"/>
        </w:rPr>
        <w:t>Direktiva Sveta 92/43/EGS z dne 21. maja 1992 o ohranjanju naravnih habitatov ter prosto živečih živalskih in rastlinskih vrst (UL L 206, 22.7.1992, str. 7).</w:t>
      </w:r>
    </w:p>
  </w:footnote>
  <w:footnote w:id="19">
    <w:p w:rsidR="0073653A" w:rsidRPr="005539C8" w:rsidRDefault="0073653A" w:rsidP="005539C8">
      <w:pPr>
        <w:pStyle w:val="FootnoteText"/>
        <w:ind w:left="567" w:hanging="567"/>
        <w:rPr>
          <w:sz w:val="24"/>
          <w:lang w:val="sl-SI"/>
        </w:rPr>
      </w:pPr>
      <w:r w:rsidRPr="005539C8">
        <w:rPr>
          <w:rStyle w:val="FootnoteReference"/>
          <w:sz w:val="24"/>
          <w:lang w:val="sl-SI"/>
        </w:rPr>
        <w:footnoteRef/>
      </w:r>
      <w:r w:rsidR="005539C8" w:rsidRPr="005539C8">
        <w:rPr>
          <w:sz w:val="24"/>
          <w:lang w:val="sl-SI"/>
        </w:rPr>
        <w:t xml:space="preserve"> </w:t>
      </w:r>
      <w:r w:rsidR="005539C8" w:rsidRPr="005539C8">
        <w:rPr>
          <w:sz w:val="24"/>
          <w:lang w:val="sl-SI"/>
        </w:rPr>
        <w:tab/>
      </w:r>
      <w:r w:rsidRPr="005539C8">
        <w:rPr>
          <w:sz w:val="24"/>
          <w:lang w:val="sl-SI"/>
        </w:rPr>
        <w:t>Uredba (EU) 2019/1241 Evropskega parlamenta in Sveta z dne 20. junija 2019 o ohranjanju ribolovnih virov in varstvu morskih ekosistemov s tehničnimi ukrepi, o spremembi uredb Sveta (ES) št. 1967/2006, (ES) št. 1224/2009 ter uredb (EU) št. 1380/2013, (EU) 2016/1139, (EU) 2018/973, (EU) 2019/472 in (EU) 2019/1022 Evropskega parlamenta in Sveta ter o razveljavitvi uredb Sveta (ES) št. 894/97, (ES) št. 850/98, (ES) št. 2549/2000, (ES) št. 254/2002, (ES) št. 812/2004 in (ES) št. 2187/2005 (UL L 198, 25.7.2019, str. 105).</w:t>
      </w:r>
    </w:p>
  </w:footnote>
  <w:footnote w:id="20">
    <w:p w:rsidR="0073653A" w:rsidRPr="005539C8" w:rsidRDefault="0073653A" w:rsidP="005539C8">
      <w:pPr>
        <w:pStyle w:val="FootnoteText"/>
        <w:ind w:left="567" w:hanging="567"/>
        <w:rPr>
          <w:sz w:val="24"/>
          <w:lang w:val="sl-SI"/>
        </w:rPr>
      </w:pPr>
      <w:r w:rsidRPr="005539C8">
        <w:rPr>
          <w:rStyle w:val="FootnoteReference"/>
          <w:sz w:val="24"/>
          <w:lang w:val="sl-SI"/>
        </w:rPr>
        <w:footnoteRef/>
      </w:r>
      <w:r w:rsidR="005539C8" w:rsidRPr="005539C8">
        <w:rPr>
          <w:sz w:val="24"/>
          <w:lang w:val="sl-SI"/>
        </w:rPr>
        <w:t xml:space="preserve"> </w:t>
      </w:r>
      <w:r w:rsidR="005539C8" w:rsidRPr="005539C8">
        <w:rPr>
          <w:sz w:val="24"/>
          <w:lang w:val="sl-SI"/>
        </w:rPr>
        <w:tab/>
      </w:r>
      <w:r w:rsidRPr="005539C8">
        <w:rPr>
          <w:sz w:val="24"/>
          <w:lang w:val="sl-SI"/>
        </w:rPr>
        <w:t>Uredba Sveta (EU) 2023/194 z dne 30. januarja 2023 o določitvi ribolovnih možnosti za nekatere staleže rib za leto 2023, ki se uporabljajo v vodah Unije in za ribiška plovila Unije v nekaterih vodah zunaj Unije, ter o določitvi ribolovnih možnosti za nekatere staleže globokomorskih rib za leti 2023 in 2024, UL L 28, 31.1.2023, str.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7/2023"/>
    <w:docVar w:name="dvlangue" w:val="SL"/>
    <w:docVar w:name="dvnumam" w:val="0"/>
    <w:docVar w:name="dvpe" w:val="752.944"/>
    <w:docVar w:name="dvrapporteur" w:val="Poročevalec: "/>
    <w:docVar w:name="dvtitre" w:val="Resolucija Evropskega parlamenta z dne xx. januarja 2024 o akcijskem načrtu EU: varstvo in obnova morskih ekosistemov za trajnostno in odporno ribištvo(2023/2124(INI))"/>
  </w:docVars>
  <w:rsids>
    <w:rsidRoot w:val="00881375"/>
    <w:rsid w:val="00002272"/>
    <w:rsid w:val="00064002"/>
    <w:rsid w:val="000677B9"/>
    <w:rsid w:val="000831BA"/>
    <w:rsid w:val="000A42CC"/>
    <w:rsid w:val="000E7DD9"/>
    <w:rsid w:val="0010095E"/>
    <w:rsid w:val="00125B37"/>
    <w:rsid w:val="00187494"/>
    <w:rsid w:val="001F32AE"/>
    <w:rsid w:val="002767FF"/>
    <w:rsid w:val="00291DBD"/>
    <w:rsid w:val="002B18FE"/>
    <w:rsid w:val="002B5493"/>
    <w:rsid w:val="00343214"/>
    <w:rsid w:val="00361C00"/>
    <w:rsid w:val="00395FA1"/>
    <w:rsid w:val="00396CEA"/>
    <w:rsid w:val="003E15D4"/>
    <w:rsid w:val="00411CCE"/>
    <w:rsid w:val="0041666E"/>
    <w:rsid w:val="00421060"/>
    <w:rsid w:val="00471C19"/>
    <w:rsid w:val="004867E3"/>
    <w:rsid w:val="00494A28"/>
    <w:rsid w:val="004C0004"/>
    <w:rsid w:val="004C5D52"/>
    <w:rsid w:val="0050519A"/>
    <w:rsid w:val="0050604D"/>
    <w:rsid w:val="005072A1"/>
    <w:rsid w:val="00514517"/>
    <w:rsid w:val="00531B18"/>
    <w:rsid w:val="00545827"/>
    <w:rsid w:val="005539C8"/>
    <w:rsid w:val="00560270"/>
    <w:rsid w:val="005749F8"/>
    <w:rsid w:val="005C2568"/>
    <w:rsid w:val="006037C0"/>
    <w:rsid w:val="006631B6"/>
    <w:rsid w:val="00680577"/>
    <w:rsid w:val="006F74FA"/>
    <w:rsid w:val="00731ADD"/>
    <w:rsid w:val="00734777"/>
    <w:rsid w:val="0073653A"/>
    <w:rsid w:val="00747932"/>
    <w:rsid w:val="00751A4A"/>
    <w:rsid w:val="00756632"/>
    <w:rsid w:val="00762C74"/>
    <w:rsid w:val="00786EC0"/>
    <w:rsid w:val="007D1690"/>
    <w:rsid w:val="007E22AD"/>
    <w:rsid w:val="00817416"/>
    <w:rsid w:val="00842779"/>
    <w:rsid w:val="00865F67"/>
    <w:rsid w:val="00881375"/>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87A001"/>
  <w15:chartTrackingRefBased/>
  <w15:docId w15:val="{4767A8A8-BA6E-45DB-B946-2C8CA2E48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3653A"/>
    <w:pPr>
      <w:spacing w:before="480" w:after="240"/>
    </w:pPr>
    <w:rPr>
      <w:snapToGrid w:val="0"/>
      <w:lang w:eastAsia="en-US"/>
    </w:rPr>
  </w:style>
  <w:style w:type="paragraph" w:customStyle="1" w:styleId="NormalHanging12a">
    <w:name w:val="NormalHanging12a"/>
    <w:basedOn w:val="Normal"/>
    <w:link w:val="NormalHanging12aChar"/>
    <w:rsid w:val="0073653A"/>
    <w:pPr>
      <w:widowControl/>
      <w:spacing w:after="240"/>
      <w:ind w:left="567" w:hanging="567"/>
    </w:pPr>
    <w:rPr>
      <w:snapToGrid w:val="0"/>
      <w:lang w:eastAsia="en-US"/>
    </w:rPr>
  </w:style>
  <w:style w:type="paragraph" w:customStyle="1" w:styleId="NormalCenter12a">
    <w:name w:val="NormalCenter12a"/>
    <w:basedOn w:val="Normal"/>
    <w:rsid w:val="0073653A"/>
    <w:pPr>
      <w:spacing w:after="240"/>
      <w:jc w:val="center"/>
    </w:pPr>
  </w:style>
  <w:style w:type="character" w:customStyle="1" w:styleId="BoldItalic">
    <w:name w:val="BoldItalic"/>
    <w:uiPriority w:val="1"/>
    <w:rsid w:val="0073653A"/>
    <w:rPr>
      <w:b/>
      <w:i/>
      <w:u w:val="none"/>
    </w:rPr>
  </w:style>
  <w:style w:type="character" w:customStyle="1" w:styleId="Italic">
    <w:name w:val="Italic"/>
    <w:uiPriority w:val="1"/>
    <w:rsid w:val="0073653A"/>
    <w:rPr>
      <w:i/>
    </w:rPr>
  </w:style>
  <w:style w:type="paragraph" w:customStyle="1" w:styleId="Normal12a24b">
    <w:name w:val="Normal12a24b"/>
    <w:basedOn w:val="Normal"/>
    <w:rsid w:val="0073653A"/>
    <w:pPr>
      <w:spacing w:before="360" w:after="240"/>
    </w:pPr>
    <w:rPr>
      <w:snapToGrid w:val="0"/>
      <w:lang w:eastAsia="en-US"/>
    </w:rPr>
  </w:style>
  <w:style w:type="character" w:customStyle="1" w:styleId="NormalHanging12aChar">
    <w:name w:val="NormalHanging12a Char"/>
    <w:basedOn w:val="DefaultParagraphFont"/>
    <w:link w:val="NormalHanging12a"/>
    <w:rsid w:val="0073653A"/>
    <w:rPr>
      <w:snapToGrid w:val="0"/>
      <w:sz w:val="24"/>
      <w:lang w:val="sl-SI" w:eastAsia="en-US"/>
    </w:rPr>
  </w:style>
  <w:style w:type="paragraph" w:customStyle="1" w:styleId="Normal6">
    <w:name w:val="Normal6"/>
    <w:basedOn w:val="Normal"/>
    <w:link w:val="Normal6Char"/>
    <w:rsid w:val="0073653A"/>
    <w:pPr>
      <w:spacing w:after="120"/>
    </w:pPr>
  </w:style>
  <w:style w:type="character" w:customStyle="1" w:styleId="Normal6Char">
    <w:name w:val="Normal6 Char"/>
    <w:basedOn w:val="DefaultParagraphFont"/>
    <w:link w:val="Normal6"/>
    <w:rsid w:val="0073653A"/>
    <w:rPr>
      <w:sz w:val="24"/>
      <w:lang w:val="sl-SI"/>
    </w:rPr>
  </w:style>
  <w:style w:type="paragraph" w:styleId="BalloonText">
    <w:name w:val="Balloon Text"/>
    <w:basedOn w:val="Normal"/>
    <w:link w:val="BalloonTextChar"/>
    <w:rsid w:val="00531B18"/>
    <w:rPr>
      <w:rFonts w:ascii="Segoe UI" w:hAnsi="Segoe UI" w:cs="Segoe UI"/>
      <w:sz w:val="18"/>
      <w:szCs w:val="18"/>
    </w:rPr>
  </w:style>
  <w:style w:type="character" w:customStyle="1" w:styleId="BalloonTextChar">
    <w:name w:val="Balloon Text Char"/>
    <w:basedOn w:val="DefaultParagraphFont"/>
    <w:link w:val="BalloonText"/>
    <w:rsid w:val="00531B18"/>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8AD8E-C345-4D49-BC2F-14A0C48FE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5853</Words>
  <Characters>33363</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TERBOVC Spela</cp:lastModifiedBy>
  <cp:revision>2</cp:revision>
  <cp:lastPrinted>2004-11-19T15:42:00Z</cp:lastPrinted>
  <dcterms:created xsi:type="dcterms:W3CDTF">2024-02-26T09:02:00Z</dcterms:created>
  <dcterms:modified xsi:type="dcterms:W3CDTF">2024-02-26T09:02:00Z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A9-0437/2023</vt:lpwstr>
  </property>
  <property fmtid="{D5CDD505-2E9C-101B-9397-08002B2CF9AE}" pid="4" name="&lt;Type&gt;">
    <vt:lpwstr>RR</vt:lpwstr>
  </property>
</Properties>
</file>