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50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50D9" w:rsidRDefault="00AD04F4" w:rsidP="0010095E">
            <w:pPr>
              <w:pStyle w:val="EPName"/>
            </w:pPr>
            <w:r w:rsidRPr="00B850D9">
              <w:t>Parlament Europejski</w:t>
            </w:r>
          </w:p>
          <w:p w:rsidR="00751A4A" w:rsidRPr="00B850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50D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850D9" w:rsidRDefault="00187494" w:rsidP="0010095E">
            <w:pPr>
              <w:pStyle w:val="EPLogo"/>
            </w:pPr>
            <w:r w:rsidRPr="00B850D9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50D9" w:rsidRDefault="00D058B8" w:rsidP="004C5D52">
      <w:pPr>
        <w:pStyle w:val="LineTop"/>
      </w:pPr>
    </w:p>
    <w:p w:rsidR="00680577" w:rsidRPr="00B850D9" w:rsidRDefault="00AD04F4" w:rsidP="00680577">
      <w:pPr>
        <w:pStyle w:val="EPBodyTA1"/>
      </w:pPr>
      <w:r w:rsidRPr="00B850D9">
        <w:t>TEKSTY PRZYJĘTE</w:t>
      </w:r>
    </w:p>
    <w:p w:rsidR="00D058B8" w:rsidRPr="00B850D9" w:rsidRDefault="00D058B8" w:rsidP="00D058B8">
      <w:pPr>
        <w:pStyle w:val="LineBottom"/>
      </w:pPr>
    </w:p>
    <w:p w:rsidR="00AD04F4" w:rsidRPr="00B850D9" w:rsidRDefault="00AD04F4" w:rsidP="00AD04F4">
      <w:pPr>
        <w:pStyle w:val="ATHeading1"/>
      </w:pPr>
      <w:bookmarkStart w:id="0" w:name="TANumber"/>
      <w:r w:rsidRPr="00B850D9">
        <w:t>P9_TA(2024)00</w:t>
      </w:r>
      <w:bookmarkEnd w:id="0"/>
      <w:r w:rsidR="00612369">
        <w:t>47</w:t>
      </w:r>
    </w:p>
    <w:p w:rsidR="00AD04F4" w:rsidRPr="00B850D9" w:rsidRDefault="00347781" w:rsidP="00347781">
      <w:pPr>
        <w:pStyle w:val="ATHeading2"/>
      </w:pPr>
      <w:r w:rsidRPr="00347781">
        <w:t>Wykonanie rozporządzenia (UE) nr 1379/2013 w sprawie wspólnej organizacji rynków produktów</w:t>
      </w:r>
      <w:r>
        <w:t xml:space="preserve"> </w:t>
      </w:r>
      <w:r w:rsidRPr="00347781">
        <w:t>rybołówstwa i akwakultury</w:t>
      </w:r>
    </w:p>
    <w:p w:rsidR="00AD04F4" w:rsidRPr="00B850D9" w:rsidRDefault="00AD04F4" w:rsidP="00AD04F4">
      <w:pPr>
        <w:rPr>
          <w:i/>
          <w:vanish/>
        </w:rPr>
      </w:pPr>
      <w:r w:rsidRPr="00B850D9">
        <w:rPr>
          <w:i/>
        </w:rPr>
        <w:fldChar w:fldCharType="begin"/>
      </w:r>
      <w:r w:rsidRPr="00B850D9">
        <w:rPr>
          <w:i/>
        </w:rPr>
        <w:instrText xml:space="preserve"> TC"(</w:instrText>
      </w:r>
      <w:bookmarkStart w:id="1" w:name="DocNumber"/>
      <w:r w:rsidRPr="00B850D9">
        <w:rPr>
          <w:i/>
        </w:rPr>
        <w:instrText>A9-0406/2023</w:instrText>
      </w:r>
      <w:bookmarkEnd w:id="1"/>
      <w:r w:rsidRPr="00B850D9">
        <w:rPr>
          <w:i/>
        </w:rPr>
        <w:instrText xml:space="preserve"> - Sprawozdawca: Izaskun Bilbao Barandica)"\l3 \n&gt; \* MERGEFORMAT </w:instrText>
      </w:r>
      <w:r w:rsidRPr="00B850D9">
        <w:rPr>
          <w:i/>
        </w:rPr>
        <w:fldChar w:fldCharType="end"/>
      </w:r>
    </w:p>
    <w:p w:rsidR="00AD04F4" w:rsidRPr="00B850D9" w:rsidRDefault="00AD04F4" w:rsidP="00AD04F4">
      <w:pPr>
        <w:rPr>
          <w:vanish/>
        </w:rPr>
      </w:pPr>
      <w:bookmarkStart w:id="2" w:name="Commission"/>
      <w:r w:rsidRPr="00B850D9">
        <w:rPr>
          <w:vanish/>
        </w:rPr>
        <w:t>Komisja Rybołówstwa</w:t>
      </w:r>
      <w:bookmarkEnd w:id="2"/>
    </w:p>
    <w:p w:rsidR="00AD04F4" w:rsidRPr="00B850D9" w:rsidRDefault="00AD04F4" w:rsidP="00AD04F4">
      <w:pPr>
        <w:rPr>
          <w:vanish/>
        </w:rPr>
      </w:pPr>
      <w:bookmarkStart w:id="3" w:name="PE"/>
      <w:r w:rsidRPr="00B850D9">
        <w:rPr>
          <w:vanish/>
        </w:rPr>
        <w:t>PE750.124</w:t>
      </w:r>
      <w:bookmarkEnd w:id="3"/>
    </w:p>
    <w:p w:rsidR="00AD04F4" w:rsidRPr="00B850D9" w:rsidRDefault="00AD04F4" w:rsidP="00AD04F4">
      <w:pPr>
        <w:pStyle w:val="ATHeading3"/>
      </w:pPr>
      <w:bookmarkStart w:id="4" w:name="Sujet"/>
      <w:r w:rsidRPr="00B850D9">
        <w:t xml:space="preserve">Rezolucja Parlamentu Europejskiego z dnia </w:t>
      </w:r>
      <w:r w:rsidR="00612369">
        <w:t>18</w:t>
      </w:r>
      <w:r w:rsidR="00347781">
        <w:t xml:space="preserve"> stycznia</w:t>
      </w:r>
      <w:r w:rsidRPr="00B850D9">
        <w:t xml:space="preserve"> 2024 r. w sprawie wykonania rozporządzenia (UE) nr 1379/2013 w sprawie wspólnej organizacji rynków produktów rybołówstwa i akwakultury</w:t>
      </w:r>
      <w:bookmarkEnd w:id="4"/>
      <w:r w:rsidRPr="00B850D9">
        <w:t xml:space="preserve"> </w:t>
      </w:r>
      <w:bookmarkStart w:id="5" w:name="References"/>
      <w:r w:rsidRPr="00B850D9">
        <w:t>(2023/2049(INI))</w:t>
      </w:r>
      <w:bookmarkEnd w:id="5"/>
    </w:p>
    <w:p w:rsidR="00AD04F4" w:rsidRPr="00B850D9" w:rsidRDefault="00AD04F4" w:rsidP="00AD04F4"/>
    <w:p w:rsidR="00DA313C" w:rsidRPr="00B850D9" w:rsidRDefault="00DA313C" w:rsidP="00DA313C">
      <w:pPr>
        <w:pStyle w:val="EPComma"/>
      </w:pPr>
      <w:bookmarkStart w:id="6" w:name="TextBodyBegin"/>
      <w:bookmarkEnd w:id="6"/>
      <w:r w:rsidRPr="00B850D9">
        <w:rPr>
          <w:i/>
        </w:rPr>
        <w:t>Parlament Europejski</w:t>
      </w:r>
      <w:r w:rsidRPr="00B850D9">
        <w:t>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rozporządzenie Parlamentu Europejskiego i Rady (UE) nr 1379/2013 z dnia 11 grudnia 2013 r. w sprawie wspólnej organizacji rynków produktów rybołówstwa i akwakultury, zmieniające rozporządzenia Rady (WE) nr 1184/2006 i (WE) nr 1224/2009 oraz uchylające rozporządzenie Rady (WE) nr 104/2000</w:t>
      </w:r>
      <w:r w:rsidRPr="00B850D9">
        <w:rPr>
          <w:rStyle w:val="FootnoteReference"/>
        </w:rPr>
        <w:footnoteReference w:id="1"/>
      </w:r>
      <w:r w:rsidRPr="00B850D9">
        <w:t xml:space="preserve"> (rozporządzenie o wspólnej organizacji rynków), a także jego wykonanie,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Traktat o funkcjonowaniu Unii Europejskiej (TFUE), w szczególności jego art. 349,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sprawozdanie Komisji dla Parlamentu Europejskiego i Rady z dnia 21 lutego 2023 r. pt. „Wykonanie rozporządzenia (UE) nr 1379/2013 w sprawie wspólnej organizacji rynków produktów rybołówstwa i akwakultury” (COM(2023)0101),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komunikat Komisji z dnia 20 maja 2020 r. zatytułowany „Strategia »Od pola do stołu« na rzecz sprawiedliwego, zdrowego i przyjaznego dla środowiska systemu żywnościowego” (COM(2020)0381),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swoją rezolucję z dnia 20 października 2021 r. w sprawie strategii „Od pola do stołu” na rzecz sprawiedliwego, zdrowego i przyjaznego dla środowiska systemu żywnościowego</w:t>
      </w:r>
      <w:r w:rsidRPr="00B850D9">
        <w:rPr>
          <w:rStyle w:val="FootnoteReference"/>
        </w:rPr>
        <w:footnoteReference w:id="2"/>
      </w:r>
      <w:r w:rsidRPr="00B850D9">
        <w:t>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swoją rezolucję z dnia 19 stycznia 2023 r. w sprawie obecnej sytuacji i perspektyw rybołówstwa łodziowego w UE</w:t>
      </w:r>
      <w:r w:rsidRPr="00B850D9">
        <w:rPr>
          <w:rStyle w:val="FootnoteReference"/>
        </w:rPr>
        <w:footnoteReference w:id="3"/>
      </w:r>
      <w:r w:rsidRPr="00B850D9">
        <w:t>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 xml:space="preserve">uwzględniając wyniki negocjacji dotyczących rozporządzenia w sprawie kontroli </w:t>
      </w:r>
      <w:r w:rsidRPr="00B850D9">
        <w:lastRenderedPageBreak/>
        <w:t>rybołówstwa,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sprawozdanie Komitetu Naukowo-Technicznego i Ekonomicznego ds. Rybołówstwa (STECF) z 2020 r. w sprawie kryteriów i wskaźników mających na celu włączenie aspektów zrównoważonego rozwoju dotyczących produktów żywnościowych pochodzenia morskiego do standardów sprzedaży w ramach wspólnej organizacji rynków (STECF-20-05),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specjalne sprawozdanie Eurobarometr nr 515 z 2021 r. pt. „EU consumer habits regarding fishery and aquaculture products” [Nawyki konsumentów w UE w odniesieniu do produktów rybołówstwa i akwakultury],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komunikat Komisji z dnia 3 maja 2022 r. pt. „Postawienie ludzi na pierwszym miejscu, zapewnienie trwałego wzrostu gospodarczego sprzyjającego włączeniu społecznemu, uwolnienie potencjału regionów najbardziej oddalonych UE” (COM(2022)0198),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art. 54 Regulaminu oraz art. 1 ust. 1 lit. e) i załącznik 3 do decyzji Konferencji Przewodniczących z dnia 12 grudnia 2002 r. dotyczącej procedury udzielania zgody na sporządzanie sprawozdań z własnej inicjatywy,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opinię Komitetu Doradczego ds. Rynków (MAC</w:t>
      </w:r>
      <w:proofErr w:type="gramStart"/>
      <w:r w:rsidRPr="00B850D9">
        <w:t>)</w:t>
      </w:r>
      <w:r w:rsidRPr="00B850D9">
        <w:rPr>
          <w:rStyle w:val="FootnoteReference"/>
        </w:rPr>
        <w:footnoteReference w:id="4"/>
      </w:r>
      <w:r w:rsidRPr="00B850D9">
        <w:t xml:space="preserve"> z</w:t>
      </w:r>
      <w:proofErr w:type="gramEnd"/>
      <w:r w:rsidRPr="00B850D9">
        <w:t xml:space="preserve"> dnia 30 marca 2022 r. na temat sprawozdania Komisji z wykonania rozporządzenia (UE) nr 1379/2013 w sprawie wspólnej organizacji rynków produktów rybołówstwa i akwakultury (COM(2023)0101),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opinię Komitetu Doradczego ds. Rynków (MAC)</w:t>
      </w:r>
      <w:r w:rsidRPr="00B850D9">
        <w:rPr>
          <w:rStyle w:val="FootnoteReference"/>
        </w:rPr>
        <w:footnoteReference w:id="5"/>
      </w:r>
      <w:r w:rsidRPr="00B850D9">
        <w:t xml:space="preserve"> z dnia 8 maja 2023</w:t>
      </w:r>
      <w:r w:rsidR="006B2429">
        <w:t xml:space="preserve"> r.</w:t>
      </w:r>
      <w:bookmarkStart w:id="7" w:name="_GoBack"/>
      <w:bookmarkEnd w:id="7"/>
      <w:r w:rsidRPr="00B850D9">
        <w:t xml:space="preserve"> pt. „Poprawa przepisów dotyczących etykietowania produktów pochodzenia roślinnego imitujących produkty rybołówstwa i akwakultury”,</w:t>
      </w:r>
    </w:p>
    <w:p w:rsidR="00DA313C" w:rsidRPr="00B850D9" w:rsidRDefault="00DA313C" w:rsidP="00DA313C">
      <w:pPr>
        <w:pStyle w:val="NormalHanging12a"/>
      </w:pPr>
      <w:r w:rsidRPr="00B850D9">
        <w:t>–</w:t>
      </w:r>
      <w:r w:rsidRPr="00B850D9">
        <w:tab/>
        <w:t>uwzględniając sprawozdanie Komisji Rybołówstwa (A9-0406/2023),</w:t>
      </w:r>
    </w:p>
    <w:p w:rsidR="00DA313C" w:rsidRPr="00B850D9" w:rsidRDefault="00DA313C" w:rsidP="00DA313C">
      <w:pPr>
        <w:pStyle w:val="NormalHanging12a"/>
      </w:pPr>
      <w:r w:rsidRPr="00B850D9">
        <w:t>A.</w:t>
      </w:r>
      <w:r w:rsidRPr="00B850D9">
        <w:tab/>
      </w:r>
      <w:proofErr w:type="gramStart"/>
      <w:r w:rsidRPr="00B850D9">
        <w:t>mając</w:t>
      </w:r>
      <w:proofErr w:type="gramEnd"/>
      <w:r w:rsidRPr="00B850D9">
        <w:t xml:space="preserve"> na uwadze, że w rezolucji w sprawie strategii „Od pola do stołu” Parlament podkreślił, że dobre mechanizmy identyfikowalności, które odpowiadają zapotrzebowaniu konsumentów poprzez informowanie o tym gdzie, kiedy, w jaki sposób i jakie gatunki ryb zostały złowione lub wyhodowane, w tym w odniesieniu do produktów przywożonych spoza UE, mają zasadnicze znaczenie dla zapewnienia bezpieczeństwa żywności, zagwarantowania przejrzystości dla konsumentów, zwalczania nielegalnych, nieraportowanych i nieuregulowanych połowów oraz osiągnięcia celów Zielonego Ładu i celów zrównoważonego rozwoju;</w:t>
      </w:r>
    </w:p>
    <w:p w:rsidR="00DA313C" w:rsidRPr="00B850D9" w:rsidRDefault="00DA313C" w:rsidP="00DA313C">
      <w:pPr>
        <w:pStyle w:val="NormalHanging12a"/>
      </w:pPr>
      <w:r w:rsidRPr="00B850D9">
        <w:t>B.</w:t>
      </w:r>
      <w:r w:rsidRPr="00B850D9">
        <w:tab/>
        <w:t xml:space="preserve">mając na uwadze, że niedawno zmienione rozporządzenie w sprawie kontroli rybołówstwa zawiera istotne ulepszenia przepisów dotyczących identyfikowalności wszystkich produktów rybołówstwa i akwakultury; mając na uwadze, że po okresie </w:t>
      </w:r>
      <w:r w:rsidRPr="00B850D9">
        <w:lastRenderedPageBreak/>
        <w:t>przejściowym przepisy te będą wdrażane stopniowo – dwa lata w przypadku produktów świeżych i mrożonych oraz pięć lat w przypadku produktów przetworzonych – i zapewnią konsumentom dokładne informacje; mając na uwadze, że lepsze etykietowanie będzie narzędziem, które przyczyni się do zwalczania połowów NNN i do zapewnienia uczciwej konkurencji;</w:t>
      </w:r>
    </w:p>
    <w:p w:rsidR="00DA313C" w:rsidRPr="00B850D9" w:rsidRDefault="00DA313C" w:rsidP="00DA313C">
      <w:pPr>
        <w:pStyle w:val="NormalHanging12a"/>
      </w:pPr>
      <w:r w:rsidRPr="00B850D9">
        <w:t>C.</w:t>
      </w:r>
      <w:r w:rsidRPr="00B850D9">
        <w:tab/>
      </w:r>
      <w:proofErr w:type="gramStart"/>
      <w:r w:rsidRPr="00B850D9">
        <w:t>mając</w:t>
      </w:r>
      <w:proofErr w:type="gramEnd"/>
      <w:r w:rsidRPr="00B850D9">
        <w:t xml:space="preserve"> na uwadze, że zdaniem ponad trzech czwartych respondentów uczestniczących w specjalnym badaniu Eurobarometru nr 515 z 2021 r. data połowu lub produkcji powinna być podana na etykiecie wszystkich produktów rybołówstwa i akwakultury;</w:t>
      </w:r>
    </w:p>
    <w:p w:rsidR="00DA313C" w:rsidRPr="00B850D9" w:rsidRDefault="00DA313C" w:rsidP="00DA313C">
      <w:pPr>
        <w:pStyle w:val="NormalHanging12a"/>
      </w:pPr>
      <w:r w:rsidRPr="00B850D9">
        <w:t>D.</w:t>
      </w:r>
      <w:r w:rsidRPr="00B850D9">
        <w:tab/>
      </w:r>
      <w:proofErr w:type="gramStart"/>
      <w:r w:rsidRPr="00B850D9">
        <w:t>mając</w:t>
      </w:r>
      <w:proofErr w:type="gramEnd"/>
      <w:r w:rsidRPr="00B850D9">
        <w:t xml:space="preserve"> na uwadze, że w związku z wykonaniem rozporządzenia o wspólnej organizacji rynków widoczna jest niewielka skala tworzenia organizacji producentów ze względu na złożone ramy ich tworzenia i uznawania w państwach członkowskich oraz niepewność aspektów finansowych i prawnych dotyczących wsparcia finansowego i kwalifikowalności działań; mając na uwadze, że należy uwzględniać także przeszkody napotykane przez inne organizacje, takie jak </w:t>
      </w:r>
      <w:r w:rsidRPr="00B850D9">
        <w:rPr>
          <w:i/>
        </w:rPr>
        <w:t>Cofradias</w:t>
      </w:r>
      <w:r w:rsidRPr="00B850D9">
        <w:t xml:space="preserve"> oraz </w:t>
      </w:r>
      <w:r w:rsidRPr="00B850D9">
        <w:rPr>
          <w:i/>
        </w:rPr>
        <w:t>Prud’homies de pêche</w:t>
      </w:r>
      <w:r w:rsidRPr="00B850D9">
        <w:t>;</w:t>
      </w:r>
    </w:p>
    <w:p w:rsidR="00DA313C" w:rsidRPr="00B850D9" w:rsidRDefault="00DA313C" w:rsidP="00DA313C">
      <w:pPr>
        <w:pStyle w:val="NormalHanging12a"/>
      </w:pPr>
      <w:r w:rsidRPr="00B850D9">
        <w:t>E.</w:t>
      </w:r>
      <w:r w:rsidRPr="00B850D9">
        <w:tab/>
      </w:r>
      <w:proofErr w:type="gramStart"/>
      <w:r w:rsidRPr="00B850D9">
        <w:t>mając</w:t>
      </w:r>
      <w:proofErr w:type="gramEnd"/>
      <w:r w:rsidRPr="00B850D9">
        <w:t xml:space="preserve"> na uwadze, że warunki działalności w regionach najbardziej oddalonych wymagają wyjątkowych i odpowiednich rozwiązań, aby sprostać wyzwaniom związanym z rozwojem endogenicznym i samowystarczalnością żywnościową;</w:t>
      </w:r>
    </w:p>
    <w:p w:rsidR="00DA313C" w:rsidRPr="00B850D9" w:rsidRDefault="00DA313C" w:rsidP="00DA313C">
      <w:pPr>
        <w:pStyle w:val="NormalHanging12a"/>
      </w:pPr>
      <w:r w:rsidRPr="00B850D9">
        <w:rPr>
          <w:b/>
          <w:i/>
        </w:rPr>
        <w:t>Wprowadzenie</w:t>
      </w:r>
    </w:p>
    <w:p w:rsidR="00DA313C" w:rsidRPr="00B850D9" w:rsidRDefault="00DA313C" w:rsidP="00DA313C">
      <w:pPr>
        <w:pStyle w:val="NormalHanging12a"/>
      </w:pPr>
      <w:r w:rsidRPr="00B850D9">
        <w:t>1.</w:t>
      </w:r>
      <w:r w:rsidRPr="00B850D9">
        <w:tab/>
      </w:r>
      <w:proofErr w:type="gramStart"/>
      <w:r w:rsidRPr="00B850D9">
        <w:t>przypomina</w:t>
      </w:r>
      <w:proofErr w:type="gramEnd"/>
      <w:r w:rsidRPr="00B850D9">
        <w:t>, że wspólna organizacja rynków (WOR) stanowi integralną część wspólnej polityki rybołówstwa (WPRyb), obok środków ochrony i środków finansowych, i ma zasadnicze znaczenie dla osiągnięcia ich celów;</w:t>
      </w:r>
    </w:p>
    <w:p w:rsidR="00DA313C" w:rsidRPr="00B850D9" w:rsidRDefault="00DA313C" w:rsidP="00DA313C">
      <w:pPr>
        <w:pStyle w:val="NormalHanging12a"/>
      </w:pPr>
      <w:r w:rsidRPr="00B850D9">
        <w:t>2.</w:t>
      </w:r>
      <w:r w:rsidRPr="00B850D9">
        <w:tab/>
      </w:r>
      <w:proofErr w:type="gramStart"/>
      <w:r w:rsidRPr="00B850D9">
        <w:t>podkreśla</w:t>
      </w:r>
      <w:proofErr w:type="gramEnd"/>
      <w:r w:rsidRPr="00B850D9">
        <w:t>, że przegląd rozporządzenia o wspólnej organizacji rynków z 2013 r. spowodował odejście od niektórych rodzajów interwencji na rzecz podejścia bardziej ukierunkowanego na rynek długoterminowy, ze szczególnym uwzględnieniem rozwoju i innowacji w tym sektorze, bez wystarczającego uwzględnienia wyjątkowej sytuacji regionów, o których mowa w art. 349 TFUE;</w:t>
      </w:r>
    </w:p>
    <w:p w:rsidR="00DA313C" w:rsidRPr="00B850D9" w:rsidRDefault="00DA313C" w:rsidP="00DA313C">
      <w:pPr>
        <w:pStyle w:val="Subheading"/>
        <w:spacing w:before="0"/>
      </w:pPr>
      <w:r w:rsidRPr="00B850D9">
        <w:t>Organizacje zawodowe</w:t>
      </w:r>
    </w:p>
    <w:p w:rsidR="00DA313C" w:rsidRPr="00B850D9" w:rsidRDefault="00DA313C" w:rsidP="00DA313C">
      <w:pPr>
        <w:pStyle w:val="NormalHanging12a"/>
      </w:pPr>
      <w:r w:rsidRPr="00B850D9">
        <w:t>3.</w:t>
      </w:r>
      <w:r w:rsidRPr="00B850D9">
        <w:tab/>
      </w:r>
      <w:proofErr w:type="gramStart"/>
      <w:r w:rsidRPr="00B850D9">
        <w:t>uważa</w:t>
      </w:r>
      <w:proofErr w:type="gramEnd"/>
      <w:r w:rsidRPr="00B850D9">
        <w:t>, że organizacje producentów i organizacje międzybranżowe stanowią trzon sektora rybołówstwa i akwakultury, gdyż wspierają bieżące zarządzanie WPRyb i umożliwiają jej wspólne wdrażanie na poziomie producentów, a także zapewniają dostarczanie zdrowych źródeł białka oraz utrzymują działalność gospodarczą i dziedzictwo kulturowe stref przybrzeżnych;</w:t>
      </w:r>
    </w:p>
    <w:p w:rsidR="00DA313C" w:rsidRPr="00B850D9" w:rsidRDefault="00DA313C" w:rsidP="00DA313C">
      <w:pPr>
        <w:pStyle w:val="NormalHanging12a"/>
      </w:pPr>
      <w:r w:rsidRPr="00B850D9">
        <w:t>4.</w:t>
      </w:r>
      <w:r w:rsidRPr="00B850D9">
        <w:tab/>
      </w:r>
      <w:proofErr w:type="gramStart"/>
      <w:r w:rsidRPr="00B850D9">
        <w:t>jest</w:t>
      </w:r>
      <w:proofErr w:type="gramEnd"/>
      <w:r w:rsidRPr="00B850D9">
        <w:t xml:space="preserve"> zdania, że organizacje producentów i organizacje międzybranżowe odgrywają kluczową rolę w dążeniu do osiągnięcia celów WPRyb, w związku z czym należy je nadal wspierać i wzmacniać; zwraca uwagę, że należy nadal zachęcać do promowania, tworzenia i konsolidacji organizacji producentów i organizacji międzybranżowych w całej UE, w tym do poprawy ich wsparcia finansowego (które jest różne w poszczególnych państwach członkowskich), zwłaszcza w państwach członkowskich, w których produkcja podstawowa pozostaje w dużej mierze rozdrobniona (akwakultura, zbieracze skorupiaków, rybołówstwo łodziowe); uważa, że silna obecność organizacji producentów i organizacji międzybranżowych ma kluczowe znaczenie dla zwiększenia dobrobytu społeczności nadbrzeżnych i wyspiarskich, ochrony środowiska morskiego </w:t>
      </w:r>
      <w:proofErr w:type="gramStart"/>
      <w:r w:rsidRPr="00B850D9">
        <w:lastRenderedPageBreak/>
        <w:t>oraz</w:t>
      </w:r>
      <w:proofErr w:type="gramEnd"/>
      <w:r w:rsidRPr="00B850D9">
        <w:t xml:space="preserve"> wzmocnienia pozycji rybaków i producentów akwakultury w łańcuchu dostaw, a także promowania zrównoważonego rybołówstwa i akwakultury, zwłaszcza w regionach najbardziej oddalonych;</w:t>
      </w:r>
    </w:p>
    <w:p w:rsidR="00DA313C" w:rsidRPr="00B850D9" w:rsidRDefault="00DA313C" w:rsidP="00DA313C">
      <w:pPr>
        <w:pStyle w:val="NormalHanging12a"/>
      </w:pPr>
      <w:r w:rsidRPr="00B850D9">
        <w:t>5.</w:t>
      </w:r>
      <w:r w:rsidRPr="00B850D9">
        <w:tab/>
      </w:r>
      <w:proofErr w:type="gramStart"/>
      <w:r w:rsidRPr="00B850D9">
        <w:t>z</w:t>
      </w:r>
      <w:proofErr w:type="gramEnd"/>
      <w:r w:rsidRPr="00B850D9">
        <w:t xml:space="preserve"> zadowoleniem odnotowuje uznanie przez Komisję, że plany produkcji i wprowadzania do obrotu mają kluczowe znaczenie dla osiągnięcia celów wyznaczonych dla wspólnej organizacji rynków w art. 35 rozporządzenia w sprawie WPRyb oraz że silna obecność dobrze funkcjonujących organizacji producentów jest decydującym czynnikiem; zwraca jednak uwagę, że należy zrobić więcej, aby wspierać codzienną pracę organizacji producentów przy wdrażaniu planów produkcji i wprowadzania obrotu oraz zapewnić wszystkim organizacjom producentów wymierny dostęp do finansowania; wzywa zatem Komisję do zaktualizowania wytycznych dla personelu w tym zakresie oraz do podjęcia działań w celu ułatwienia w większej mierze dostępu do rynku wszystkim segmentom floty;</w:t>
      </w:r>
    </w:p>
    <w:p w:rsidR="00DA313C" w:rsidRPr="00B850D9" w:rsidRDefault="00DA313C" w:rsidP="00DA313C">
      <w:pPr>
        <w:pStyle w:val="NormalHanging12a"/>
      </w:pPr>
      <w:r w:rsidRPr="00B850D9">
        <w:t>6.</w:t>
      </w:r>
      <w:r w:rsidRPr="00B850D9">
        <w:tab/>
      </w:r>
      <w:proofErr w:type="gramStart"/>
      <w:r w:rsidRPr="00B850D9">
        <w:t>stwierdza</w:t>
      </w:r>
      <w:proofErr w:type="gramEnd"/>
      <w:r w:rsidRPr="00B850D9">
        <w:t>, że właściwie funkcjonujące organizacje producentów i organizacje międzybranżowe zasadniczo dysponują skutecznymi środkami i prowadzą skuteczne działania, ale zwraca uwagę, że nadal brakuje organizacji producentów i organizacji międzybranżowych zrzeszających rybaków zajmujących się łodziowym rybołówstwem przybrzeżnym, zbieraczy skorupiaków i hodowców z sektora akwakultury, zwłaszcza w regionach najbardziej oddalonych; zwraca uwagę, że przeszkody finansowe w niektórych państwach członkowskich stwarzają trudności, zwłaszcza w sektorze łodziowego rybołówstwa przybrzeżnego; odnotowuje, że obecnie działające organizacje producentów sektora akwakultury odniosły szczególne sukcesy w swoich działaniach promocyjnych i komunikacyjnych;</w:t>
      </w:r>
    </w:p>
    <w:p w:rsidR="00DA313C" w:rsidRPr="00B850D9" w:rsidRDefault="00DA313C" w:rsidP="00DA313C">
      <w:pPr>
        <w:pStyle w:val="NormalHanging12a"/>
      </w:pPr>
      <w:r w:rsidRPr="00B850D9">
        <w:t>7.</w:t>
      </w:r>
      <w:r w:rsidRPr="00B850D9">
        <w:tab/>
      </w:r>
      <w:proofErr w:type="gramStart"/>
      <w:r w:rsidRPr="00B850D9">
        <w:t>z</w:t>
      </w:r>
      <w:proofErr w:type="gramEnd"/>
      <w:r w:rsidRPr="00B850D9">
        <w:t xml:space="preserve"> zadowoleniem odnotowuje uznanie przez Komisję, że finansowanie i tworzenie struktur w celu udostępniania i organizowania wsparcia finansowego dla transgranicznych organizacji zawodowych jest kwestią o zasadniczym znaczeniu; zwraca uwagę, że jest to szczególnie istotne w przypadku zróżnicowanego sektora łodziowego rybołówstwa przybrzeżnego, który stanowi większość floty UE;</w:t>
      </w:r>
    </w:p>
    <w:p w:rsidR="00DA313C" w:rsidRPr="00B850D9" w:rsidRDefault="00DA313C" w:rsidP="00DA313C">
      <w:pPr>
        <w:pStyle w:val="NormalHanging12a"/>
      </w:pPr>
      <w:r w:rsidRPr="00B850D9">
        <w:t>8.</w:t>
      </w:r>
      <w:r w:rsidRPr="00B850D9">
        <w:tab/>
      </w:r>
      <w:proofErr w:type="gramStart"/>
      <w:r w:rsidRPr="00B850D9">
        <w:t>wzywa</w:t>
      </w:r>
      <w:proofErr w:type="gramEnd"/>
      <w:r w:rsidRPr="00B850D9">
        <w:t xml:space="preserve"> państwa członkowskie do zapewnienia odpowiedniego wsparcia administracyjnego i finansowego na rzecz tworzenia i działalności nowych organizacji producentów, zwłaszcza z sektora łodziowego rybołówstwa przybrzeżnego, a w szczególności podkreśla ich znaczenie społeczne i kulturalne; wzywa także państwa członkowskie do wprowadzenia przepisów dotyczących ich uznawania;</w:t>
      </w:r>
    </w:p>
    <w:p w:rsidR="00DA313C" w:rsidRPr="00B850D9" w:rsidRDefault="00DA313C" w:rsidP="00DA313C">
      <w:pPr>
        <w:pStyle w:val="NormalHanging12a"/>
      </w:pPr>
      <w:r w:rsidRPr="00B850D9">
        <w:t>9.</w:t>
      </w:r>
      <w:r w:rsidRPr="00B850D9">
        <w:tab/>
      </w:r>
      <w:proofErr w:type="gramStart"/>
      <w:r w:rsidRPr="00B850D9">
        <w:t>wzywa</w:t>
      </w:r>
      <w:proofErr w:type="gramEnd"/>
      <w:r w:rsidRPr="00B850D9">
        <w:t xml:space="preserve"> państwa członkowskie, aby poprawiły spójność wsparcia organizacji producentów przez organy krajowe oraz zmniejszyły jak najbardziej niedobory i różnice występujące w UE, w tym w odniesieniu do finansowania planów produkcji i wprowadzania do obrotu, aby zapewnić równiejsze warunki działania organizacjom producentów; apeluje do Komisji, aby nadal wspierała państwa członkowskie w tej dziedzinie;</w:t>
      </w:r>
    </w:p>
    <w:p w:rsidR="00DA313C" w:rsidRPr="00B850D9" w:rsidRDefault="00DA313C" w:rsidP="00DA313C">
      <w:pPr>
        <w:pStyle w:val="NormalHanging12a"/>
      </w:pPr>
      <w:r w:rsidRPr="00B850D9">
        <w:t>10.</w:t>
      </w:r>
      <w:r w:rsidRPr="00B850D9">
        <w:tab/>
      </w:r>
      <w:proofErr w:type="gramStart"/>
      <w:r w:rsidRPr="00B850D9">
        <w:t>uważa</w:t>
      </w:r>
      <w:proofErr w:type="gramEnd"/>
      <w:r w:rsidRPr="00B850D9">
        <w:t xml:space="preserve">, że w państwach członkowskich istnieją obecnie organizacje, które wykonują zadania i funkcje wchodzące w zakres kompetencji organizacji producentów i organizacji międzybranżowych, takie jak komitety ds. rybołówstwa </w:t>
      </w:r>
      <w:r w:rsidRPr="00B850D9">
        <w:rPr>
          <w:i/>
        </w:rPr>
        <w:t>Prud’homie de pêche</w:t>
      </w:r>
      <w:r w:rsidRPr="00B850D9">
        <w:t xml:space="preserve"> i </w:t>
      </w:r>
      <w:r w:rsidRPr="00B850D9">
        <w:rPr>
          <w:i/>
        </w:rPr>
        <w:t>Cofradías</w:t>
      </w:r>
      <w:r w:rsidRPr="00B850D9">
        <w:t xml:space="preserve">, ale organizacji tych nie można uznać za organizacje producentów na mocy rozporządzenia o wspólnej organizacji rynków; uważa, że organizacje te odgrywają istotną rolę w zarządzaniu lokalnymi zasobami, przydzielaniu kwot i </w:t>
      </w:r>
      <w:r w:rsidRPr="00B850D9">
        <w:lastRenderedPageBreak/>
        <w:t>rozwiązywaniu kwestii związanych z ochroną zasobów rybnych oraz promowaniu i zachowaniu tradycyjnych produktów, zwłaszcza w niektórych społecznościach nadbrzeżnych;</w:t>
      </w:r>
    </w:p>
    <w:p w:rsidR="00DA313C" w:rsidRPr="00B850D9" w:rsidRDefault="00DA313C" w:rsidP="00DA313C">
      <w:pPr>
        <w:pStyle w:val="NormalHanging12a"/>
      </w:pPr>
      <w:r w:rsidRPr="00B850D9">
        <w:t>11.</w:t>
      </w:r>
      <w:r w:rsidRPr="00B850D9">
        <w:tab/>
      </w:r>
      <w:proofErr w:type="gramStart"/>
      <w:r w:rsidRPr="00B850D9">
        <w:t>uważa</w:t>
      </w:r>
      <w:proofErr w:type="gramEnd"/>
      <w:r w:rsidRPr="00B850D9">
        <w:t>, że organizacje te należy uznać na mocy rozporządzenia o wspólnej organizacji rynków, aby uzyskały takie same prawa, w tym wsparcie finansowe, oraz wypełniały takie same obowiązki jak organizacje producentów; wzywa Komisję do podjęcia działań w tej kwestii w koordynacji z zainteresowanymi państwami członkowskimi, w tym przez rozważenie w razie potrzeby odpowiedniego dostosowania zasad wspólnej organizacji rynku oraz dopilnowanie, by istniały odpowiednie systemy kontroli zgodności funkcjonowania organizacji producentów z obowiązującymi przepisami;</w:t>
      </w:r>
    </w:p>
    <w:p w:rsidR="00DA313C" w:rsidRPr="00B850D9" w:rsidRDefault="00DA313C" w:rsidP="00DA313C">
      <w:pPr>
        <w:pStyle w:val="NormalHanging12a"/>
      </w:pPr>
      <w:r w:rsidRPr="00B850D9">
        <w:t>12.</w:t>
      </w:r>
      <w:r w:rsidRPr="00B850D9">
        <w:tab/>
      </w:r>
      <w:proofErr w:type="gramStart"/>
      <w:r w:rsidRPr="00B850D9">
        <w:t>zwraca</w:t>
      </w:r>
      <w:proofErr w:type="gramEnd"/>
      <w:r w:rsidRPr="00B850D9">
        <w:t xml:space="preserve"> uwagę, że kryzys związany z COVID-19 doprowadził do nagłego zamknięcia większości rynków zbytu świeżych produktów spożywczych pochodzenia wodnego, w tym z regionów najbardziej oddalonych, w związku z czym należy przywrócić możliwość korzystania z mechanizmów dopłat do składowania i rozszerzyć je na organizacje producentów sektora akwakultury ekstensywnej i hodowli omułków;</w:t>
      </w:r>
    </w:p>
    <w:p w:rsidR="00DA313C" w:rsidRPr="00B850D9" w:rsidRDefault="00DA313C" w:rsidP="00DA313C">
      <w:pPr>
        <w:pStyle w:val="NormalHanging12a"/>
        <w:rPr>
          <w:b/>
          <w:i/>
        </w:rPr>
      </w:pPr>
      <w:r w:rsidRPr="00B850D9">
        <w:rPr>
          <w:b/>
          <w:i/>
        </w:rPr>
        <w:t>Wspólne normy handlowe</w:t>
      </w:r>
    </w:p>
    <w:p w:rsidR="00DA313C" w:rsidRPr="00B850D9" w:rsidRDefault="00DA313C" w:rsidP="00DA313C">
      <w:pPr>
        <w:pStyle w:val="NormalHanging12a"/>
      </w:pPr>
      <w:r w:rsidRPr="00B850D9">
        <w:t>13.</w:t>
      </w:r>
      <w:r w:rsidRPr="00B850D9">
        <w:tab/>
      </w:r>
      <w:proofErr w:type="gramStart"/>
      <w:r w:rsidRPr="00B850D9">
        <w:t>przypomina</w:t>
      </w:r>
      <w:proofErr w:type="gramEnd"/>
      <w:r w:rsidRPr="00B850D9">
        <w:t xml:space="preserve">, że wiele norm handlowych zawartych w rozporządzeniu o wspólnej organizacji rynków z 2013 r. pochodzi z lat 80. </w:t>
      </w:r>
      <w:proofErr w:type="gramStart"/>
      <w:r w:rsidRPr="00B850D9">
        <w:t>i</w:t>
      </w:r>
      <w:proofErr w:type="gramEnd"/>
      <w:r w:rsidRPr="00B850D9">
        <w:t xml:space="preserve"> 90. XX w.; </w:t>
      </w:r>
      <w:proofErr w:type="gramStart"/>
      <w:r w:rsidRPr="00B850D9">
        <w:t>zwraca</w:t>
      </w:r>
      <w:proofErr w:type="gramEnd"/>
      <w:r w:rsidRPr="00B850D9">
        <w:t xml:space="preserve"> uwagę, że według oceny Komisji normy te były zasadniczo odpowiednie i skuteczne oraz wniosły wartość dodaną; </w:t>
      </w:r>
    </w:p>
    <w:p w:rsidR="00DA313C" w:rsidRPr="00B850D9" w:rsidRDefault="00DA313C" w:rsidP="00DA313C">
      <w:pPr>
        <w:pStyle w:val="NormalHanging12a"/>
      </w:pPr>
      <w:r w:rsidRPr="00B850D9">
        <w:t>14.</w:t>
      </w:r>
      <w:r w:rsidRPr="00B850D9">
        <w:tab/>
      </w:r>
      <w:proofErr w:type="gramStart"/>
      <w:r w:rsidRPr="00B850D9">
        <w:t>zwraca</w:t>
      </w:r>
      <w:proofErr w:type="gramEnd"/>
      <w:r w:rsidRPr="00B850D9">
        <w:t xml:space="preserve"> uwagę, że ocena Komisji i leżące u jej podstaw konsultacje wykazały, że istnieją możliwości uproszczenia, usprawnienia i modernizacji norm; odnotowuje, że Komisja stwierdziła również stosunkowo niski poziom monitorowania prowadzonego przez organy krajowe z myślą o zapewnianiu zgodności z normami, co sprawia, że harmonizacja przepisów dotyczących kontroli i inspekcji we wszystkich państwach członkowskich UE jest bardziej potrzebna niż kiedykolwiek wcześniej;</w:t>
      </w:r>
    </w:p>
    <w:p w:rsidR="00DA313C" w:rsidRPr="00B850D9" w:rsidRDefault="00DA313C" w:rsidP="00DA313C">
      <w:pPr>
        <w:pStyle w:val="NormalHanging12a"/>
      </w:pPr>
      <w:r w:rsidRPr="00B850D9">
        <w:t>15.</w:t>
      </w:r>
      <w:r w:rsidRPr="00B850D9">
        <w:tab/>
      </w:r>
      <w:proofErr w:type="gramStart"/>
      <w:r w:rsidRPr="00B850D9">
        <w:t>uważa</w:t>
      </w:r>
      <w:proofErr w:type="gramEnd"/>
      <w:r w:rsidRPr="00B850D9">
        <w:t>, że normy handlowe dotyczące produktów żywnościowych pochodzenia wodnego wprowadzanych do obrotu w UE, niezależnie od ich pochodzenia, powinny być zgodne ze zharmonizowanymi normami zrównoważonego rozwoju środowiskowego i społecznego; apeluje, by włączyć te normy do umów handlowych i środków przyjętych przez regionalne organizacje ds. zarządzania rybołówstwem (RFMO), ponieważ należy zapewnić podmiotom gospodarczym równe warunki działania oraz zadbać o to, by producenci unijni nie znaleźli się w nieuzasadnionej niekorzystnej sytuacji na rynku; uważa, że należy wykorzystać potencjał certyfikacji, w szczególności chronionych nazw pochodzenia (ChNP) i ich zalet pod względem zrównoważenia środowiskowego, w celu promowania produktów akwakultury;</w:t>
      </w:r>
    </w:p>
    <w:p w:rsidR="00DA313C" w:rsidRPr="00B850D9" w:rsidRDefault="00DA313C" w:rsidP="00DA313C">
      <w:pPr>
        <w:pStyle w:val="NormalHanging12a"/>
      </w:pPr>
      <w:r w:rsidRPr="00B850D9">
        <w:t>16.</w:t>
      </w:r>
      <w:r w:rsidRPr="00B850D9">
        <w:tab/>
      </w:r>
      <w:proofErr w:type="gramStart"/>
      <w:r w:rsidRPr="00B850D9">
        <w:t>podkreśla</w:t>
      </w:r>
      <w:proofErr w:type="gramEnd"/>
      <w:r w:rsidRPr="00B850D9">
        <w:t>, że w ocenie Komisja stwierdziła niedociągnięcia w istniejących ramach, które nie pozwalają osiągnąć celów rozporządzenia o wspólnej organizacji rynków;</w:t>
      </w:r>
    </w:p>
    <w:p w:rsidR="00DA313C" w:rsidRPr="00B850D9" w:rsidRDefault="00DA313C" w:rsidP="00DA313C">
      <w:pPr>
        <w:pStyle w:val="NormalHanging12a"/>
      </w:pPr>
      <w:r w:rsidRPr="00B850D9">
        <w:t>17.</w:t>
      </w:r>
      <w:r w:rsidRPr="00B850D9">
        <w:tab/>
      </w:r>
      <w:proofErr w:type="gramStart"/>
      <w:r w:rsidRPr="00B850D9">
        <w:t>wzywa</w:t>
      </w:r>
      <w:proofErr w:type="gramEnd"/>
      <w:r w:rsidRPr="00B850D9">
        <w:t xml:space="preserve"> Komisję Europejską, by zintensyfikowała wysiłki na rzecz wykrycia przypadków nieprzestrzegania przepisów oraz by zapewniła równe warunki działania we wszystkich państwach członkowskich; sugeruje w szczególności, aby uwzględnić dobre praktyki w zakresie wdrażania i przestrzegania przepisów dotyczących wprowadzania produktów do obrotu i ochrony ekosystemu;</w:t>
      </w:r>
    </w:p>
    <w:p w:rsidR="00DA313C" w:rsidRPr="00B850D9" w:rsidRDefault="00DA313C" w:rsidP="00DA313C">
      <w:pPr>
        <w:pStyle w:val="NormalHanging12a"/>
      </w:pPr>
      <w:r w:rsidRPr="00B850D9">
        <w:lastRenderedPageBreak/>
        <w:t>18.</w:t>
      </w:r>
      <w:r w:rsidRPr="00B850D9">
        <w:tab/>
      </w:r>
      <w:proofErr w:type="gramStart"/>
      <w:r w:rsidRPr="00B850D9">
        <w:t>podkreśla</w:t>
      </w:r>
      <w:proofErr w:type="gramEnd"/>
      <w:r w:rsidRPr="00B850D9">
        <w:t>, że ważne jest, aby normy handlowe dotyczące wszystkich produktów wprowadzanych do obrotu w UE były dostosowane i aktualizowane zgodnie z wymogami i celami WPRyb z myślą o promowaniu uczciwej konkurencji i przejrzystości wśród wszystkich podmiotów, przy czym należy położyć nacisk na uwzględnienie społecznych i środowiskowych punktów odniesienia w celu zapewnienia zrównoważonego rozwoju w wymiarze globalnym; zwraca zatem uwagę, że należy uwzględnić specyfikę rynków w regionach, o których mowa w art. 349 TFUE;</w:t>
      </w:r>
    </w:p>
    <w:p w:rsidR="00DA313C" w:rsidRPr="00B850D9" w:rsidRDefault="00DA313C" w:rsidP="00DA313C">
      <w:pPr>
        <w:pStyle w:val="Normal12a24b"/>
        <w:spacing w:before="0"/>
        <w:rPr>
          <w:b/>
          <w:i/>
        </w:rPr>
      </w:pPr>
      <w:r w:rsidRPr="00B850D9">
        <w:rPr>
          <w:b/>
          <w:i/>
        </w:rPr>
        <w:t>Informowanie konsumentów</w:t>
      </w:r>
    </w:p>
    <w:p w:rsidR="00DA313C" w:rsidRPr="00B850D9" w:rsidRDefault="00DA313C" w:rsidP="00DA313C">
      <w:pPr>
        <w:pStyle w:val="NormalHanging12a"/>
      </w:pPr>
      <w:r w:rsidRPr="00B850D9">
        <w:t>19.</w:t>
      </w:r>
      <w:r w:rsidRPr="00B850D9">
        <w:tab/>
      </w:r>
      <w:proofErr w:type="gramStart"/>
      <w:r w:rsidRPr="00B850D9">
        <w:t>zgadza</w:t>
      </w:r>
      <w:proofErr w:type="gramEnd"/>
      <w:r w:rsidRPr="00B850D9">
        <w:t xml:space="preserve"> się z twierdzeniem, że aby wspólna organizacja rynku mogła w pełni osiągnąć swoje cele, właściwe organy muszą zadbać o to, aby konsumenci byli informowani, za pośrednictwem kampanii promocyjnych, marketingowych i edukacyjnych, o korzyściach żywieniowych, zdrowotnych i dotyczących zrównoważonego rozwoju związanych z jedzeniem produktów rybołówstwa i akwakultury, o szerokiej różnorodności dostępnych gatunków oraz o znaczeniu zrozumienia informacji na etykietach, przy czym należy uniknąć wprowadzania konsumentów w błąd i zapewnić dostosowanie do unijnych systemów żywnościowych; uważa, że aby konsumenci mogli dokonywać świadomych wyborów, powinni otrzymywać jasne i pełne informacje na temat produktów sprzedawanych na rynku UE, a informacje te powinny być </w:t>
      </w:r>
      <w:proofErr w:type="gramStart"/>
      <w:r w:rsidRPr="00B850D9">
        <w:t>zgodne</w:t>
      </w:r>
      <w:proofErr w:type="gramEnd"/>
      <w:r w:rsidRPr="00B850D9">
        <w:t xml:space="preserve"> z tymi samymi przepisami, niezależnie od pochodzenia produktów oraz środków produkcji;</w:t>
      </w:r>
    </w:p>
    <w:p w:rsidR="00DA313C" w:rsidRPr="00B850D9" w:rsidRDefault="00DA313C" w:rsidP="00DA313C">
      <w:pPr>
        <w:pStyle w:val="NormalHanging12a"/>
      </w:pPr>
      <w:r w:rsidRPr="00B850D9">
        <w:t>20.</w:t>
      </w:r>
      <w:r w:rsidRPr="00B850D9">
        <w:tab/>
      </w:r>
      <w:proofErr w:type="gramStart"/>
      <w:r w:rsidRPr="00B850D9">
        <w:t>podkreśla</w:t>
      </w:r>
      <w:proofErr w:type="gramEnd"/>
      <w:r w:rsidRPr="00B850D9">
        <w:t>, że STECF zaproponował, by lepiej informować konsumentów przez uwzględnienie bardziej szczegółowych informacji dotyczących obszaru połowu, narzędzi połowowych i metod produkcji we wspólnej organizacji rynku; wzywa zatem Komisję, by rozważyła wzmocnienie norm handlowych w celu uwzględnienia obszerniejszych informacji na etykietach, takich jak między innymi składniki, geograficzny obszar połowowy i narzędzia połowowe, bez nakładania zbędnych obciążeń administracyjnych na producentów i organizacje producentów; jest zdania, że należy przeprowadzać okresowe przeglądy w celu zapewnienia zgodności i oceny skuteczności tych zharmonizowanych norm, ponieważ pomoże to w określeniu obszarów wymagających poprawy i dopilnowaniu, aby normy pozostały adekwatne i były aktualizowane;</w:t>
      </w:r>
    </w:p>
    <w:p w:rsidR="00DA313C" w:rsidRPr="00B850D9" w:rsidRDefault="00DA313C" w:rsidP="00DA313C">
      <w:pPr>
        <w:pStyle w:val="NormalHanging12a"/>
      </w:pPr>
      <w:r w:rsidRPr="00B850D9">
        <w:t>21.</w:t>
      </w:r>
      <w:r w:rsidRPr="00B850D9">
        <w:tab/>
      </w:r>
      <w:proofErr w:type="gramStart"/>
      <w:r w:rsidRPr="00B850D9">
        <w:t>uważa</w:t>
      </w:r>
      <w:proofErr w:type="gramEnd"/>
      <w:r w:rsidRPr="00B850D9">
        <w:t>, że konsumenci powinni być w stanie wyraźnie identyfikować pochodzenie produktów, ponieważ jest to informacja coraz bardziej ceniona przez europejskich konsumentów i zachęca ich do spożywania lokalnej żywności, produkowanej lub poławianej blisko konsumenta; zwraca uwagę, że potrzebna jest zmiana obecnego systemu identyfikacji produktów rybołówstwa według obszarów FAO, ponieważ jest to system, który nie pozwala na jasną lub szczegółową identyfikację pochodzenia produktów rybołówstwa i może prowadzić do nieporozumień;</w:t>
      </w:r>
    </w:p>
    <w:p w:rsidR="00DA313C" w:rsidRPr="00B850D9" w:rsidRDefault="00DA313C" w:rsidP="00DA313C">
      <w:pPr>
        <w:pStyle w:val="NormalHanging12a"/>
      </w:pPr>
      <w:r w:rsidRPr="00B850D9">
        <w:t>22.</w:t>
      </w:r>
      <w:r w:rsidRPr="00B850D9">
        <w:tab/>
      </w:r>
      <w:proofErr w:type="gramStart"/>
      <w:r w:rsidRPr="00B850D9">
        <w:t>wzywa</w:t>
      </w:r>
      <w:proofErr w:type="gramEnd"/>
      <w:r w:rsidRPr="00B850D9">
        <w:t xml:space="preserve"> Komisję i państwa członkowskie, by promowały i ustanawiały nowe chronione oznaczenia jakości ze względu na ich znane i udowodnione korzyści dla europejskiej produkcji rybołówstwa i akwakultury, i apeluje o poprawę wprowadzania tych produktów do obrotu; wzywa Komisję, by ułatwiła wdrożenie przepisów, które zostaną niebawem przyjęte i które przyniosą znaczne korzyści dla tych struktur wysokiej jakości oraz skrócą, na ile to możliwe, czas niezbędny do rozpatrywania wniosków;</w:t>
      </w:r>
    </w:p>
    <w:p w:rsidR="00DA313C" w:rsidRPr="00B850D9" w:rsidRDefault="00DA313C" w:rsidP="00DA313C">
      <w:pPr>
        <w:pStyle w:val="NormalHanging12a"/>
      </w:pPr>
      <w:r w:rsidRPr="00B850D9">
        <w:t>23.</w:t>
      </w:r>
      <w:r w:rsidRPr="00B850D9">
        <w:tab/>
      </w:r>
      <w:proofErr w:type="gramStart"/>
      <w:r w:rsidRPr="00B850D9">
        <w:t>stwierdza</w:t>
      </w:r>
      <w:proofErr w:type="gramEnd"/>
      <w:r w:rsidRPr="00B850D9">
        <w:t xml:space="preserve">, że identyfikowalność i powiązane środki w zakresie przejrzystości są </w:t>
      </w:r>
      <w:r w:rsidRPr="00B850D9">
        <w:lastRenderedPageBreak/>
        <w:t xml:space="preserve">niezbędne do zapewnienia zgodności z obowiązującymi przepisami WPRyb; uważa, że jeżeli środki te wspiera odpowiedni system etykietowania, który powinien być wymagany w przypadku przetworzonej, świeżej i zakonserwowanej żywności pochodzenia wodnego, mogą one zagwarantować, że informacje przekazywane konsumentom będą dokładne, jasne, pełne, wiarygodne i rzetelne; podkreśla, że taki system etykietowania ma zasadnicze znaczenie dla zwalczania zarówno oszustw w branży spożywczej, w tym niewłaściwego etykietowania, jak i połowów NNN; uważa, że identyfikowalność produktów trzeba wzmocnić i zagwarantować na wszystkich etapach łańcucha wartości, aby zapewnić nie tylko korzyści gospodarcze i handlowe, ale także </w:t>
      </w:r>
      <w:proofErr w:type="gramStart"/>
      <w:r w:rsidRPr="00B850D9">
        <w:t>przyczynić</w:t>
      </w:r>
      <w:proofErr w:type="gramEnd"/>
      <w:r w:rsidRPr="00B850D9">
        <w:t xml:space="preserve"> się do wysiłków na rzecz ochrony zdrowia; w związku z tym z zadowoleniem przyjmuje wprowadzenie na mocy nowego rozporządzenia w sprawie kontroli rybołówstwa świadectw połowowych dla produktów przywożonych;</w:t>
      </w:r>
    </w:p>
    <w:p w:rsidR="00DA313C" w:rsidRPr="00B850D9" w:rsidRDefault="00DA313C" w:rsidP="00DA313C">
      <w:pPr>
        <w:pStyle w:val="NormalHanging12a"/>
      </w:pPr>
      <w:r w:rsidRPr="00B850D9">
        <w:t>24.</w:t>
      </w:r>
      <w:r w:rsidRPr="00B850D9">
        <w:tab/>
      </w:r>
      <w:proofErr w:type="gramStart"/>
      <w:r w:rsidRPr="00B850D9">
        <w:t>zwraca</w:t>
      </w:r>
      <w:proofErr w:type="gramEnd"/>
      <w:r w:rsidRPr="00B850D9">
        <w:t xml:space="preserve"> uwagę, że w ramach konsultacji Komisja otrzymała sprawozdania wskazujące, że w niektórych państwach członkowskich nie spełniono obowiązkowych wymogów dotyczących informowania konsumentów; odnotowuje, że wdrażanie przepisów w całej UE uznaje się za nierównomierne i jest to szczególnie istotne w niektórych segmentach, takich jak sprzedawcy ryb i zakłady żywienia zbiorowego; przypomina, że etykiety muszą zawierać dokładny opis produktów rybołówstwa i produktów innych niż produkty rybołówstwa, co pozwoli uniknąć oszustw i wprowadzających w błąd reklam ze szkodą dla konsumentów i rybaków, w szczególności w odniesieniu do produktów zastępczych, ponieważ w wielu przypadkach wykorzystuje się obrazy, które sprawiają, że konsumenci niesłusznie uznają niektóre </w:t>
      </w:r>
      <w:proofErr w:type="gramStart"/>
      <w:r w:rsidRPr="00B850D9">
        <w:t>produkty</w:t>
      </w:r>
      <w:proofErr w:type="gramEnd"/>
      <w:r w:rsidRPr="00B850D9">
        <w:t xml:space="preserve"> za produkty rybołówstwa; wyraża zaniepokojenie, że w przypadku niektórych produktów dostępnych na rynku, takich jak produkty pochodzenia roślinnego, używa się terminów stosowanych wyłącznie w odniesieniu do produktów rybołówstwa, mimo że nie są one produktami rybołówstwa; uważa, że Komisja powinna przeprowadzić dodatkowe badania w tej sprawie w oparciu o otrzymane sprawozdania;</w:t>
      </w:r>
    </w:p>
    <w:p w:rsidR="00DA313C" w:rsidRPr="00B850D9" w:rsidRDefault="00DA313C" w:rsidP="00DA313C">
      <w:pPr>
        <w:pStyle w:val="NormalHanging12a"/>
      </w:pPr>
      <w:r w:rsidRPr="00B850D9">
        <w:t>25.</w:t>
      </w:r>
      <w:r w:rsidRPr="00B850D9">
        <w:tab/>
      </w:r>
      <w:proofErr w:type="gramStart"/>
      <w:r w:rsidRPr="00B850D9">
        <w:t>dlatego</w:t>
      </w:r>
      <w:proofErr w:type="gramEnd"/>
      <w:r w:rsidRPr="00B850D9">
        <w:t xml:space="preserve"> uważa, że nazwę handlową „ryby” lub „gatunki ryb” należy zarezerwować na jednolitym rynku dla produktów rybołówstwa lub akwakultury pochodzenia zwierzęcego; wzywa w związku z powyższym Komisję, by dokonała przeglądu obowiązujących przepisów dotyczących etykietowania i prezentacji produktów pochodzenia roślinnego imitujących produkty rybołówstwa i akwakultury w celu zapewnienia konsumentom prawdziwych i dokładnych informacji, które nie będą prowadziły do nieporozumień i pozwolą zachować równe warunki działania na rynku UE;</w:t>
      </w:r>
    </w:p>
    <w:p w:rsidR="00DA313C" w:rsidRPr="00B850D9" w:rsidRDefault="00DA313C" w:rsidP="00DA313C">
      <w:pPr>
        <w:spacing w:after="240"/>
        <w:rPr>
          <w:b/>
          <w:i/>
        </w:rPr>
      </w:pPr>
      <w:r w:rsidRPr="00B850D9">
        <w:rPr>
          <w:b/>
          <w:i/>
        </w:rPr>
        <w:t>Reguły konkurencji</w:t>
      </w:r>
    </w:p>
    <w:p w:rsidR="00DA313C" w:rsidRPr="00B850D9" w:rsidRDefault="00DA313C" w:rsidP="00DA313C">
      <w:pPr>
        <w:pStyle w:val="NormalHanging12a"/>
      </w:pPr>
      <w:r w:rsidRPr="00B850D9">
        <w:t>26.</w:t>
      </w:r>
      <w:r w:rsidRPr="00B850D9">
        <w:tab/>
      </w:r>
      <w:proofErr w:type="gramStart"/>
      <w:r w:rsidRPr="00B850D9">
        <w:t>przypomina</w:t>
      </w:r>
      <w:proofErr w:type="gramEnd"/>
      <w:r w:rsidRPr="00B850D9">
        <w:t>, że organizacje producentów i organizacje międzybranżowe mogą być pod pewnymi warunkami zwolnione ze stosowania reguł konkurencji, aby osiągnąć swoje cele, w tym pod warunkiem, że ich działalność nie prowadzi do podziału rynków, nie wyklucza ani nie eliminuje konkurencji;</w:t>
      </w:r>
    </w:p>
    <w:p w:rsidR="00DA313C" w:rsidRPr="00B850D9" w:rsidRDefault="00DA313C" w:rsidP="00DA313C">
      <w:pPr>
        <w:pStyle w:val="NormalHanging12a"/>
      </w:pPr>
      <w:r w:rsidRPr="00B850D9">
        <w:t>27.</w:t>
      </w:r>
      <w:r w:rsidRPr="00B850D9">
        <w:tab/>
      </w:r>
      <w:proofErr w:type="gramStart"/>
      <w:r w:rsidRPr="00B850D9">
        <w:t>zwraca</w:t>
      </w:r>
      <w:proofErr w:type="gramEnd"/>
      <w:r w:rsidRPr="00B850D9">
        <w:t xml:space="preserve"> uwagę, że wyłączenie to ma zasadnicze znaczenie dla dopuszczenia, w szczególności w regionach najbardziej oddalonych, niektórych praktyk stosowanych przez organizacje producentów i organizacje międzybranżowe, takich jak kontrolowanie ilości produktów wprowadzanych na rynek przez ich członków w celu ustabilizowania rynków i cen, spełnienia wymogów w zakresie ochrony i uniknięcia marnotrawienia żywności; stwierdza, że nieuznawane organizacje zbiorowe producentów (np. </w:t>
      </w:r>
      <w:r w:rsidRPr="00B850D9">
        <w:lastRenderedPageBreak/>
        <w:t xml:space="preserve">spółdzielnie, </w:t>
      </w:r>
      <w:r w:rsidRPr="00B850D9">
        <w:rPr>
          <w:i/>
        </w:rPr>
        <w:t>Cofradías</w:t>
      </w:r>
      <w:r w:rsidRPr="00B850D9">
        <w:t>) nie mogą korzystać z wyłączenia na podstawie obecnych kryteriów określonych dla organizacji producentów;</w:t>
      </w:r>
    </w:p>
    <w:p w:rsidR="00DA313C" w:rsidRPr="00B850D9" w:rsidRDefault="00DA313C" w:rsidP="00DA313C">
      <w:pPr>
        <w:pStyle w:val="NormalHanging12a"/>
      </w:pPr>
      <w:r w:rsidRPr="00B850D9">
        <w:t>28.</w:t>
      </w:r>
      <w:r w:rsidRPr="00B850D9">
        <w:tab/>
      </w:r>
      <w:proofErr w:type="gramStart"/>
      <w:r w:rsidRPr="00B850D9">
        <w:t>podkreśla</w:t>
      </w:r>
      <w:proofErr w:type="gramEnd"/>
      <w:r w:rsidRPr="00B850D9">
        <w:t xml:space="preserve">, że około 70 % spożywanych w UE owoców morza jest przywożonych z krajów spoza UE, co w konsekwencji prowadzi do uzależnienia UE od tego przywozu na potrzeby konsumpcji; zwraca uwagę, że rybołówstwo, akwakultura i powiązane sektory muszą być rentowne, aby móc dokonywać inwestycji potrzebnych do prowadzenia działalności, a rentowność jest możliwa tylko wtedy, gdy produkty są konkurencyjne w stosunku do produktów przywożonych z państw spoza UE; apeluje do Komisji i Rady o zadbanie o to, aby polityka handlowa UE zapewniała równość szans dla produktów unijnych i przywożonych, a także o promowanie konsumpcji zrównoważonej (pod względem środowiskowym, gospodarczym i społecznym) żywności pochodzenia </w:t>
      </w:r>
      <w:proofErr w:type="gramStart"/>
      <w:r w:rsidRPr="00B850D9">
        <w:t>wodnego</w:t>
      </w:r>
      <w:proofErr w:type="gramEnd"/>
      <w:r w:rsidRPr="00B850D9">
        <w:t>;</w:t>
      </w:r>
    </w:p>
    <w:p w:rsidR="00DA313C" w:rsidRPr="00B850D9" w:rsidRDefault="00DA313C" w:rsidP="00DA313C">
      <w:pPr>
        <w:pStyle w:val="NormalHanging12a"/>
      </w:pPr>
      <w:r w:rsidRPr="00B850D9">
        <w:t>29.</w:t>
      </w:r>
      <w:r w:rsidRPr="00B850D9">
        <w:tab/>
      </w:r>
      <w:proofErr w:type="gramStart"/>
      <w:r w:rsidRPr="00B850D9">
        <w:t>zachęca</w:t>
      </w:r>
      <w:proofErr w:type="gramEnd"/>
      <w:r w:rsidRPr="00B850D9">
        <w:t xml:space="preserve"> Komisję do podjęcia dialogu z organizacjami producentów i innymi stosownymi zainteresowanymi podmiotami w sprawie autonomicznych kontyngentów taryfowych;</w:t>
      </w:r>
    </w:p>
    <w:p w:rsidR="00DA313C" w:rsidRPr="00B850D9" w:rsidRDefault="00DA313C" w:rsidP="00DA313C">
      <w:pPr>
        <w:spacing w:after="240"/>
      </w:pPr>
      <w:r w:rsidRPr="00B850D9">
        <w:rPr>
          <w:b/>
          <w:i/>
        </w:rPr>
        <w:t>Badania rynkowe i zarządzanie kryzysowe</w:t>
      </w:r>
    </w:p>
    <w:p w:rsidR="00DA313C" w:rsidRPr="00B850D9" w:rsidRDefault="00DA313C" w:rsidP="00DA313C">
      <w:pPr>
        <w:pStyle w:val="NormalHanging12a"/>
      </w:pPr>
      <w:r w:rsidRPr="00B850D9">
        <w:t>30.</w:t>
      </w:r>
      <w:r w:rsidRPr="00B850D9">
        <w:tab/>
      </w:r>
      <w:proofErr w:type="gramStart"/>
      <w:r w:rsidRPr="00B850D9">
        <w:t>przypomina</w:t>
      </w:r>
      <w:proofErr w:type="gramEnd"/>
      <w:r w:rsidRPr="00B850D9">
        <w:t>, że Europejskie Centrum Monitorowania Rynku Produktów Rybołówstwa i Akwakultury (EUMOFA) zapewnia podmiotom działającym w sektorze rybołówstwa informacje rynkowe, aby pomóc im w lepszym zrozumieniu tendencji rynkowych; zwraca uwagę, że od kwietnia 2013 r. specjalna strona internetowa i baza danych są dostępne online i są w pełni operacyjne od czasu wejścia w życie zmienionych zasad wspólnej organizacji rynków, co przynosi korzyści instytucjom badawczym, zainteresowanym stronom i ogółowi społeczeństwa dzięki większemu dostępowi do badań i danych rynkowych;</w:t>
      </w:r>
    </w:p>
    <w:p w:rsidR="00DA313C" w:rsidRPr="00B850D9" w:rsidRDefault="00DA313C" w:rsidP="00DA313C">
      <w:pPr>
        <w:pStyle w:val="NormalHanging12a"/>
      </w:pPr>
      <w:r w:rsidRPr="00B850D9">
        <w:t>31.</w:t>
      </w:r>
      <w:r w:rsidRPr="00B850D9">
        <w:tab/>
      </w:r>
      <w:proofErr w:type="gramStart"/>
      <w:r w:rsidRPr="00B850D9">
        <w:t>przypomina</w:t>
      </w:r>
      <w:proofErr w:type="gramEnd"/>
      <w:r w:rsidRPr="00B850D9">
        <w:t>, że EUMOFA prowadzi badania rynkowe na podstawie Nomenklatury scalonej wspólnej taryfy celnej UE; uważa, że taryfę tę należy zaktualizować o nowe kategorie przetworów rybnych, które znajdują się w handlu w UE w większych ilościach, a także o bardziej intuicyjne i kompleksowe narzędzia cyfrowe; apeluje do Komisji o przeanalizowanie sposobów dalszej poprawy badań rynkowych dotyczących produktów rybołówstwa i akwakultury, w szczególności usprawnienia analizy rynków przez rozróżnienie między poszczególnymi częściami Europy, które mają różne nawyki co do spożywanych gatunków ryb;</w:t>
      </w:r>
    </w:p>
    <w:p w:rsidR="00DA313C" w:rsidRPr="00B850D9" w:rsidRDefault="00DA313C" w:rsidP="00DA313C">
      <w:pPr>
        <w:pStyle w:val="NormalHanging12a"/>
      </w:pPr>
      <w:r w:rsidRPr="00B850D9">
        <w:t>32.</w:t>
      </w:r>
      <w:r w:rsidRPr="00B850D9">
        <w:tab/>
      </w:r>
      <w:proofErr w:type="gramStart"/>
      <w:r w:rsidRPr="00B850D9">
        <w:t>odnotowuje</w:t>
      </w:r>
      <w:proofErr w:type="gramEnd"/>
      <w:r w:rsidRPr="00B850D9">
        <w:t>, że EUMOFA zostało wykorzystane do uruchomienia środków kryzysowych w celu zaradzenia skutkom pandemii COVID-19;</w:t>
      </w:r>
    </w:p>
    <w:p w:rsidR="00DA313C" w:rsidRPr="00B850D9" w:rsidRDefault="00DA313C" w:rsidP="00DA313C">
      <w:pPr>
        <w:pStyle w:val="NormalHanging12a"/>
      </w:pPr>
      <w:r w:rsidRPr="00B850D9">
        <w:t>33.</w:t>
      </w:r>
      <w:r w:rsidRPr="00B850D9">
        <w:tab/>
      </w:r>
      <w:proofErr w:type="gramStart"/>
      <w:r w:rsidRPr="00B850D9">
        <w:t>wzywa</w:t>
      </w:r>
      <w:proofErr w:type="gramEnd"/>
      <w:r w:rsidRPr="00B850D9">
        <w:t xml:space="preserve"> Komisję, by podczas następnego przeglądu wspólnej organizacji rynków rozważyła możliwość ustanowienia systemu kryzysowego lub rezerwy kryzysowej, w tym dopłat do przechowywania produktów, jako środka chroniącego sektor w obliczu wyjątkowych sytuacji, które mogą wystąpić w unijnym sektorze rybołówstwa i akwakultury; przypomina, że niedawno konieczne było udzielenie nadzwyczajnej pomocy, aby poradzić sobie z kryzysem spowodowanym pandemią COVID-19; wzywa Komisję do określenia kryteriów korzystania z takiej pomocy i dopilnowania, aby mogła ona być dostosowana do konkretnych zakłóceń na rynku, w oparciu o model rezerwy kryzysowej już stosowany w innych sektorach żywności oraz przy rozważeniu innych środków, które mogłyby być korzystne dla złagodzenia </w:t>
      </w:r>
      <w:proofErr w:type="gramStart"/>
      <w:r w:rsidRPr="00B850D9">
        <w:t>poważnych</w:t>
      </w:r>
      <w:proofErr w:type="gramEnd"/>
      <w:r w:rsidRPr="00B850D9">
        <w:t xml:space="preserve"> zakłóceń na </w:t>
      </w:r>
      <w:r w:rsidRPr="00B850D9">
        <w:lastRenderedPageBreak/>
        <w:t>rynku;</w:t>
      </w:r>
    </w:p>
    <w:p w:rsidR="00DA313C" w:rsidRPr="00B850D9" w:rsidRDefault="00DA313C" w:rsidP="00DA313C">
      <w:pPr>
        <w:pStyle w:val="Normal12a24b"/>
        <w:spacing w:before="0"/>
        <w:rPr>
          <w:i/>
        </w:rPr>
      </w:pPr>
      <w:r w:rsidRPr="00B850D9">
        <w:rPr>
          <w:rStyle w:val="Bold"/>
          <w:i/>
        </w:rPr>
        <w:t>Wnioski</w:t>
      </w:r>
    </w:p>
    <w:p w:rsidR="00DA313C" w:rsidRPr="00B850D9" w:rsidRDefault="00DA313C" w:rsidP="00DA313C">
      <w:pPr>
        <w:pStyle w:val="NormalHanging12a"/>
      </w:pPr>
      <w:r w:rsidRPr="00B850D9">
        <w:t>34.</w:t>
      </w:r>
      <w:r w:rsidRPr="00B850D9">
        <w:tab/>
      </w:r>
      <w:proofErr w:type="gramStart"/>
      <w:r w:rsidRPr="00B850D9">
        <w:t>z</w:t>
      </w:r>
      <w:proofErr w:type="gramEnd"/>
      <w:r w:rsidRPr="00B850D9">
        <w:t xml:space="preserve"> zadowoleniem przyjmuje postępy we wdrażaniu zasad wspólnej organizacji rynków; podkreśla, że należy dołożyć starań na rzecz zapewnienia konsumentom odpowiednich informacji, poprawy etykietowania, zwiększenia przejrzystości rynku, poprawy identyfikowalności produktów rybołówstwa i akwakultury oraz skorupiaków, a także zapewnienia polityki uwzględniającej aspekt płci i sprzyjającej włączeniu młodzieży; zwraca uwagę, że w niektórych państwach członkowskich działają rządy poniżej szczebla państwowego, które mają kompetencje w zakresie rybołówstwa, skorupiaków i akwakultury oraz że Komisja i inne zainteresowane instytucje powinny to uszanować w celu szybszego wdrażania wspólnej organizacji rynku;</w:t>
      </w:r>
    </w:p>
    <w:p w:rsidR="00DA313C" w:rsidRPr="00B850D9" w:rsidRDefault="00DA313C" w:rsidP="00DA313C">
      <w:pPr>
        <w:pStyle w:val="NormalHanging12a"/>
      </w:pPr>
      <w:r w:rsidRPr="00B850D9">
        <w:t>35.</w:t>
      </w:r>
      <w:r w:rsidRPr="00B850D9">
        <w:tab/>
      </w:r>
      <w:proofErr w:type="gramStart"/>
      <w:r w:rsidRPr="00B850D9">
        <w:t>uważa</w:t>
      </w:r>
      <w:proofErr w:type="gramEnd"/>
      <w:r w:rsidRPr="00B850D9">
        <w:t>, że Komisja i państwa członkowskie muszą dołożyć większych starań, aby zapewnić bardziej jednolite wykonanie rozporządzenia o wspólnej organizacji rynków we wszystkich sektorach, z wystarczającym uwzględnieniem szczególnych warunków funkcjonowania rynków w regionach najbardziej oddalonych; jest zdania, że bardziej jednolite wykonanie mogłoby przyczynić się do zapewnienia zaufania konsumentów do produktów żywności pochodzenia wodnego wprowadzanych na jednolity rynek oraz służyć celom rozwoju endogenicznego i samowystarczalności żywnościowej w regionach najbardziej oddalonych;</w:t>
      </w:r>
    </w:p>
    <w:p w:rsidR="00DA313C" w:rsidRPr="00B850D9" w:rsidRDefault="00DA313C" w:rsidP="00DA313C">
      <w:pPr>
        <w:pStyle w:val="NormalHanging12a"/>
      </w:pPr>
      <w:r w:rsidRPr="00B850D9">
        <w:t>36.</w:t>
      </w:r>
      <w:r w:rsidRPr="00B850D9">
        <w:tab/>
      </w:r>
      <w:proofErr w:type="gramStart"/>
      <w:r w:rsidRPr="00B850D9">
        <w:t>podkreśla</w:t>
      </w:r>
      <w:proofErr w:type="gramEnd"/>
      <w:r w:rsidRPr="00B850D9">
        <w:t>, jak ważne jest uwzględnienie wszystkich zainteresowanych podmiotów w całym łańcuchu dostaw; zwraca w związku z tym uwagę na cenny wkład wnoszony przez odpowiedni komitet doradczy (MAC – Komitet Doradczy ds. Rynków);</w:t>
      </w:r>
    </w:p>
    <w:p w:rsidR="00DA313C" w:rsidRPr="00B850D9" w:rsidRDefault="00DA313C" w:rsidP="00DA313C">
      <w:pPr>
        <w:pStyle w:val="NormalHanging12a"/>
      </w:pPr>
      <w:r w:rsidRPr="00B850D9">
        <w:t>37.</w:t>
      </w:r>
      <w:r w:rsidRPr="00B850D9">
        <w:tab/>
      </w:r>
      <w:proofErr w:type="gramStart"/>
      <w:r w:rsidRPr="00B850D9">
        <w:t>wyraża</w:t>
      </w:r>
      <w:proofErr w:type="gramEnd"/>
      <w:r w:rsidRPr="00B850D9">
        <w:t xml:space="preserve"> zadowolenie, że Komisja zamierza przedstawić wniosek dotyczący ram prawnych dla zrównoważonych systemów żywnościowych w celu zwiększenia przejrzystości i zapewnienia konsumentom obszerniejszych informacji; uważa, że wniosek ten powinien uznać znaczenie zdrowego i zrównoważonego rybołówstwa oraz produktów akwakultury poprzez zwiększenie wartości sektora rybołówstwa; zwraca uwagę, że te w nowych ramach prawnych należy uwzględnić znaczenie spożycia ryb w zdrowej diecie; podkreśla, że należy dopilnować, by ramy te nie powodowały dodatkowych obciążeń administracyjnych i były zgodne z warunkiem zrównoważonego rozwoju określonym w innych aktach prawnych UE;</w:t>
      </w:r>
    </w:p>
    <w:p w:rsidR="00DA313C" w:rsidRPr="00B850D9" w:rsidRDefault="00DA313C" w:rsidP="00DA313C">
      <w:pPr>
        <w:pStyle w:val="NormalHanging12a"/>
      </w:pPr>
      <w:r w:rsidRPr="00B850D9">
        <w:t>38.</w:t>
      </w:r>
      <w:r w:rsidRPr="00B850D9">
        <w:tab/>
      </w:r>
      <w:proofErr w:type="gramStart"/>
      <w:r w:rsidRPr="00B850D9">
        <w:t>przyjmuje</w:t>
      </w:r>
      <w:proofErr w:type="gramEnd"/>
      <w:r w:rsidRPr="00B850D9">
        <w:t xml:space="preserve"> z zadowoleniem wynik negocjacji dotyczących przeglądu rozporządzenia w sprawie kontroli rybołówstwa, w szczególności postanowienia, których celem jest wzmocnienie przepisów dotyczących identyfikowalności wszystkich produktów rybołówstwa i akwakultury oraz skorupiaków, w tym produktów przywożonych z państw spoza UE; jest zdania, że takie informacje dotyczące identyfikowalności będą bardzo ważne dla konsumentów europejskich, zarówno na kontynencie, jak i na terytoriach zamorskich; wzywa Komisję, by przedstawiła propozycję dalszych działań obejmujących te same wymogi dla wszystkich produktów, niezależnie od stopnia ich przetworzenia, kategorii żywności czy państwa członkowskiego, w którym znajduje się siedziba przedsiębiorstwa, w celu zadbania o to, aby dostarczane informacje były dokładne, jasne, kompletne </w:t>
      </w:r>
      <w:proofErr w:type="gramStart"/>
      <w:r w:rsidRPr="00B850D9">
        <w:t>i</w:t>
      </w:r>
      <w:proofErr w:type="gramEnd"/>
      <w:r w:rsidRPr="00B850D9">
        <w:t xml:space="preserve"> zharmonizowane we wszystkich państwach członkowskich i terytoriach posiadających kompetencje w zakresie rybołówstwa oraz we wszystkich kategoriach produktów, a także by docierały do konsumentów końcowych w prostym i przystępnym formacie;</w:t>
      </w:r>
    </w:p>
    <w:p w:rsidR="00DA313C" w:rsidRPr="00B850D9" w:rsidRDefault="00DA313C" w:rsidP="00DA313C">
      <w:pPr>
        <w:pStyle w:val="NormalHanging12a"/>
      </w:pPr>
      <w:r w:rsidRPr="00B850D9">
        <w:lastRenderedPageBreak/>
        <w:t>39.</w:t>
      </w:r>
      <w:r w:rsidRPr="00B850D9">
        <w:tab/>
      </w:r>
      <w:proofErr w:type="gramStart"/>
      <w:r w:rsidRPr="00B850D9">
        <w:t>uważa</w:t>
      </w:r>
      <w:proofErr w:type="gramEnd"/>
      <w:r w:rsidRPr="00B850D9">
        <w:t>, że państwa członkowskie powinny w większym stopniu wykorzystywać EUMOFA, zwłaszcza na obszarach, w których EUMOFA jest mniej wykorzystywane, ponieważ obserwatorium to powinno dodatkowo usprawnić gromadzenie danych i analizę rynku różnych części Europy o różnych nawykach żywieniowych, a także udostępnić bardziej intuicyjne i kompleksowe narzędzia cyfrowe za pośrednictwem tego instrumentu; jest zdania, że w ten sposób dane EUMOFA mogłyby być bardziej przydatne do analizy rynku, również w podziale na poszczególne regiony, zwłaszcza w przypadku drastycznych zmian, takich jak te, które nastąpiły podczas kryzysu związanego z COVID-19, z myślą o uruchomieniu narzędzi kryzysowych i możliwości ustabilizowania rynku;</w:t>
      </w:r>
    </w:p>
    <w:p w:rsidR="00DA313C" w:rsidRPr="00B850D9" w:rsidRDefault="00DA313C" w:rsidP="00DA313C">
      <w:pPr>
        <w:pStyle w:val="NormalHanging12a"/>
      </w:pPr>
      <w:r w:rsidRPr="00B850D9">
        <w:t>40.</w:t>
      </w:r>
      <w:r w:rsidRPr="00B850D9">
        <w:tab/>
      </w:r>
      <w:proofErr w:type="gramStart"/>
      <w:r w:rsidRPr="00B850D9">
        <w:t>jest</w:t>
      </w:r>
      <w:proofErr w:type="gramEnd"/>
      <w:r w:rsidRPr="00B850D9">
        <w:t xml:space="preserve"> przekonany, że poprawa identyfikowalności i przejrzystości w łańcuchu dostaw sektora żywności pochodzenia wodnego ma kluczowe znaczenie dla zwalczania połowów NNN;</w:t>
      </w:r>
    </w:p>
    <w:p w:rsidR="00DA313C" w:rsidRPr="00B850D9" w:rsidRDefault="00DA313C" w:rsidP="00DA313C">
      <w:pPr>
        <w:pStyle w:val="NormalHanging12a"/>
      </w:pPr>
      <w:r w:rsidRPr="00B850D9">
        <w:t>41.</w:t>
      </w:r>
      <w:r w:rsidRPr="00B850D9">
        <w:tab/>
      </w:r>
      <w:proofErr w:type="gramStart"/>
      <w:r w:rsidRPr="00B850D9">
        <w:t>ponawia</w:t>
      </w:r>
      <w:proofErr w:type="gramEnd"/>
      <w:r w:rsidRPr="00B850D9">
        <w:t xml:space="preserve"> apel do wszystkich państw członkowskich o dostosowanie kryteriów uznawania organizacji producentów i organizacji międzybranżowych w celu uznania wszelkich różnorodnych organizacji w państwach członkowskich, które wykonują zadania wchodzące w dużej mierze w zakres kompetencji organizacji producentów; zwraca w związku z powyższym uwagę na organizacje takie jak </w:t>
      </w:r>
      <w:r w:rsidRPr="00B850D9">
        <w:rPr>
          <w:i/>
        </w:rPr>
        <w:t>Cofradías</w:t>
      </w:r>
      <w:r w:rsidRPr="00B850D9">
        <w:t xml:space="preserve"> i </w:t>
      </w:r>
      <w:r w:rsidRPr="00B850D9">
        <w:rPr>
          <w:i/>
        </w:rPr>
        <w:t>Prud’homie de pêche</w:t>
      </w:r>
      <w:r w:rsidRPr="00B850D9">
        <w:t>, a także na organizacje działające w regionach najbardziej oddalonych;</w:t>
      </w:r>
    </w:p>
    <w:p w:rsidR="00DA313C" w:rsidRPr="00B850D9" w:rsidRDefault="00DA313C" w:rsidP="00DA313C">
      <w:pPr>
        <w:pStyle w:val="NormalHanging12a"/>
      </w:pPr>
      <w:r w:rsidRPr="00B850D9">
        <w:t>42.</w:t>
      </w:r>
      <w:r w:rsidRPr="00B850D9">
        <w:tab/>
      </w:r>
      <w:proofErr w:type="gramStart"/>
      <w:r w:rsidRPr="00B850D9">
        <w:t>apeluje</w:t>
      </w:r>
      <w:proofErr w:type="gramEnd"/>
      <w:r w:rsidRPr="00B850D9">
        <w:t xml:space="preserve"> do Komisji o podejmowanie skuteczniejszych środków w celu wyeliminowania przeszkód dla organizacji producentów, aby w pełni wywiązywały się ze swojej misji, przez wyeliminowanie utrudnień stojących przed organizacjami producentów z sektora łodziowego rybołówstwa przybrzeżnego i wyspiarskiego, wynikających ze zróżnicowanego traktowania przez administracje krajowe, czy to pod względem uznawania organizacji producentów, bieżącego finansowania, wsparcia administracyjnego czy kwalifikowalności środków;</w:t>
      </w:r>
    </w:p>
    <w:p w:rsidR="00DA313C" w:rsidRPr="00B850D9" w:rsidRDefault="00DA313C" w:rsidP="00DA313C">
      <w:pPr>
        <w:pStyle w:val="NormalHanging12a"/>
      </w:pPr>
      <w:r w:rsidRPr="00B850D9">
        <w:t>43.</w:t>
      </w:r>
      <w:r w:rsidRPr="00B850D9">
        <w:tab/>
      </w:r>
      <w:proofErr w:type="gramStart"/>
      <w:r w:rsidRPr="00B850D9">
        <w:t>podkreśla</w:t>
      </w:r>
      <w:proofErr w:type="gramEnd"/>
      <w:r w:rsidRPr="00B850D9">
        <w:t>, że ważne jest zaangażowanie zainteresowanych stron, w całym łańcuchu dostaw w sektorze rybołówstwa i akwakultury oraz w społeczeństwie obywatelskim, w celu zwiększenia zaufania i zrozumienia, jeśli chodzi o wdrażanie przepisów wspólnej organizacji rynków, w szczególności poprzez kontynuację i wzmocnienie współpracy z Komitetem Doradczym ds. Rynków;</w:t>
      </w:r>
    </w:p>
    <w:p w:rsidR="00DA313C" w:rsidRPr="00B850D9" w:rsidRDefault="00DA313C" w:rsidP="00DA313C">
      <w:pPr>
        <w:pStyle w:val="NormalHanging12a"/>
        <w:jc w:val="center"/>
      </w:pPr>
      <w:r w:rsidRPr="00B850D9">
        <w:t>°</w:t>
      </w:r>
    </w:p>
    <w:p w:rsidR="00DA313C" w:rsidRPr="00B850D9" w:rsidRDefault="00DA313C" w:rsidP="00DA313C">
      <w:pPr>
        <w:pStyle w:val="NormalHanging12a"/>
        <w:jc w:val="center"/>
      </w:pPr>
      <w:r w:rsidRPr="00B850D9">
        <w:t>°</w:t>
      </w:r>
      <w:r w:rsidRPr="00B850D9">
        <w:tab/>
        <w:t>°</w:t>
      </w:r>
    </w:p>
    <w:p w:rsidR="00DA313C" w:rsidRPr="00B850D9" w:rsidRDefault="00DA313C" w:rsidP="00DA313C">
      <w:pPr>
        <w:pStyle w:val="NormalHanging12a"/>
      </w:pPr>
      <w:r w:rsidRPr="00B850D9">
        <w:t>44.</w:t>
      </w:r>
      <w:r w:rsidRPr="00B850D9">
        <w:tab/>
      </w:r>
      <w:proofErr w:type="gramStart"/>
      <w:r w:rsidRPr="00B850D9">
        <w:t>zobowiązuje</w:t>
      </w:r>
      <w:proofErr w:type="gramEnd"/>
      <w:r w:rsidRPr="00B850D9">
        <w:t xml:space="preserve"> swoją przewodniczącą do przekazania niniejszej rezolucji Radzie i Komisji oraz rządom i parlamentom państw członkowskich.</w:t>
      </w:r>
    </w:p>
    <w:sectPr w:rsidR="00DA313C" w:rsidRPr="00B850D9" w:rsidSect="00B850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4F4" w:rsidRPr="00B850D9" w:rsidRDefault="00AD04F4">
      <w:r w:rsidRPr="00B850D9">
        <w:separator/>
      </w:r>
    </w:p>
  </w:endnote>
  <w:endnote w:type="continuationSeparator" w:id="0">
    <w:p w:rsidR="00AD04F4" w:rsidRPr="00B850D9" w:rsidRDefault="00AD04F4">
      <w:r w:rsidRPr="00B850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0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0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0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4F4" w:rsidRPr="00B850D9" w:rsidRDefault="00AD04F4">
      <w:r w:rsidRPr="00B850D9">
        <w:separator/>
      </w:r>
    </w:p>
  </w:footnote>
  <w:footnote w:type="continuationSeparator" w:id="0">
    <w:p w:rsidR="00AD04F4" w:rsidRPr="00B850D9" w:rsidRDefault="00AD04F4">
      <w:r w:rsidRPr="00B850D9">
        <w:continuationSeparator/>
      </w:r>
    </w:p>
  </w:footnote>
  <w:footnote w:id="1">
    <w:p w:rsidR="00DA313C" w:rsidRPr="00B850D9" w:rsidRDefault="00DA313C" w:rsidP="00B850D9">
      <w:pPr>
        <w:pStyle w:val="FootnoteText"/>
        <w:ind w:left="567" w:hanging="567"/>
        <w:rPr>
          <w:sz w:val="24"/>
          <w:lang w:val="pl-PL"/>
        </w:rPr>
      </w:pPr>
      <w:r w:rsidRPr="00B850D9">
        <w:rPr>
          <w:rStyle w:val="FootnoteReference"/>
          <w:sz w:val="24"/>
          <w:lang w:val="pl-PL"/>
        </w:rPr>
        <w:footnoteRef/>
      </w:r>
      <w:r w:rsidR="00B850D9" w:rsidRPr="00B850D9">
        <w:rPr>
          <w:sz w:val="24"/>
          <w:lang w:val="pl-PL"/>
        </w:rPr>
        <w:t xml:space="preserve"> </w:t>
      </w:r>
      <w:r w:rsidR="00B850D9" w:rsidRPr="00B850D9">
        <w:rPr>
          <w:sz w:val="24"/>
          <w:lang w:val="pl-PL"/>
        </w:rPr>
        <w:tab/>
      </w:r>
      <w:r w:rsidRPr="00B850D9">
        <w:rPr>
          <w:sz w:val="24"/>
          <w:lang w:val="pl-PL"/>
        </w:rPr>
        <w:t xml:space="preserve">Dz.U. L 354 z 28.12.2013, </w:t>
      </w:r>
      <w:proofErr w:type="gramStart"/>
      <w:r w:rsidRPr="00B850D9">
        <w:rPr>
          <w:sz w:val="24"/>
          <w:lang w:val="pl-PL"/>
        </w:rPr>
        <w:t>s</w:t>
      </w:r>
      <w:proofErr w:type="gramEnd"/>
      <w:r w:rsidRPr="00B850D9">
        <w:rPr>
          <w:sz w:val="24"/>
          <w:lang w:val="pl-PL"/>
        </w:rPr>
        <w:t>. 1.</w:t>
      </w:r>
    </w:p>
  </w:footnote>
  <w:footnote w:id="2">
    <w:p w:rsidR="00DA313C" w:rsidRPr="00B850D9" w:rsidRDefault="00DA313C" w:rsidP="00B850D9">
      <w:pPr>
        <w:pStyle w:val="FootnoteText"/>
        <w:ind w:left="567" w:hanging="567"/>
        <w:rPr>
          <w:sz w:val="24"/>
          <w:lang w:val="pl-PL"/>
        </w:rPr>
      </w:pPr>
      <w:r w:rsidRPr="00B850D9">
        <w:rPr>
          <w:rStyle w:val="FootnoteReference"/>
          <w:sz w:val="24"/>
          <w:lang w:val="pl-PL"/>
        </w:rPr>
        <w:footnoteRef/>
      </w:r>
      <w:r w:rsidR="00B850D9" w:rsidRPr="00B850D9">
        <w:rPr>
          <w:sz w:val="24"/>
          <w:lang w:val="pl-PL"/>
        </w:rPr>
        <w:t xml:space="preserve"> </w:t>
      </w:r>
      <w:r w:rsidR="00B850D9" w:rsidRPr="00B850D9">
        <w:rPr>
          <w:sz w:val="24"/>
          <w:lang w:val="pl-PL"/>
        </w:rPr>
        <w:tab/>
      </w:r>
      <w:r w:rsidRPr="00B850D9">
        <w:rPr>
          <w:sz w:val="24"/>
          <w:lang w:val="pl-PL"/>
        </w:rPr>
        <w:t xml:space="preserve">Dz.U. C 184 z 5.5.2022, </w:t>
      </w:r>
      <w:proofErr w:type="gramStart"/>
      <w:r w:rsidRPr="00B850D9">
        <w:rPr>
          <w:sz w:val="24"/>
          <w:lang w:val="pl-PL"/>
        </w:rPr>
        <w:t>s</w:t>
      </w:r>
      <w:proofErr w:type="gramEnd"/>
      <w:r w:rsidRPr="00B850D9">
        <w:rPr>
          <w:sz w:val="24"/>
          <w:lang w:val="pl-PL"/>
        </w:rPr>
        <w:t>. 2.</w:t>
      </w:r>
    </w:p>
  </w:footnote>
  <w:footnote w:id="3">
    <w:p w:rsidR="00DA313C" w:rsidRPr="00B850D9" w:rsidRDefault="00DA313C" w:rsidP="00B850D9">
      <w:pPr>
        <w:pStyle w:val="FootnoteText"/>
        <w:ind w:left="567" w:hanging="567"/>
        <w:rPr>
          <w:sz w:val="24"/>
          <w:lang w:val="pl-PL"/>
        </w:rPr>
      </w:pPr>
      <w:r w:rsidRPr="00B850D9">
        <w:rPr>
          <w:rStyle w:val="FootnoteReference"/>
          <w:sz w:val="24"/>
          <w:lang w:val="pl-PL"/>
        </w:rPr>
        <w:footnoteRef/>
      </w:r>
      <w:r w:rsidR="00B850D9" w:rsidRPr="00B850D9">
        <w:rPr>
          <w:sz w:val="24"/>
          <w:lang w:val="pl-PL"/>
        </w:rPr>
        <w:t xml:space="preserve"> </w:t>
      </w:r>
      <w:r w:rsidR="00B850D9" w:rsidRPr="00B850D9">
        <w:rPr>
          <w:sz w:val="24"/>
          <w:lang w:val="pl-PL"/>
        </w:rPr>
        <w:tab/>
      </w:r>
      <w:r w:rsidRPr="00B850D9">
        <w:rPr>
          <w:sz w:val="24"/>
          <w:lang w:val="pl-PL"/>
        </w:rPr>
        <w:t xml:space="preserve">Dz.U. C 214 z 16.6.2023, </w:t>
      </w:r>
      <w:proofErr w:type="gramStart"/>
      <w:r w:rsidRPr="00B850D9">
        <w:rPr>
          <w:sz w:val="24"/>
          <w:lang w:val="pl-PL"/>
        </w:rPr>
        <w:t>s</w:t>
      </w:r>
      <w:proofErr w:type="gramEnd"/>
      <w:r w:rsidRPr="00B850D9">
        <w:rPr>
          <w:sz w:val="24"/>
          <w:lang w:val="pl-PL"/>
        </w:rPr>
        <w:t>. 150.</w:t>
      </w:r>
    </w:p>
  </w:footnote>
  <w:footnote w:id="4">
    <w:p w:rsidR="00DA313C" w:rsidRPr="00B850D9" w:rsidRDefault="00DA313C" w:rsidP="00B850D9">
      <w:pPr>
        <w:pStyle w:val="FootnoteText"/>
        <w:ind w:left="567" w:hanging="567"/>
        <w:rPr>
          <w:sz w:val="24"/>
          <w:lang w:val="pl-PL"/>
        </w:rPr>
      </w:pPr>
      <w:r w:rsidRPr="00B850D9">
        <w:rPr>
          <w:rStyle w:val="FootnoteReference"/>
          <w:sz w:val="24"/>
          <w:lang w:val="pl-PL"/>
        </w:rPr>
        <w:footnoteRef/>
      </w:r>
      <w:r w:rsidR="00B850D9" w:rsidRPr="00B850D9">
        <w:rPr>
          <w:sz w:val="24"/>
          <w:lang w:val="pl-PL"/>
        </w:rPr>
        <w:t xml:space="preserve"> </w:t>
      </w:r>
      <w:r w:rsidR="00B850D9" w:rsidRPr="00B850D9">
        <w:rPr>
          <w:sz w:val="24"/>
          <w:lang w:val="pl-PL"/>
        </w:rPr>
        <w:tab/>
      </w:r>
      <w:r w:rsidRPr="00B850D9">
        <w:rPr>
          <w:sz w:val="24"/>
          <w:lang w:val="pl-PL"/>
        </w:rPr>
        <w:t>Komitet Doradczy ds. Rynków, „</w:t>
      </w:r>
      <w:hyperlink r:id="rId1" w:history="1">
        <w:r w:rsidRPr="00B850D9">
          <w:rPr>
            <w:rStyle w:val="Hyperlink"/>
            <w:sz w:val="24"/>
            <w:lang w:val="pl-PL"/>
          </w:rPr>
          <w:t>2022 Report on the Functioning of the Common Market Organisation (CMO</w:t>
        </w:r>
        <w:proofErr w:type="gramStart"/>
        <w:r w:rsidRPr="00B850D9">
          <w:rPr>
            <w:rStyle w:val="Hyperlink"/>
            <w:sz w:val="24"/>
            <w:lang w:val="pl-PL"/>
          </w:rPr>
          <w:t>)</w:t>
        </w:r>
      </w:hyperlink>
      <w:r w:rsidRPr="00B850D9">
        <w:rPr>
          <w:sz w:val="24"/>
          <w:lang w:val="pl-PL"/>
        </w:rPr>
        <w:t>” [Sprawozdanie</w:t>
      </w:r>
      <w:proofErr w:type="gramEnd"/>
      <w:r w:rsidRPr="00B850D9">
        <w:rPr>
          <w:sz w:val="24"/>
          <w:lang w:val="pl-PL"/>
        </w:rPr>
        <w:t xml:space="preserve"> za 2022 r. w sprawie funkcjonowania wspólnej organizacji rynku], 30 marca 2022 r. </w:t>
      </w:r>
    </w:p>
  </w:footnote>
  <w:footnote w:id="5">
    <w:p w:rsidR="00DA313C" w:rsidRPr="00B850D9" w:rsidRDefault="00DA313C" w:rsidP="00B850D9">
      <w:pPr>
        <w:pStyle w:val="FootnoteText"/>
        <w:ind w:left="567" w:hanging="567"/>
        <w:rPr>
          <w:sz w:val="24"/>
          <w:lang w:val="pl-PL"/>
        </w:rPr>
      </w:pPr>
      <w:r w:rsidRPr="00B850D9">
        <w:rPr>
          <w:rStyle w:val="FootnoteReference"/>
          <w:sz w:val="24"/>
          <w:lang w:val="pl-PL"/>
        </w:rPr>
        <w:footnoteRef/>
      </w:r>
      <w:r w:rsidR="00B850D9" w:rsidRPr="00B850D9">
        <w:rPr>
          <w:sz w:val="24"/>
          <w:lang w:val="pl-PL"/>
        </w:rPr>
        <w:t xml:space="preserve"> </w:t>
      </w:r>
      <w:r w:rsidR="00B850D9" w:rsidRPr="00B850D9">
        <w:rPr>
          <w:sz w:val="24"/>
          <w:lang w:val="pl-PL"/>
        </w:rPr>
        <w:tab/>
      </w:r>
      <w:r w:rsidRPr="00B850D9">
        <w:rPr>
          <w:sz w:val="24"/>
          <w:lang w:val="pl-PL"/>
        </w:rPr>
        <w:t>Komitet Doradczy ds. Rynków, „</w:t>
      </w:r>
      <w:hyperlink r:id="rId2" w:history="1">
        <w:r w:rsidRPr="00B850D9">
          <w:rPr>
            <w:rStyle w:val="Hyperlink"/>
            <w:sz w:val="24"/>
            <w:lang w:val="pl-PL"/>
          </w:rPr>
          <w:t>Improving the Labelling Legislation for Plant-Based Imitations of Fisheries and Aquaculture Products</w:t>
        </w:r>
      </w:hyperlink>
      <w:r w:rsidRPr="00B850D9">
        <w:rPr>
          <w:sz w:val="24"/>
          <w:lang w:val="pl-PL"/>
        </w:rPr>
        <w:t xml:space="preserve">” [Poprawa przepisów dotyczących etykietowania produktów pochodzenia roślinnego imitujących produkty rybołówstwa i akwakultury], 8 maja 2023 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0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0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0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6/2023"/>
    <w:docVar w:name="dvlangue" w:val="PL"/>
    <w:docVar w:name="dvnumam" w:val="0"/>
    <w:docVar w:name="dvpe" w:val="750.124"/>
    <w:docVar w:name="dvrapporteur" w:val="Sprawozdawca: "/>
    <w:docVar w:name="dvstar" w:val="??"/>
    <w:docVar w:name="dvtitre" w:val="Rezolucja Parlamentu Europejskiego z dnia  2024 r. w sprawie wykonania rozporządzenia (UE) nr 1379/2013 w sprawie wspólnej organizacji rynków produktów rybołówstwa i akwakultury(2023/2049(INI))"/>
  </w:docVars>
  <w:rsids>
    <w:rsidRoot w:val="00AD04F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781"/>
    <w:rsid w:val="0036076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2369"/>
    <w:rsid w:val="006631B6"/>
    <w:rsid w:val="00680577"/>
    <w:rsid w:val="006B242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4F4"/>
    <w:rsid w:val="00AE0928"/>
    <w:rsid w:val="00AF3B82"/>
    <w:rsid w:val="00B12E95"/>
    <w:rsid w:val="00B22876"/>
    <w:rsid w:val="00B558F0"/>
    <w:rsid w:val="00B850D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13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5F773"/>
  <w15:chartTrackingRefBased/>
  <w15:docId w15:val="{172098E4-C9B3-4845-8271-5CD0D9D4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A313C"/>
    <w:pPr>
      <w:spacing w:after="240"/>
      <w:ind w:left="567" w:hanging="567"/>
    </w:pPr>
  </w:style>
  <w:style w:type="paragraph" w:customStyle="1" w:styleId="Subheading">
    <w:name w:val="Subheading"/>
    <w:basedOn w:val="Normal"/>
    <w:rsid w:val="00DA313C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DA313C"/>
    <w:pPr>
      <w:spacing w:before="480" w:after="240"/>
    </w:pPr>
  </w:style>
  <w:style w:type="paragraph" w:customStyle="1" w:styleId="Normal12a24b">
    <w:name w:val="Normal12a24b"/>
    <w:basedOn w:val="Normal"/>
    <w:rsid w:val="00DA313C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DA313C"/>
    <w:rPr>
      <w:b/>
      <w:bCs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DA313C"/>
    <w:rPr>
      <w:sz w:val="24"/>
      <w:lang w:val="pl-PL"/>
    </w:rPr>
  </w:style>
  <w:style w:type="character" w:styleId="Hyperlink">
    <w:name w:val="Hyperlink"/>
    <w:basedOn w:val="DefaultParagraphFont"/>
    <w:rsid w:val="00DA313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12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12369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marketac.eu/improving-the-labelling-legislation-for-plant-based-imitations-of-fisheries-and-aquaculture-products/" TargetMode="External"/><Relationship Id="rId1" Type="http://schemas.openxmlformats.org/officeDocument/2006/relationships/hyperlink" Target="https://marketac.eu/2022-report-on-the-functioning-of-the-common-market-organisation-cm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F6E9F-AAD7-4740-93D3-D4BDC4B7A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3730</Words>
  <Characters>25642</Characters>
  <Application>Microsoft Office Word</Application>
  <DocSecurity>0</DocSecurity>
  <Lines>213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2024-02-16T08:16:00Z</dcterms:created>
  <dcterms:modified xsi:type="dcterms:W3CDTF">2024-02-16T08:16:00Z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A9-0406/2023</vt:lpwstr>
  </property>
  <property fmtid="{D5CDD505-2E9C-101B-9397-08002B2CF9AE}" pid="4" name="&lt;Type&gt;">
    <vt:lpwstr>RR</vt:lpwstr>
  </property>
</Properties>
</file>