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3A22" w:rsidTr="0010095E">
        <w:trPr>
          <w:trHeight w:hRule="exact" w:val="1418"/>
        </w:trPr>
        <w:tc>
          <w:tcPr>
            <w:tcW w:w="6804" w:type="dxa"/>
            <w:shd w:val="clear" w:color="auto" w:fill="auto"/>
            <w:vAlign w:val="center"/>
          </w:tcPr>
          <w:p w:rsidR="00751A4A" w:rsidRPr="00DE3A22" w:rsidRDefault="007C5C21" w:rsidP="0010095E">
            <w:pPr>
              <w:pStyle w:val="EPName"/>
            </w:pPr>
            <w:r w:rsidRPr="00DE3A22">
              <w:t>Parlamentul European</w:t>
            </w:r>
          </w:p>
          <w:p w:rsidR="00751A4A" w:rsidRPr="00DE3A22" w:rsidRDefault="00817416" w:rsidP="00756632">
            <w:pPr>
              <w:pStyle w:val="EPTerm"/>
              <w:rPr>
                <w:rStyle w:val="HideTWBExt"/>
                <w:noProof w:val="0"/>
                <w:vanish w:val="0"/>
                <w:color w:val="auto"/>
              </w:rPr>
            </w:pPr>
            <w:r w:rsidRPr="00DE3A22">
              <w:t>2019-2024</w:t>
            </w:r>
          </w:p>
        </w:tc>
        <w:tc>
          <w:tcPr>
            <w:tcW w:w="2268" w:type="dxa"/>
            <w:shd w:val="clear" w:color="auto" w:fill="auto"/>
          </w:tcPr>
          <w:p w:rsidR="00751A4A" w:rsidRPr="00DE3A22" w:rsidRDefault="00187494" w:rsidP="0010095E">
            <w:pPr>
              <w:pStyle w:val="EPLogo"/>
            </w:pPr>
            <w:r w:rsidRPr="00DE3A22">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3A22" w:rsidRDefault="00D058B8" w:rsidP="004C5D52">
      <w:pPr>
        <w:pStyle w:val="LineTop"/>
      </w:pPr>
    </w:p>
    <w:p w:rsidR="00680577" w:rsidRPr="00DE3A22" w:rsidRDefault="007C5C21" w:rsidP="00680577">
      <w:pPr>
        <w:pStyle w:val="EPBodyTA1"/>
      </w:pPr>
      <w:r w:rsidRPr="00DE3A22">
        <w:t>TEXTE ADOPTATE</w:t>
      </w:r>
    </w:p>
    <w:p w:rsidR="00D058B8" w:rsidRPr="00DE3A22" w:rsidRDefault="00D058B8" w:rsidP="00D058B8">
      <w:pPr>
        <w:pStyle w:val="LineBottom"/>
      </w:pPr>
    </w:p>
    <w:p w:rsidR="007C5C21" w:rsidRPr="00DE3A22" w:rsidRDefault="007C5C21" w:rsidP="007C5C21">
      <w:pPr>
        <w:pStyle w:val="ATHeading1"/>
      </w:pPr>
      <w:bookmarkStart w:id="0" w:name="TANumber"/>
      <w:r w:rsidRPr="00DE3A22">
        <w:t>P9_TA(2024)</w:t>
      </w:r>
      <w:bookmarkEnd w:id="0"/>
      <w:r w:rsidR="005113BC" w:rsidRPr="00DE3A22">
        <w:t>0047</w:t>
      </w:r>
    </w:p>
    <w:p w:rsidR="007C5C21" w:rsidRPr="00DE3A22" w:rsidRDefault="007C5C21" w:rsidP="007C5C21">
      <w:pPr>
        <w:pStyle w:val="ATHeading2"/>
      </w:pPr>
      <w:bookmarkStart w:id="1" w:name="title"/>
      <w:r w:rsidRPr="00DE3A22">
        <w:t xml:space="preserve">Punerea în aplicare a Regulamentului privind organizarea comună a piețelor (OCP) în sectorul </w:t>
      </w:r>
      <w:r w:rsidR="009A680B" w:rsidRPr="00DE3A22">
        <w:t>produselor pescărești și de acvacultură</w:t>
      </w:r>
      <w:r w:rsidRPr="00DE3A22">
        <w:t xml:space="preserve"> - Regulamentul (UE) </w:t>
      </w:r>
      <w:r w:rsidR="00662B04" w:rsidRPr="00DE3A22">
        <w:t xml:space="preserve">nr. </w:t>
      </w:r>
      <w:r w:rsidRPr="00DE3A22">
        <w:t>1379/2013</w:t>
      </w:r>
      <w:bookmarkEnd w:id="1"/>
    </w:p>
    <w:p w:rsidR="007C5C21" w:rsidRPr="00DE3A22" w:rsidRDefault="007C5C21" w:rsidP="007C5C21">
      <w:pPr>
        <w:rPr>
          <w:i/>
          <w:vanish/>
        </w:rPr>
      </w:pPr>
      <w:r w:rsidRPr="00DE3A22">
        <w:rPr>
          <w:i/>
        </w:rPr>
        <w:fldChar w:fldCharType="begin"/>
      </w:r>
      <w:r w:rsidRPr="00DE3A22">
        <w:rPr>
          <w:i/>
        </w:rPr>
        <w:instrText xml:space="preserve"> TC"(</w:instrText>
      </w:r>
      <w:bookmarkStart w:id="2" w:name="DocNumber"/>
      <w:r w:rsidRPr="00DE3A22">
        <w:rPr>
          <w:i/>
        </w:rPr>
        <w:instrText>A9-0406/2023</w:instrText>
      </w:r>
      <w:bookmarkEnd w:id="2"/>
      <w:r w:rsidRPr="00DE3A22">
        <w:rPr>
          <w:i/>
        </w:rPr>
        <w:instrText xml:space="preserve"> - Raporto</w:instrText>
      </w:r>
      <w:r w:rsidR="00662B04" w:rsidRPr="00DE3A22">
        <w:rPr>
          <w:i/>
        </w:rPr>
        <w:instrText>a</w:instrText>
      </w:r>
      <w:r w:rsidRPr="00DE3A22">
        <w:rPr>
          <w:i/>
        </w:rPr>
        <w:instrText>r</w:instrText>
      </w:r>
      <w:r w:rsidR="00662B04" w:rsidRPr="00DE3A22">
        <w:rPr>
          <w:i/>
        </w:rPr>
        <w:instrText>e</w:instrText>
      </w:r>
      <w:r w:rsidRPr="00DE3A22">
        <w:rPr>
          <w:i/>
        </w:rPr>
        <w:instrText xml:space="preserve">: Izaskun Bilbao Barandica)"\l3 \n&gt; \* MERGEFORMAT </w:instrText>
      </w:r>
      <w:r w:rsidRPr="00DE3A22">
        <w:rPr>
          <w:i/>
        </w:rPr>
        <w:fldChar w:fldCharType="end"/>
      </w:r>
    </w:p>
    <w:p w:rsidR="007C5C21" w:rsidRPr="00DE3A22" w:rsidRDefault="007C5C21" w:rsidP="007C5C21">
      <w:pPr>
        <w:rPr>
          <w:vanish/>
        </w:rPr>
      </w:pPr>
      <w:bookmarkStart w:id="3" w:name="Commission"/>
      <w:r w:rsidRPr="00DE3A22">
        <w:rPr>
          <w:vanish/>
        </w:rPr>
        <w:t>Comisia pentru pescuit</w:t>
      </w:r>
      <w:bookmarkEnd w:id="3"/>
    </w:p>
    <w:p w:rsidR="007C5C21" w:rsidRPr="00DE3A22" w:rsidRDefault="007C5C21" w:rsidP="007C5C21">
      <w:pPr>
        <w:rPr>
          <w:vanish/>
        </w:rPr>
      </w:pPr>
      <w:bookmarkStart w:id="4" w:name="PE"/>
      <w:r w:rsidRPr="00DE3A22">
        <w:rPr>
          <w:vanish/>
        </w:rPr>
        <w:t>PE750.124</w:t>
      </w:r>
      <w:bookmarkEnd w:id="4"/>
    </w:p>
    <w:p w:rsidR="007C5C21" w:rsidRPr="00DE3A22" w:rsidRDefault="007C5C21" w:rsidP="007C5C21">
      <w:pPr>
        <w:pStyle w:val="ATHeading3"/>
      </w:pPr>
      <w:bookmarkStart w:id="5" w:name="Sujet"/>
      <w:r w:rsidRPr="00DE3A22">
        <w:t xml:space="preserve">Rezoluția Parlamentului European din </w:t>
      </w:r>
      <w:r w:rsidR="00DA13EF" w:rsidRPr="00DE3A22">
        <w:t>18 ianuarie</w:t>
      </w:r>
      <w:r w:rsidRPr="00DE3A22">
        <w:t xml:space="preserve"> 2024 </w:t>
      </w:r>
      <w:r w:rsidR="00683D33" w:rsidRPr="00DE3A22">
        <w:t xml:space="preserve">referitoare </w:t>
      </w:r>
      <w:r w:rsidRPr="00DE3A22">
        <w:t>la punerea în aplicare a Regulamentului privind organizarea comună a piețelor (OCP) în sectorul produselor pescărești și de acvacultură – Regulamentul (UE) </w:t>
      </w:r>
      <w:r w:rsidR="00662B04" w:rsidRPr="00DE3A22">
        <w:t xml:space="preserve">nr. </w:t>
      </w:r>
      <w:r w:rsidRPr="00DE3A22">
        <w:t>1379/2013</w:t>
      </w:r>
      <w:bookmarkEnd w:id="5"/>
      <w:r w:rsidRPr="00DE3A22">
        <w:t xml:space="preserve"> </w:t>
      </w:r>
      <w:bookmarkStart w:id="6" w:name="References"/>
      <w:r w:rsidRPr="00DE3A22">
        <w:t>(2023/2049(INI))</w:t>
      </w:r>
      <w:bookmarkEnd w:id="6"/>
    </w:p>
    <w:p w:rsidR="00683FD8" w:rsidRPr="00DE3A22" w:rsidRDefault="00683FD8" w:rsidP="00683FD8">
      <w:pPr>
        <w:pStyle w:val="EPComma"/>
      </w:pPr>
      <w:bookmarkStart w:id="7" w:name="TextBodyBegin"/>
      <w:bookmarkEnd w:id="7"/>
      <w:r w:rsidRPr="00DE3A22">
        <w:rPr>
          <w:i/>
          <w:iCs/>
        </w:rPr>
        <w:t>Parlamentul European</w:t>
      </w:r>
      <w:r w:rsidRPr="00DE3A22">
        <w:t>,</w:t>
      </w:r>
    </w:p>
    <w:p w:rsidR="00683FD8" w:rsidRPr="00DE3A22" w:rsidRDefault="00683FD8" w:rsidP="00DA13EF">
      <w:pPr>
        <w:pStyle w:val="NormalHanging12a"/>
        <w:widowControl/>
      </w:pPr>
      <w:r w:rsidRPr="00DE3A22">
        <w:t>–</w:t>
      </w:r>
      <w:r w:rsidRPr="00DE3A22">
        <w:tab/>
        <w:t>având în vedere Regulamentul (UE)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w:t>
      </w:r>
      <w:r w:rsidRPr="00DE3A22">
        <w:rPr>
          <w:rStyle w:val="FootnoteReference"/>
        </w:rPr>
        <w:footnoteReference w:id="1"/>
      </w:r>
      <w:r w:rsidRPr="00DE3A22">
        <w:t xml:space="preserve"> (Regulamentul OCP) și punerea în aplicare a acestuia,</w:t>
      </w:r>
    </w:p>
    <w:p w:rsidR="00683FD8" w:rsidRPr="00DE3A22" w:rsidRDefault="00683FD8" w:rsidP="00DA13EF">
      <w:pPr>
        <w:pStyle w:val="NormalHanging12a"/>
        <w:widowControl/>
      </w:pPr>
      <w:r w:rsidRPr="00DE3A22">
        <w:t>–</w:t>
      </w:r>
      <w:r w:rsidRPr="00DE3A22">
        <w:tab/>
        <w:t>având în vedere Tratatul privind funcționarea Uniunii Europene (TFUE), în special articolul 349,</w:t>
      </w:r>
    </w:p>
    <w:p w:rsidR="00683FD8" w:rsidRPr="00DE3A22" w:rsidRDefault="00683FD8" w:rsidP="00DA13EF">
      <w:pPr>
        <w:pStyle w:val="NormalHanging12a"/>
        <w:widowControl/>
      </w:pPr>
      <w:r w:rsidRPr="00DE3A22">
        <w:t>–</w:t>
      </w:r>
      <w:r w:rsidRPr="00DE3A22">
        <w:tab/>
        <w:t>având în vedere raportul Comisiei către Parlamentul European și Consiliu din 21 februarie 2023 intitulat „Punerea în aplicare a Regulamentului (UE) nr. 1379/2013 privind organizarea comună a piețelor în sectorul produselor pescărești și de acvacultură” (COM(2023)0101),</w:t>
      </w:r>
    </w:p>
    <w:p w:rsidR="00683FD8" w:rsidRPr="00DE3A22" w:rsidRDefault="00683FD8" w:rsidP="00DA13EF">
      <w:pPr>
        <w:pStyle w:val="NormalHanging12a"/>
        <w:widowControl/>
      </w:pPr>
      <w:r w:rsidRPr="00DE3A22">
        <w:t>–</w:t>
      </w:r>
      <w:r w:rsidRPr="00DE3A22">
        <w:tab/>
        <w:t>având în vedere comunicarea Comisiei din 20 mai 2020 intitulată „O Strategie «De la fermă la consumator» pentru un sistem alimentar echitabil, sănătos și ecologic” (COM(2020)0381),</w:t>
      </w:r>
    </w:p>
    <w:p w:rsidR="00683FD8" w:rsidRPr="00DE3A22" w:rsidRDefault="00683FD8" w:rsidP="00DA13EF">
      <w:pPr>
        <w:pStyle w:val="NormalHanging12a"/>
        <w:widowControl/>
      </w:pPr>
      <w:r w:rsidRPr="00DE3A22">
        <w:t>–</w:t>
      </w:r>
      <w:r w:rsidRPr="00DE3A22">
        <w:tab/>
        <w:t>având în vedere rezoluția sa din 20 octombrie 2021 referitoare la o strategie „De la fermă la consumator” pentru un sistem alimentar echitabil, sănătos și ecologic</w:t>
      </w:r>
      <w:r w:rsidRPr="00DE3A22">
        <w:rPr>
          <w:rStyle w:val="FootnoteReference"/>
        </w:rPr>
        <w:footnoteReference w:id="2"/>
      </w:r>
      <w:r w:rsidRPr="00DE3A22">
        <w:t>,</w:t>
      </w:r>
    </w:p>
    <w:p w:rsidR="00683FD8" w:rsidRPr="00DE3A22" w:rsidRDefault="00683FD8" w:rsidP="00DA13EF">
      <w:pPr>
        <w:pStyle w:val="NormalHanging12a"/>
        <w:widowControl/>
      </w:pPr>
      <w:r w:rsidRPr="00DE3A22">
        <w:lastRenderedPageBreak/>
        <w:t>–</w:t>
      </w:r>
      <w:r w:rsidRPr="00DE3A22">
        <w:tab/>
        <w:t>având în vedere Rezoluția sa din 19 ianuarie 2023 referitoare la situația pescuitului la scară mică în UE și la perspectivele viitoare</w:t>
      </w:r>
      <w:r w:rsidRPr="00DE3A22">
        <w:rPr>
          <w:rStyle w:val="FootnoteReference"/>
        </w:rPr>
        <w:footnoteReference w:id="3"/>
      </w:r>
      <w:r w:rsidRPr="00DE3A22">
        <w:t>,</w:t>
      </w:r>
    </w:p>
    <w:p w:rsidR="00683FD8" w:rsidRPr="00DE3A22" w:rsidRDefault="00683FD8" w:rsidP="00DA13EF">
      <w:pPr>
        <w:pStyle w:val="NormalHanging12a"/>
        <w:widowControl/>
      </w:pPr>
      <w:r w:rsidRPr="00DE3A22">
        <w:t>–</w:t>
      </w:r>
      <w:r w:rsidRPr="00DE3A22">
        <w:tab/>
        <w:t>având în vedere rezultatul negocierilor cu privire la Regulamentul privind controlul pescuitului,</w:t>
      </w:r>
    </w:p>
    <w:p w:rsidR="00683FD8" w:rsidRPr="00DE3A22" w:rsidRDefault="00683FD8" w:rsidP="00DA13EF">
      <w:pPr>
        <w:pStyle w:val="NormalHanging12a"/>
        <w:widowControl/>
      </w:pPr>
      <w:r w:rsidRPr="00DE3A22">
        <w:t>–</w:t>
      </w:r>
      <w:r w:rsidRPr="00DE3A22">
        <w:tab/>
        <w:t>având în vedere raportul din 2020 al Comitetului științific, tehnic și economic pentru pescuit (CSTEP) privind criteriile și indicatorii pentru introducerea aspectelor de sustenabilitate pentru produsele pescărești în standardele de comercializare din cadrul organizării comune a piețelor (CSTEP-20-05),</w:t>
      </w:r>
    </w:p>
    <w:p w:rsidR="00683FD8" w:rsidRPr="00DE3A22" w:rsidRDefault="00683FD8" w:rsidP="00DA13EF">
      <w:pPr>
        <w:pStyle w:val="NormalHanging12a"/>
        <w:widowControl/>
      </w:pPr>
      <w:r w:rsidRPr="00DE3A22">
        <w:t>–</w:t>
      </w:r>
      <w:r w:rsidRPr="00DE3A22">
        <w:tab/>
        <w:t xml:space="preserve">având în vedere </w:t>
      </w:r>
      <w:proofErr w:type="spellStart"/>
      <w:r w:rsidRPr="00DE3A22">
        <w:t>Eurobarometrul</w:t>
      </w:r>
      <w:proofErr w:type="spellEnd"/>
      <w:r w:rsidRPr="00DE3A22">
        <w:t xml:space="preserve"> special 515 din 2021 intitulat „Obiceiurile consumatorilor din UE în ceea ce privește produsele pescărești și de acvacultură”,</w:t>
      </w:r>
    </w:p>
    <w:p w:rsidR="00683FD8" w:rsidRPr="00DE3A22" w:rsidRDefault="00683FD8" w:rsidP="00DA13EF">
      <w:pPr>
        <w:pStyle w:val="NormalHanging12a"/>
        <w:widowControl/>
      </w:pPr>
      <w:r w:rsidRPr="00DE3A22">
        <w:t>–</w:t>
      </w:r>
      <w:r w:rsidRPr="00DE3A22">
        <w:tab/>
        <w:t>având în vedere comunicarea Comisiei din 3 mai 2022 intitulată „Punerea oamenilor pe primul loc, asigurarea creșterii durabile și favorabile incluziunii, deblocarea potențialului regiunilor ultraperiferice ale UE” (COM(2022)0198),</w:t>
      </w:r>
    </w:p>
    <w:p w:rsidR="00683FD8" w:rsidRPr="00DE3A22" w:rsidRDefault="00683FD8" w:rsidP="00DA13EF">
      <w:pPr>
        <w:pStyle w:val="NormalHanging12a"/>
        <w:widowControl/>
      </w:pPr>
      <w:r w:rsidRPr="00DE3A22">
        <w:t>–</w:t>
      </w:r>
      <w:r w:rsidRPr="00DE3A22">
        <w:tab/>
        <w:t>având în vedere articolul 54 din Regulamentul său de procedură, precum și articolul 1 alineatul (1) litera (e) și anexa 3 din Decizia Conferinței președinților din 12 decembrie 2002 privind procedura de autorizare a rapoartelor din proprie inițiativă,</w:t>
      </w:r>
    </w:p>
    <w:p w:rsidR="00683FD8" w:rsidRPr="00DE3A22" w:rsidRDefault="00683FD8" w:rsidP="00DA13EF">
      <w:pPr>
        <w:pStyle w:val="NormalHanging12a"/>
        <w:widowControl/>
      </w:pPr>
      <w:r w:rsidRPr="00DE3A22">
        <w:t>–</w:t>
      </w:r>
      <w:r w:rsidRPr="00DE3A22">
        <w:tab/>
        <w:t>având în vedere avizul Consiliului consultativ pentru piețe (MAC)</w:t>
      </w:r>
      <w:r w:rsidRPr="00DE3A22">
        <w:rPr>
          <w:rStyle w:val="FootnoteReference"/>
        </w:rPr>
        <w:footnoteReference w:id="4"/>
      </w:r>
      <w:r w:rsidRPr="00DE3A22">
        <w:t xml:space="preserve"> din 30 martie 2022 cu privire la raportul Comisiei intitulat „Punerea în aplicare a Regulamentului (UE) nr. 1379/2013 privind organizarea comună a piețelor în sectorul produselor pescărești și de acvacultură” (COM(2023)0101),</w:t>
      </w:r>
    </w:p>
    <w:p w:rsidR="00683FD8" w:rsidRPr="00DE3A22" w:rsidRDefault="00683FD8" w:rsidP="00DA13EF">
      <w:pPr>
        <w:pStyle w:val="NormalHanging12a"/>
        <w:widowControl/>
      </w:pPr>
      <w:r w:rsidRPr="00DE3A22">
        <w:t>–</w:t>
      </w:r>
      <w:r w:rsidRPr="00DE3A22">
        <w:tab/>
        <w:t>având în vedere avizul Consiliului consultativ pentru piețe (MAC)</w:t>
      </w:r>
      <w:r w:rsidRPr="00DE3A22">
        <w:rPr>
          <w:rStyle w:val="FootnoteReference"/>
        </w:rPr>
        <w:footnoteReference w:id="5"/>
      </w:r>
      <w:r w:rsidRPr="00DE3A22">
        <w:t xml:space="preserve"> din 8 mai 2023 privind îmbunătățirea legislației privind etichetarea produselor de origine vegetală care imită produsele pescărești și de acvacultură,</w:t>
      </w:r>
    </w:p>
    <w:p w:rsidR="00683FD8" w:rsidRPr="00DE3A22" w:rsidRDefault="00683FD8" w:rsidP="00DA13EF">
      <w:pPr>
        <w:pStyle w:val="NormalHanging12a"/>
        <w:widowControl/>
      </w:pPr>
      <w:r w:rsidRPr="00DE3A22">
        <w:t>–</w:t>
      </w:r>
      <w:r w:rsidRPr="00DE3A22">
        <w:tab/>
        <w:t>având în vedere raportul Comisiei pentru pescuit (A9-0406/2023),</w:t>
      </w:r>
    </w:p>
    <w:p w:rsidR="00683FD8" w:rsidRPr="00DE3A22" w:rsidRDefault="00683FD8" w:rsidP="00DA13EF">
      <w:pPr>
        <w:pStyle w:val="NormalHanging12a"/>
        <w:widowControl/>
      </w:pPr>
      <w:r w:rsidRPr="00DE3A22">
        <w:t>A.</w:t>
      </w:r>
      <w:r w:rsidRPr="00DE3A22">
        <w:tab/>
        <w:t>întrucât Parlamentul a subliniat, în rezoluția sa referitoare la o strategie „De la fermă la consumator”, că mecanismele bune de trasabilitate, care răspund cererii consumatorilor, furnizând informații cu privire la locul, momentul și modul în care a fost capturat sau crescut peștele, inclusiv pentru produsele importate din afara UE, sunt esențiale pentru asigurarea siguranței alimentare, garantarea transparenței pentru consumatori, combaterea pescuitului ilegal, nedeclarat și nereglementat (INN) și atingerea țintelor Pactului verde și a obiectivelor de dezvoltare durabilă;</w:t>
      </w:r>
    </w:p>
    <w:p w:rsidR="00683FD8" w:rsidRPr="00DE3A22" w:rsidRDefault="00683FD8" w:rsidP="00DA13EF">
      <w:pPr>
        <w:pStyle w:val="NormalHanging12a"/>
        <w:widowControl/>
      </w:pPr>
      <w:r w:rsidRPr="00DE3A22">
        <w:t>B.</w:t>
      </w:r>
      <w:r w:rsidRPr="00DE3A22">
        <w:tab/>
        <w:t xml:space="preserve">întrucât regulamentul recent revizuit privind controlul pescuitului conține îmbunătățiri majore ale normelor de trasabilitate pentru toate produsele pescărești și de acvacultură; întrucât aceste norme vor fi puse în aplicare treptat, după o perioadă de tranziție – doi ani pentru produsele proaspete și congelate și cinci ani pentru produsele prelucrate – și vor asigura informarea corectă a consumatorilor; întrucât îmbunătățirea etichetării va fi </w:t>
      </w:r>
      <w:r w:rsidRPr="00DE3A22">
        <w:lastRenderedPageBreak/>
        <w:t>un instrument de combatere a pescuitului INN și va contribui la aceasta și la asigurarea unei concurențe loiale;</w:t>
      </w:r>
    </w:p>
    <w:p w:rsidR="00683FD8" w:rsidRPr="00DE3A22" w:rsidRDefault="00683FD8" w:rsidP="00DA13EF">
      <w:pPr>
        <w:pStyle w:val="NormalHanging12a"/>
        <w:widowControl/>
      </w:pPr>
      <w:r w:rsidRPr="00DE3A22">
        <w:t>C.</w:t>
      </w:r>
      <w:r w:rsidRPr="00DE3A22">
        <w:tab/>
        <w:t xml:space="preserve">întrucât peste trei sferturi dintre respondenții la </w:t>
      </w:r>
      <w:proofErr w:type="spellStart"/>
      <w:r w:rsidRPr="00DE3A22">
        <w:t>Eurobarometrul</w:t>
      </w:r>
      <w:proofErr w:type="spellEnd"/>
      <w:r w:rsidRPr="00DE3A22">
        <w:t xml:space="preserve"> special 515 din 2021 consideră că data capturării sau a producției ar trebui menționată pe etichetă pentru toate produsele pescărești și de acvacultură;</w:t>
      </w:r>
    </w:p>
    <w:p w:rsidR="00683FD8" w:rsidRPr="00DE3A22" w:rsidRDefault="00683FD8" w:rsidP="00DA13EF">
      <w:pPr>
        <w:pStyle w:val="NormalHanging12a"/>
        <w:widowControl/>
      </w:pPr>
      <w:r w:rsidRPr="00DE3A22">
        <w:t>D.</w:t>
      </w:r>
      <w:r w:rsidRPr="00DE3A22">
        <w:tab/>
        <w:t>întrucât punerea în aplicare a OCP demonstrează o implementare scăzută legată de crearea de organizații ale producătorilor de pește (OP) din cauza structurii complexe și a cadrului de recunoaștere din statele membre și a incertitudinilor financiare și juridice în ceea ce privește sprijinul financiar și eligibilitatea acțiunilor; întrucât ar trebui abordate și obstacolele cu care se confruntă alte organizații, cum ar fi „</w:t>
      </w:r>
      <w:proofErr w:type="spellStart"/>
      <w:r w:rsidRPr="00DE3A22">
        <w:rPr>
          <w:i/>
        </w:rPr>
        <w:t>Cofradias</w:t>
      </w:r>
      <w:proofErr w:type="spellEnd"/>
      <w:r w:rsidRPr="00DE3A22">
        <w:t>” și „</w:t>
      </w:r>
      <w:proofErr w:type="spellStart"/>
      <w:r w:rsidRPr="00DE3A22">
        <w:rPr>
          <w:i/>
        </w:rPr>
        <w:t>Prud’homie</w:t>
      </w:r>
      <w:proofErr w:type="spellEnd"/>
      <w:r w:rsidRPr="00DE3A22">
        <w:rPr>
          <w:i/>
        </w:rPr>
        <w:t xml:space="preserve"> de </w:t>
      </w:r>
      <w:proofErr w:type="spellStart"/>
      <w:r w:rsidRPr="00DE3A22">
        <w:rPr>
          <w:i/>
        </w:rPr>
        <w:t>pêche</w:t>
      </w:r>
      <w:proofErr w:type="spellEnd"/>
      <w:r w:rsidRPr="00DE3A22">
        <w:t>”;</w:t>
      </w:r>
    </w:p>
    <w:p w:rsidR="00683FD8" w:rsidRPr="00DE3A22" w:rsidRDefault="00683FD8" w:rsidP="00DA13EF">
      <w:pPr>
        <w:pStyle w:val="NormalHanging12a"/>
        <w:widowControl/>
      </w:pPr>
      <w:r w:rsidRPr="00DE3A22">
        <w:t>E.</w:t>
      </w:r>
      <w:r w:rsidRPr="00DE3A22">
        <w:tab/>
        <w:t>întrucât condițiile de activitate din regiunile ultraperiferice necesită soluții unice și adaptate pentru a face față provocărilor legate de dezvoltarea endogenă și de autonomia alimentară,</w:t>
      </w:r>
    </w:p>
    <w:p w:rsidR="00683FD8" w:rsidRPr="00DE3A22" w:rsidRDefault="00683FD8" w:rsidP="00DA13EF">
      <w:pPr>
        <w:pStyle w:val="NormalHanging12a"/>
        <w:widowControl/>
      </w:pPr>
      <w:r w:rsidRPr="00DE3A22">
        <w:rPr>
          <w:b/>
          <w:i/>
        </w:rPr>
        <w:t>Introducere</w:t>
      </w:r>
    </w:p>
    <w:p w:rsidR="00683FD8" w:rsidRPr="00DE3A22" w:rsidRDefault="00683FD8" w:rsidP="00DA13EF">
      <w:pPr>
        <w:pStyle w:val="NormalHanging12a"/>
        <w:widowControl/>
      </w:pPr>
      <w:r w:rsidRPr="00DE3A22">
        <w:t>1.</w:t>
      </w:r>
      <w:r w:rsidRPr="00DE3A22">
        <w:tab/>
        <w:t>reamintește că organizarea comună a piețelor (OCP) face parte integrantă din politica comună în domeniul pescuitului (PCP), alături de măsurile de conservare și financiare, și este vitală pentru atingerea obiectivelor acesteia;</w:t>
      </w:r>
    </w:p>
    <w:p w:rsidR="00683FD8" w:rsidRPr="00DE3A22" w:rsidRDefault="00683FD8" w:rsidP="00DA13EF">
      <w:pPr>
        <w:pStyle w:val="NormalHanging12a"/>
        <w:widowControl/>
      </w:pPr>
      <w:r w:rsidRPr="00DE3A22">
        <w:t>2.</w:t>
      </w:r>
      <w:r w:rsidRPr="00DE3A22">
        <w:tab/>
        <w:t>subliniază că revizuirea din 2013 a Regulamentului OCP a condus la o trecere de la anumite tipuri de intervenții la o abordare mai orientată către piața pe termen lung, cu accent pe dezvoltare și inovare în acest sector și fără a ține seama suficient de situația excepțională a regiunilor menționate la articolul 349 din TFUE;</w:t>
      </w:r>
    </w:p>
    <w:p w:rsidR="00683FD8" w:rsidRPr="00DE3A22" w:rsidRDefault="00683FD8" w:rsidP="00DA13EF">
      <w:pPr>
        <w:pStyle w:val="Subheading"/>
        <w:widowControl/>
        <w:spacing w:before="0"/>
        <w:ind w:left="567" w:hanging="567"/>
      </w:pPr>
      <w:r w:rsidRPr="00DE3A22">
        <w:t>Organizații profesionale</w:t>
      </w:r>
    </w:p>
    <w:p w:rsidR="00683FD8" w:rsidRPr="00DE3A22" w:rsidRDefault="00683FD8" w:rsidP="00DA13EF">
      <w:pPr>
        <w:pStyle w:val="NormalHanging12a"/>
        <w:widowControl/>
      </w:pPr>
      <w:r w:rsidRPr="00DE3A22">
        <w:t>3.</w:t>
      </w:r>
      <w:r w:rsidRPr="00DE3A22">
        <w:tab/>
        <w:t>consideră că organizațiile de producători și organizațiile interprofesionale reprezintă coloana vertebrală a sectorului produselor pescărești și de acvacultură, sprijinind gestionarea curentă a PCP și permițând punerea în aplicare colectivă a acesteia la nivelul producătorilor, asigurând aprovizionarea cu proteine sănătoase și menținând activitatea economică și patrimoniul cultural al zonelor de coastă;</w:t>
      </w:r>
    </w:p>
    <w:p w:rsidR="00683FD8" w:rsidRPr="00DE3A22" w:rsidRDefault="00683FD8" w:rsidP="00DA13EF">
      <w:pPr>
        <w:pStyle w:val="NormalHanging12a"/>
        <w:widowControl/>
      </w:pPr>
      <w:r w:rsidRPr="00DE3A22">
        <w:t>4.</w:t>
      </w:r>
      <w:r w:rsidRPr="00DE3A22">
        <w:tab/>
        <w:t>consideră că organizațiile de producători și organizațiile interprofesionale joacă un rol esențial în a contribui la realizarea obiectivelor PCP, motiv pentru care acestea trebuie sprijinite și întărite în continuare; constată că este esențial să se încurajeze în continuare promovarea, înființarea, consolidarea organizațiilor de producători și a organizațiilor interprofesionale în întreaga UE, inclusiv îmbunătățirea finanțării (care variază de la un stat membru la altul), în special în statele membre în care producția primară a rămas în mare măsură fragmentată (acvacultură, culegători de crustacee, pescuit la scară mică); consideră că o prezență puternică a organizațiilor de producători și a organizațiilor interprofesionale este esențială pentru creșterea prosperității comunităților costiere și insulare, pentru protejarea mediului marin și pentru consolidarea poziției pescarilor și a producătorilor de produse de acvacultură în lanțul de aprovizionare și pentru promovarea activităților sustenabile de pescuit și acvacultură, în special în regiunile ultraperiferice;</w:t>
      </w:r>
    </w:p>
    <w:p w:rsidR="00683FD8" w:rsidRPr="00DE3A22" w:rsidRDefault="00683FD8" w:rsidP="00DA13EF">
      <w:pPr>
        <w:pStyle w:val="NormalHanging12a"/>
        <w:widowControl/>
      </w:pPr>
      <w:r w:rsidRPr="00DE3A22">
        <w:lastRenderedPageBreak/>
        <w:t>5.</w:t>
      </w:r>
      <w:r w:rsidRPr="00DE3A22">
        <w:tab/>
        <w:t>salută recunoașterea de către Comisie a faptului că planurile de producție și de comercializare (PPC) sunt esențiale pentru a contribui la atingerea obiectivelor atribuite OCP-urilor prin articolul 35 din Regulamentul PCP și că prezența puternică a organizațiilor de producători care funcționează bine este un factor decisiv; constată, însă, că trebuie depuse mai multe eforturi pentru a sprijini munca de zi cu zi a organizațiilor de producători legată de punerea în aplicare a PPC și pentru a asigura accesul concret la finanțare pentru toate organizațiile de producători; invită, prin urmare, Comisia să conceapă documente de orientare actualizate ale serviciilor sale în acest sens, precum și acțiuni care să faciliteze în mai mare măsură accesul tuturor segmentelor de flotă;</w:t>
      </w:r>
    </w:p>
    <w:p w:rsidR="00683FD8" w:rsidRPr="00DE3A22" w:rsidRDefault="00683FD8" w:rsidP="00DA13EF">
      <w:pPr>
        <w:pStyle w:val="NormalHanging12a"/>
        <w:widowControl/>
      </w:pPr>
      <w:r w:rsidRPr="00DE3A22">
        <w:t>6.</w:t>
      </w:r>
      <w:r w:rsidRPr="00DE3A22">
        <w:tab/>
        <w:t>concluzionează că organizațiile de producători și organizațiile interprofesionale care funcționează în mod corespunzător au, în general, măsuri și acțiuni de succes, dar observă că există încă o lipsă de organizații de producători și de organizații interprofesionale dedicate micilor pescari, culegătorilor de crustacee și fermierilor din domeniul acvaculturii, în special în regiunile ultraperiferice; constată că impedimentele financiare din unele state membre creează dificultăți, în special pentru segmentul la scară mică; ia act de faptul că organizațiile de producători din domeniul acvaculturii aflate în prezent în funcțiune au avut un succes deosebit în activitățile lor de promovare și comunicare;</w:t>
      </w:r>
    </w:p>
    <w:p w:rsidR="00683FD8" w:rsidRPr="00DE3A22" w:rsidRDefault="00683FD8" w:rsidP="00DA13EF">
      <w:pPr>
        <w:pStyle w:val="NormalHanging12a"/>
        <w:widowControl/>
      </w:pPr>
      <w:r w:rsidRPr="00DE3A22">
        <w:t>7.</w:t>
      </w:r>
      <w:r w:rsidRPr="00DE3A22">
        <w:tab/>
        <w:t>salută recunoașterea de către Comisie a faptului că finanțarea și crearea de structuri pentru a partaja și a organiza sprijinul financiar acordat organizațiilor profesionale transnaționale reprezintă un aspect-cheie; constată că acest lucru este deosebit de relevant pentru sectorul diversificat al pescuitului costier la scară mică, în cadrul căruia își desfășoară activitatea majoritatea flotei UE;</w:t>
      </w:r>
    </w:p>
    <w:p w:rsidR="00683FD8" w:rsidRPr="00DE3A22" w:rsidRDefault="00683FD8" w:rsidP="00DA13EF">
      <w:pPr>
        <w:pStyle w:val="NormalHanging12a"/>
        <w:widowControl/>
      </w:pPr>
      <w:r w:rsidRPr="00DE3A22">
        <w:t>8.</w:t>
      </w:r>
      <w:r w:rsidRPr="00DE3A22">
        <w:tab/>
        <w:t>îndeamnă statele membre să ofere sprijinul administrativ și financiar adecvat pentru înființarea și funcționarea noilor organizații de producători, în special în domeniul pescuitului costier la scară mică, evidențiind mai ales importanța lor socială și culturală, și să simplifice dispozițiile pentru recunoașterea acestora;</w:t>
      </w:r>
    </w:p>
    <w:p w:rsidR="00683FD8" w:rsidRPr="00DE3A22" w:rsidRDefault="00683FD8" w:rsidP="00DA13EF">
      <w:pPr>
        <w:pStyle w:val="NormalHanging12a"/>
        <w:widowControl/>
      </w:pPr>
      <w:r w:rsidRPr="00DE3A22">
        <w:t>9.</w:t>
      </w:r>
      <w:r w:rsidRPr="00DE3A22">
        <w:tab/>
        <w:t>îndeamnă statele membre să îmbunătățească consecvența în ceea ce privește sprijinul acordat organizațiilor de producători de către autoritățile naționale și să reducă în cea mai mare măsură posibilă lacunele și diferențele existente la nivelul UE, inclusiv pentru finanțarea PPC, cu scopul de a asigura condiții de concurență mai echitabile pentru organizațiile de producători; solicită Comisiei să continue să sprijine statele membre în acest domeniu;</w:t>
      </w:r>
    </w:p>
    <w:p w:rsidR="00683FD8" w:rsidRPr="00DE3A22" w:rsidRDefault="00683FD8" w:rsidP="00DA13EF">
      <w:pPr>
        <w:pStyle w:val="NormalHanging12a"/>
        <w:widowControl/>
      </w:pPr>
      <w:r w:rsidRPr="00DE3A22">
        <w:t>10.</w:t>
      </w:r>
      <w:r w:rsidRPr="00DE3A22">
        <w:tab/>
        <w:t xml:space="preserve">consideră că, în prezent, în statele membre există organizații care îndeplinesc sarcini și funcții care intră în sfera de competență a organizațiilor de producători și a organizațiilor interprofesionale, dar că aceste organizații nu se pot califica drept organizații de producători în temeiul Regulamentului OCP, cum ar fi comitetele pentru pescuit </w:t>
      </w:r>
      <w:proofErr w:type="spellStart"/>
      <w:r w:rsidRPr="00DE3A22">
        <w:rPr>
          <w:i/>
        </w:rPr>
        <w:t>Prud’homie</w:t>
      </w:r>
      <w:proofErr w:type="spellEnd"/>
      <w:r w:rsidRPr="00DE3A22">
        <w:rPr>
          <w:i/>
        </w:rPr>
        <w:t xml:space="preserve"> de </w:t>
      </w:r>
      <w:proofErr w:type="spellStart"/>
      <w:r w:rsidRPr="00DE3A22">
        <w:rPr>
          <w:i/>
        </w:rPr>
        <w:t>pêche</w:t>
      </w:r>
      <w:proofErr w:type="spellEnd"/>
      <w:r w:rsidRPr="00DE3A22">
        <w:t xml:space="preserve"> și </w:t>
      </w:r>
      <w:proofErr w:type="spellStart"/>
      <w:r w:rsidRPr="00DE3A22">
        <w:rPr>
          <w:i/>
        </w:rPr>
        <w:t>Cofradías</w:t>
      </w:r>
      <w:proofErr w:type="spellEnd"/>
      <w:r w:rsidRPr="00DE3A22">
        <w:t>; consideră că aceste organizații joacă un rol esențial în gestionarea resurselor locale, deoarece alocă cote și se ocupă de aspecte legate de conservarea stocurilor de pește, promovează și păstrează produsele tradiționale, în special în comunitățile costiere;</w:t>
      </w:r>
    </w:p>
    <w:p w:rsidR="00683FD8" w:rsidRPr="00DE3A22" w:rsidRDefault="00683FD8" w:rsidP="00DA13EF">
      <w:pPr>
        <w:pStyle w:val="NormalHanging12a"/>
        <w:widowControl/>
      </w:pPr>
      <w:r w:rsidRPr="00DE3A22">
        <w:t>11.</w:t>
      </w:r>
      <w:r w:rsidRPr="00DE3A22">
        <w:tab/>
        <w:t xml:space="preserve">consideră că aceste organizații ar trebui să fie recunoscute în temeiul Regulamentului OCP, astfel încât să beneficieze de aceleași drepturi, inclusiv de sprijin financiar, și să aibă aceleași responsabilități ca organizațiile de producători; invită Comisia să </w:t>
      </w:r>
      <w:r w:rsidRPr="00DE3A22">
        <w:lastRenderedPageBreak/>
        <w:t>întreprindă acțiuni în acest sens în coordonare cu statele membre în cauză, inclusiv prin luarea în considerare a adaptării corespunzătoare a normelor OCP atunci când este necesar, și să se asigure că există sisteme adecvate pentru a verifica dacă organizațiile de producători funcționează după normele aplicabile;</w:t>
      </w:r>
    </w:p>
    <w:p w:rsidR="00683FD8" w:rsidRPr="00DE3A22" w:rsidRDefault="00683FD8" w:rsidP="00DA13EF">
      <w:pPr>
        <w:pStyle w:val="NormalHanging12a"/>
        <w:widowControl/>
      </w:pPr>
      <w:r w:rsidRPr="00DE3A22">
        <w:t>12.</w:t>
      </w:r>
      <w:r w:rsidRPr="00DE3A22">
        <w:tab/>
        <w:t xml:space="preserve">ia act de faptul că criza provocată de pandemia de COVID-19 a dus la închiderea bruscă a majorității punctelor de vânzare pentru produsele alimentare proaspete de origine acvatică, inclusiv în regiunile ultraperiferice, făcând oportună restabilirea opțiunii de a utiliza mecanisme de ajutor pentru depozitare și extinderea acestora la organizațiile de producători din domeniul acvaculturii și al </w:t>
      </w:r>
      <w:proofErr w:type="spellStart"/>
      <w:r w:rsidRPr="00DE3A22">
        <w:t>mitiliculturii</w:t>
      </w:r>
      <w:proofErr w:type="spellEnd"/>
      <w:r w:rsidRPr="00DE3A22">
        <w:t>;</w:t>
      </w:r>
    </w:p>
    <w:p w:rsidR="00683FD8" w:rsidRPr="00DE3A22" w:rsidRDefault="00683FD8" w:rsidP="00DA13EF">
      <w:pPr>
        <w:pStyle w:val="NormalHanging12a"/>
        <w:widowControl/>
        <w:rPr>
          <w:b/>
          <w:i/>
        </w:rPr>
      </w:pPr>
      <w:r w:rsidRPr="00DE3A22">
        <w:rPr>
          <w:b/>
          <w:i/>
        </w:rPr>
        <w:t>Standarde comune de comercializare</w:t>
      </w:r>
    </w:p>
    <w:p w:rsidR="00683FD8" w:rsidRPr="00DE3A22" w:rsidRDefault="00683FD8" w:rsidP="00DA13EF">
      <w:pPr>
        <w:pStyle w:val="NormalHanging12a"/>
        <w:widowControl/>
      </w:pPr>
      <w:r w:rsidRPr="00DE3A22">
        <w:t>13.</w:t>
      </w:r>
      <w:r w:rsidRPr="00DE3A22">
        <w:tab/>
        <w:t xml:space="preserve">reamintește că multe dintre standardele de comercializare incluse în Regulamentul OCP din 2013 datează din perioada anilor 1980 și 1990; constată că, potrivit evaluării Comisiei, aceste standarde au fost, în general, relevante și eficiente și adus valoare adăugată; </w:t>
      </w:r>
    </w:p>
    <w:p w:rsidR="00683FD8" w:rsidRPr="00DE3A22" w:rsidRDefault="00683FD8" w:rsidP="00DA13EF">
      <w:pPr>
        <w:pStyle w:val="NormalHanging12a"/>
        <w:widowControl/>
      </w:pPr>
      <w:r w:rsidRPr="00DE3A22">
        <w:t>14.</w:t>
      </w:r>
      <w:r w:rsidRPr="00DE3A22">
        <w:tab/>
        <w:t>subliniază că evaluarea Comisiei și consultările subiacente au identificat oportunități de simplificare, raționalizare și modernizare a standardelor; menționează că a constatat, de asemenea, un nivel relativ scăzut de monitorizare de către autoritățile naționale în ceea ce privește asigurarea conformității cu standardele, astfel că este mai necesară ca niciodată armonizarea legislației privind monitorizarea și inspecțiile în toate statele membre ale Uniunii;</w:t>
      </w:r>
    </w:p>
    <w:p w:rsidR="00683FD8" w:rsidRPr="00DE3A22" w:rsidRDefault="00683FD8" w:rsidP="00DA13EF">
      <w:pPr>
        <w:pStyle w:val="NormalHanging12a"/>
        <w:widowControl/>
      </w:pPr>
      <w:r w:rsidRPr="00DE3A22">
        <w:t>15.</w:t>
      </w:r>
      <w:r w:rsidRPr="00DE3A22">
        <w:tab/>
        <w:t>consideră că standardele de comercializare pentru produsele alimentare de origine acvatică introduse pe piața UE, indiferent de unde provin, ar trebui să respecte standarde armonizate de mediu și de sustenabilitate socială; solicită ca aceste standarde să fie incluse în acordurile comerciale și măsurile adoptate în cadrul organizațiilor regionale de gestionare a pescuitului (ORGP), deoarece este important să se asigure că operatorii beneficiază de condiții de concurență echitabile și că producătorii din UE nu sunt dezavantajați în mod nejustificat pe piață; consideră că este esențial să se valorifice potențialul certificării, în special al denumirilor de origine protejate (DOP) și al avantajelor acestora din punctul de vedere al sustenabilității ecologice, pentru a promova produsele de acvacultură;</w:t>
      </w:r>
    </w:p>
    <w:p w:rsidR="00683FD8" w:rsidRPr="00DE3A22" w:rsidRDefault="00683FD8" w:rsidP="00DA13EF">
      <w:pPr>
        <w:pStyle w:val="NormalHanging12a"/>
        <w:widowControl/>
      </w:pPr>
      <w:r w:rsidRPr="00DE3A22">
        <w:t>16.</w:t>
      </w:r>
      <w:r w:rsidRPr="00DE3A22">
        <w:tab/>
        <w:t>subliniază că evaluarea Comisiei a identificat deficiențe ale cadrului existent în ceea ce privește capacitatea sa de a atinge obiectivele Regulamentului OCP;</w:t>
      </w:r>
    </w:p>
    <w:p w:rsidR="00683FD8" w:rsidRPr="00DE3A22" w:rsidRDefault="00683FD8" w:rsidP="00DA13EF">
      <w:pPr>
        <w:pStyle w:val="NormalHanging12a"/>
        <w:widowControl/>
      </w:pPr>
      <w:r w:rsidRPr="00DE3A22">
        <w:t>17.</w:t>
      </w:r>
      <w:r w:rsidRPr="00DE3A22">
        <w:tab/>
        <w:t>solicită Comisiei să își intensifice eforturile pentru a depista cazurile de nerespectare a legislației și pentru a asigura condiții de concurență echitabile în toate statele membre; propune, în special, să se ia în considerare bunele practici în domeniul punerii în aplicare și al respectării legislației privind comercializarea și protecția ecosistemelor;</w:t>
      </w:r>
    </w:p>
    <w:p w:rsidR="00683FD8" w:rsidRPr="00DE3A22" w:rsidRDefault="00683FD8" w:rsidP="00DA13EF">
      <w:pPr>
        <w:pStyle w:val="NormalHanging12a"/>
        <w:widowControl/>
      </w:pPr>
      <w:r w:rsidRPr="00DE3A22">
        <w:t>18.</w:t>
      </w:r>
      <w:r w:rsidRPr="00DE3A22">
        <w:tab/>
        <w:t>subliniază că este esențial ca standardele de comercializare pentru toate produsele comercializate în UE să fie aliniate și actualizate în conformitate cu cerințele și obiectivele PCP pentru a spori concurența loială și claritatea între toți actorii, fiind esențial să se sublinieze integrarea indicilor de referință sociali și de mediu pentru a asigura sustenabilitatea globală; menționează, în acest sens, că se va ține seama de caracteristicile specifice ale piețelor din regiunile menționate la articolul 349 din TFUE;</w:t>
      </w:r>
    </w:p>
    <w:p w:rsidR="00683FD8" w:rsidRPr="00DE3A22" w:rsidRDefault="00683FD8" w:rsidP="00DA13EF">
      <w:pPr>
        <w:pStyle w:val="Normal12a24b"/>
        <w:widowControl/>
        <w:spacing w:before="0"/>
        <w:ind w:left="567" w:hanging="567"/>
        <w:rPr>
          <w:b/>
          <w:i/>
        </w:rPr>
      </w:pPr>
      <w:r w:rsidRPr="00DE3A22">
        <w:rPr>
          <w:b/>
          <w:i/>
        </w:rPr>
        <w:lastRenderedPageBreak/>
        <w:t>Informarea consumatorilor</w:t>
      </w:r>
    </w:p>
    <w:p w:rsidR="00683FD8" w:rsidRPr="00DE3A22" w:rsidRDefault="00683FD8" w:rsidP="00DA13EF">
      <w:pPr>
        <w:pStyle w:val="NormalHanging12a"/>
        <w:widowControl/>
      </w:pPr>
      <w:r w:rsidRPr="00DE3A22">
        <w:t>19.</w:t>
      </w:r>
      <w:r w:rsidRPr="00DE3A22">
        <w:tab/>
        <w:t>este de acord că, pentru ca OCP să își atingă pe deplin obiectivele, autoritățile competente trebuie să se asigure că consumatorii sunt informați, prin campanii promoționale, de marketing și educaționale, despre beneficiile nutriționale și beneficiile pentru sănătate și sustenabilitate ale consumului de produse pescărești și de acvacultură, despre varietatea mare de specii disponibile și despre importanța înțelegerii informațiilor de pe etichete, evitându-se totodată informarea greșită a consumatorilor și asigurând alinierea la sistemele alimentare ale UE; este de opinie că pentru ca consumatorii să poată face alegeri în cunoștință de cauză, aceștia ar trebui să primească informații clare și complete cu privire la produsele vândute pe piața UE și că aceste informații ar trebui să respecte aceleași norme, indiferent de originea produselor și mijloacele de producție;</w:t>
      </w:r>
    </w:p>
    <w:p w:rsidR="00683FD8" w:rsidRPr="00DE3A22" w:rsidRDefault="00683FD8" w:rsidP="00DA13EF">
      <w:pPr>
        <w:pStyle w:val="NormalHanging12a"/>
        <w:widowControl/>
      </w:pPr>
      <w:r w:rsidRPr="00DE3A22">
        <w:t>20.</w:t>
      </w:r>
      <w:r w:rsidRPr="00DE3A22">
        <w:tab/>
        <w:t>reliefează faptul că CSTEP a propus îmbunătățirea informării consumatorilor prin includerea de informații mai detaliate despre zona de captură, uneltele de pescuit și metodele de producție în OCP; invită, prin urmare, Comisia să aibă în vedere consolidarea standardelor de comercializare pentru a include mai multe informații pe etichete, cum ar fi, printre altele, ingredientele, zona geografică de pescuit și uneltele de pescuit,  fără a adăuga sarcini administrative inutile pentru producători și organizațiile de producători; este de opinie că ar trebui efectuate revizuiri periodice pentru a asigura conformitatea și a evalua eficacitatea acestor standarde armonizate, deoarece acest lucru va contribui la identificarea domeniilor în care se pot aduce îmbunătățiri și la asigurarea faptului că standardele rămân relevante și actualizate;</w:t>
      </w:r>
    </w:p>
    <w:p w:rsidR="00683FD8" w:rsidRPr="00DE3A22" w:rsidRDefault="00683FD8" w:rsidP="00DA13EF">
      <w:pPr>
        <w:pStyle w:val="NormalHanging12a"/>
        <w:widowControl/>
      </w:pPr>
      <w:r w:rsidRPr="00DE3A22">
        <w:t>21.</w:t>
      </w:r>
      <w:r w:rsidRPr="00DE3A22">
        <w:tab/>
        <w:t>este de opinie că consumatorii ar trebui să poată identifica în mod clar originea produselor, deoarece este o informație din ce în ce mai apreciată de consumatorii europeni și care îi încurajează să consume alimente locale, care sunt produse sau obținute în zona lor; atrage atenția asupra necesității de a schimba sistemul actual de identificare a produselor pescărești prin zonele FAO, sistem care nu permite identificarea clară și detaliată a originii și poate duce la confuzii;</w:t>
      </w:r>
    </w:p>
    <w:p w:rsidR="00683FD8" w:rsidRPr="00DE3A22" w:rsidRDefault="00683FD8" w:rsidP="00DA13EF">
      <w:pPr>
        <w:pStyle w:val="NormalHanging12a"/>
        <w:widowControl/>
      </w:pPr>
      <w:r w:rsidRPr="00DE3A22">
        <w:t>22.</w:t>
      </w:r>
      <w:r w:rsidRPr="00DE3A22">
        <w:tab/>
        <w:t>invită Comisia și statele membre să promoveze și să stabilească noi denumiri de calitate protejate, datorită beneficiilor cunoscute și dovedite ale acestora pentru produsele pescărești și de acvacultură din UE și solicită îmbunătățirea comercializării acestor produse; îndeamnă Comisia să faciliteze aplicarea viitoarelor norme care vor aduce beneficii semnificative acestor structuri de calitate, scurtând, în măsura posibilităților, termenele de prelucrare a dosarelor;</w:t>
      </w:r>
    </w:p>
    <w:p w:rsidR="00683FD8" w:rsidRPr="00DE3A22" w:rsidRDefault="00683FD8" w:rsidP="00DA13EF">
      <w:pPr>
        <w:pStyle w:val="NormalHanging12a"/>
        <w:widowControl/>
      </w:pPr>
      <w:r w:rsidRPr="00DE3A22">
        <w:t>23.</w:t>
      </w:r>
      <w:r w:rsidRPr="00DE3A22">
        <w:tab/>
        <w:t>susține că trasabilitatea și măsurile de transparență aferente sunt necesare pentru a asigura respectarea normelor PCP aplicabile; consideră că, dacă aceste măsuri sunt susținute de un sistem adecvat de etichetare, care ar trebui să fie obligatoriu pentru produsele alimentare de origine acvatică prelucrate, proaspete și conservate, ele pot garanta că informațiile furnizate consumatorilor sunt exacte, clare, complete, de încredere și fiabile; subliniază faptul că un astfel de sistem de etichetare este vital pentru combaterea atât a fraudelor din sectorul alimentar, inclusiv a etichetării greșite, cât și a pescuitului INN; consideră că trasabilitatea produselor trebuie consolidată și garantată pe parcursul tuturor etapelor lanțului valoric, nu doar pentru a oferi beneficii economice și comerciale, ci și pentru a contribui la eforturile de protejare a sănătății; salută, în acest sens, introducerea, prin noul Regulament privind controlul pescuitului, a certificatului de captură pentru produsele importate;</w:t>
      </w:r>
    </w:p>
    <w:p w:rsidR="00683FD8" w:rsidRPr="00DE3A22" w:rsidRDefault="00683FD8" w:rsidP="00DA13EF">
      <w:pPr>
        <w:pStyle w:val="NormalHanging12a"/>
        <w:widowControl/>
      </w:pPr>
      <w:r w:rsidRPr="00DE3A22">
        <w:lastRenderedPageBreak/>
        <w:t>24.</w:t>
      </w:r>
      <w:r w:rsidRPr="00DE3A22">
        <w:tab/>
        <w:t xml:space="preserve">constată că, în cadrul consultărilor sale, Comisia a primit rapoarte care indică faptul că cerințele privind informarea obligatorie a consumatorilor nu au fost îndeplinite în unele state membre; ia act de faptul că punerea în aplicare în întreaga UE este considerată a fi inegală și acest lucru este deosebit de semnificativ în unele segmente, cum ar fi pescăriile și unitățile de restaurație colectivă; reamintește că etichetarea trebuie să ofere o descriere exactă a produselor pescărești și </w:t>
      </w:r>
      <w:proofErr w:type="spellStart"/>
      <w:r w:rsidRPr="00DE3A22">
        <w:t>nepescărești</w:t>
      </w:r>
      <w:proofErr w:type="spellEnd"/>
      <w:r w:rsidRPr="00DE3A22">
        <w:t>, evitând frauda și reclamele înșelătoare care dăunează consumatorilor și pescarilor, în special atunci când se menționează produsele de substituție, deoarece, în multe cazuri, se folosesc imagini care îi determină pe consumatori să creadă că anumite produse sunt produse pescărești când în realitate nu sunt; este preocupat de faptul că unele produse de pe piață, cum ar fi produsele pe bază de plante, folosesc termeni utilizați exclusiv pentru produse pescărești, deși nu sunt astfel de produse; consideră că Comisia ar trebui să investigheze mai îndeaproape această chestiune, pe baza rapoartelor primite;</w:t>
      </w:r>
    </w:p>
    <w:p w:rsidR="00683FD8" w:rsidRPr="00DE3A22" w:rsidRDefault="00683FD8" w:rsidP="00DA13EF">
      <w:pPr>
        <w:pStyle w:val="NormalHanging12a"/>
        <w:widowControl/>
      </w:pPr>
      <w:r w:rsidRPr="00DE3A22">
        <w:t>25.</w:t>
      </w:r>
      <w:r w:rsidRPr="00DE3A22">
        <w:tab/>
        <w:t>consideră, prin urmare, că denumirea comercială „pește” sau „specii de pește” ar trebui rezervată pe piața unică pentru produsele pescărești sau de acvacultură de origine animală; invită, în acest sens, Comisia să revizuiască legislația actuală privind etichetarea și prezentarea produselor pe bază de plante care imită produsele pescărești și de acvacultură într-un mod care să asigure faptul că consumatorilor li se oferă informații adevărate și exacte, care să nu conducă la neînțelegeri și să păstreze egalitatea de șanse pe piața UE;</w:t>
      </w:r>
    </w:p>
    <w:p w:rsidR="00683FD8" w:rsidRPr="00DE3A22" w:rsidRDefault="00683FD8" w:rsidP="00DA13EF">
      <w:pPr>
        <w:widowControl/>
        <w:spacing w:after="240"/>
        <w:ind w:left="567" w:hanging="567"/>
        <w:rPr>
          <w:b/>
          <w:i/>
        </w:rPr>
      </w:pPr>
      <w:r w:rsidRPr="00DE3A22">
        <w:rPr>
          <w:b/>
          <w:i/>
        </w:rPr>
        <w:t>Norme de concurență</w:t>
      </w:r>
    </w:p>
    <w:p w:rsidR="00683FD8" w:rsidRPr="00DE3A22" w:rsidRDefault="00683FD8" w:rsidP="00DA13EF">
      <w:pPr>
        <w:pStyle w:val="NormalHanging12a"/>
        <w:widowControl/>
      </w:pPr>
      <w:r w:rsidRPr="00DE3A22">
        <w:t>26.</w:t>
      </w:r>
      <w:r w:rsidRPr="00DE3A22">
        <w:tab/>
        <w:t>reamintește că organizațiile de producători și organizațiile interprofesionale pot fi exceptate de la aplicarea normelor în materie de concurență pentru a-și atinge obiectivele, sub rezerva anumitor condiții, inclusiv faptul că activitățile lor nu conduc la împărțirea piețelor, nu exclud concurența și nu elimină concurența;</w:t>
      </w:r>
    </w:p>
    <w:p w:rsidR="00683FD8" w:rsidRPr="00DE3A22" w:rsidRDefault="00683FD8" w:rsidP="00DA13EF">
      <w:pPr>
        <w:pStyle w:val="NormalHanging12a"/>
        <w:widowControl/>
      </w:pPr>
      <w:r w:rsidRPr="00DE3A22">
        <w:t>27.</w:t>
      </w:r>
      <w:r w:rsidRPr="00DE3A22">
        <w:tab/>
        <w:t xml:space="preserve">constată că această scutire este esențială pentru a permite anumite practici utilizate de organizațiile de producători și de organizațiile interprofesionale, în special în regiunile ultraperiferice, cum ar fi controlul cantităților introduse pe piață de membrii lor pentru a stabiliza piețele și prețurile, a respecta cerințele de conservare și a evita risipa de alimente; concluzionează că este posibil ca organismele colective de producători nerecunoscute (de exemplu, cooperative, </w:t>
      </w:r>
      <w:proofErr w:type="spellStart"/>
      <w:r w:rsidRPr="00DE3A22">
        <w:rPr>
          <w:i/>
        </w:rPr>
        <w:t>Cofradías</w:t>
      </w:r>
      <w:proofErr w:type="spellEnd"/>
      <w:r w:rsidRPr="00DE3A22">
        <w:t>) să nu beneficieze de scutirea prevăzută de criteriile actuale pentru organizațiile de producători;</w:t>
      </w:r>
    </w:p>
    <w:p w:rsidR="00683FD8" w:rsidRPr="00DE3A22" w:rsidRDefault="00683FD8" w:rsidP="00DA13EF">
      <w:pPr>
        <w:pStyle w:val="NormalHanging12a"/>
        <w:widowControl/>
      </w:pPr>
      <w:r w:rsidRPr="00DE3A22">
        <w:t>28.</w:t>
      </w:r>
      <w:r w:rsidRPr="00DE3A22">
        <w:tab/>
        <w:t>subliniază că aproximativ 70 % din fructele de mare consumate în UE sunt importate din țări terțe, ceea ce face ca UE să depindă de aceste importuri pentru consumul propriu; evidențiază că pescuitul, acvacultura și sectoarele conexe trebuie să fie profitabile pentru a putea face investițiile necesare funcționării, în timp ce rentabilitatea este posibilă numai dacă produsele sunt competitive în raport cu importurile din țări terțe; invită Comisia și Consiliul să se asigure că politica comercială a UE permite condiții de concurență echitabile între produsele din UE și cele importate și să promoveze consumul de produse alimentare de origine acvatică sustenabile (ecologic, economic și social) provenite din UE;</w:t>
      </w:r>
    </w:p>
    <w:p w:rsidR="00683FD8" w:rsidRPr="00DE3A22" w:rsidRDefault="00683FD8" w:rsidP="00DA13EF">
      <w:pPr>
        <w:pStyle w:val="NormalHanging12a"/>
        <w:widowControl/>
      </w:pPr>
      <w:r w:rsidRPr="00DE3A22">
        <w:t>29.</w:t>
      </w:r>
      <w:r w:rsidRPr="00DE3A22">
        <w:tab/>
        <w:t>încurajează Comisia să inițieze un dialog cu organizațiile de producători și alte părți interesate relevante privind contingentele tarifare autonome;</w:t>
      </w:r>
    </w:p>
    <w:p w:rsidR="00683FD8" w:rsidRPr="00DE3A22" w:rsidRDefault="00683FD8" w:rsidP="00DA13EF">
      <w:pPr>
        <w:widowControl/>
        <w:spacing w:after="240"/>
        <w:ind w:left="567" w:hanging="567"/>
      </w:pPr>
      <w:r w:rsidRPr="00DE3A22">
        <w:rPr>
          <w:b/>
          <w:i/>
        </w:rPr>
        <w:t>Cunoașterea pieței și gestionarea crizelor</w:t>
      </w:r>
    </w:p>
    <w:p w:rsidR="00683FD8" w:rsidRPr="00DE3A22" w:rsidRDefault="00683FD8" w:rsidP="00DA13EF">
      <w:pPr>
        <w:pStyle w:val="NormalHanging12a"/>
        <w:widowControl/>
      </w:pPr>
      <w:r w:rsidRPr="00DE3A22">
        <w:lastRenderedPageBreak/>
        <w:t>30.</w:t>
      </w:r>
      <w:r w:rsidRPr="00DE3A22">
        <w:tab/>
        <w:t>reamintește că Observatorul Pieței Europene pentru produse provenite din pescuit și din acvacultură (EUMOFA) oferă informații despre piață operatorilor din sectorul pescuitului pentru a-i ajuta să înțeleagă mai bine tendințele pieței; observă că un site web și o bază de date dedicate sunt online din aprilie 2013 și sunt pe deplin operaționale de la intrarea în vigoare a OCP revizuit, în beneficiul organismelor de cercetare, al părților interesate și al publicului larg prin îmbunătățirea accesului la informațiile și datele de piață;</w:t>
      </w:r>
    </w:p>
    <w:p w:rsidR="00683FD8" w:rsidRPr="00DE3A22" w:rsidRDefault="00683FD8" w:rsidP="00DA13EF">
      <w:pPr>
        <w:pStyle w:val="NormalHanging12a"/>
        <w:widowControl/>
      </w:pPr>
      <w:r w:rsidRPr="00DE3A22">
        <w:t>31.</w:t>
      </w:r>
      <w:r w:rsidRPr="00DE3A22">
        <w:tab/>
        <w:t>reamintește că EUMOFA furnizează informații de piață pe baza nomenclaturii combinate existente a tarifului vamal comun al UE; consideră că acesta din urmă ar trebui actualizat pentru a include noi categorii de produse pescărești care sunt comercializate în cantități din ce în ce mai mari în UE, precum și pentru a oferi instrumente digitale mai intuitive și mai cuprinzătoare; invită Comisia să exploreze modalități de îmbunătățire în continuare a informațiilor privind piața produselor pescărești și de acvacultură, în special prin îmbunătățirea analizei pieței prin diferențierea diferitelor părți ale Europei cu obiceiuri de consum diferite ale speciilor de pește;</w:t>
      </w:r>
    </w:p>
    <w:p w:rsidR="00683FD8" w:rsidRPr="00DE3A22" w:rsidRDefault="00683FD8" w:rsidP="00DA13EF">
      <w:pPr>
        <w:pStyle w:val="NormalHanging12a"/>
        <w:widowControl/>
      </w:pPr>
      <w:r w:rsidRPr="00DE3A22">
        <w:t>32.</w:t>
      </w:r>
      <w:r w:rsidRPr="00DE3A22">
        <w:tab/>
        <w:t>ia act de faptul că EUMOFA a fost utilizat pentru a declanșa măsuri de criză pentru a aborda impactul pandemiei de COVID-19;</w:t>
      </w:r>
    </w:p>
    <w:p w:rsidR="00683FD8" w:rsidRPr="00DE3A22" w:rsidRDefault="00683FD8" w:rsidP="00DA13EF">
      <w:pPr>
        <w:pStyle w:val="NormalHanging12a"/>
        <w:widowControl/>
      </w:pPr>
      <w:r w:rsidRPr="00DE3A22">
        <w:t>33.</w:t>
      </w:r>
      <w:r w:rsidRPr="00DE3A22">
        <w:tab/>
        <w:t>invită Comisia ca, la următoarea revizuire a OCP, să studieze posibilitatea înființării unei rezerve sau a unui sistem pentru situații de criză, care să includă ajutor pentru depozitare, ca măsură de protecție a sectorului în fața eventualelor situații excepționale care ar putea apărea în sectorul UE al pescuitului și acvaculturii; reamintește că recent a fost nevoie de ajutoare excepționale pentru a rezolva criza cauzată de pandemia de COVID-19; invită Comisia să definească criteriile de utilizare a acestor ajutoare și să asigure faptul că ele pot fi adaptate la perturbări specifice ale pieței, pornind de la modelul rezervei de criză care există deja pentru alte sectoare alimentare, precum și să aibă în vedere alte măsuri care ar putea fi utile pentru atenuarea perturbărilor grave ale pieței;</w:t>
      </w:r>
    </w:p>
    <w:p w:rsidR="00683FD8" w:rsidRPr="00DE3A22" w:rsidRDefault="00683FD8" w:rsidP="00DA13EF">
      <w:pPr>
        <w:pStyle w:val="Normal12a24b"/>
        <w:widowControl/>
        <w:spacing w:before="0"/>
        <w:ind w:left="567" w:hanging="567"/>
        <w:rPr>
          <w:i/>
        </w:rPr>
      </w:pPr>
      <w:r w:rsidRPr="00DE3A22">
        <w:rPr>
          <w:rStyle w:val="Bold"/>
          <w:i/>
        </w:rPr>
        <w:t>Concluzii</w:t>
      </w:r>
    </w:p>
    <w:p w:rsidR="00683FD8" w:rsidRPr="00DE3A22" w:rsidRDefault="00683FD8" w:rsidP="00DA13EF">
      <w:pPr>
        <w:pStyle w:val="NormalHanging12a"/>
        <w:widowControl/>
      </w:pPr>
      <w:r w:rsidRPr="00DE3A22">
        <w:t>34.</w:t>
      </w:r>
      <w:r w:rsidRPr="00DE3A22">
        <w:tab/>
        <w:t>salută progresele înregistrate în punerea în aplicare a normelor OCP; subliniază necesitatea unor eforturi suplimentare pentru a se asigura că consumatorii sunt informați în mod corespunzător, pentru a îmbunătăți etichetarea, pentru a mări transparența pieței și pentru a spori trasabilitatea produselor pescărești, din crustacee și de acvacultură, precum și a unor politici favorabile incluziunii în materie de gen și tineret; observă că în unele state membre există administrații sub nivelul de stat care au competențe în domeniul pescuitului, recoltării crustaceelor și acvaculturii, lucru pe care Comisia și alte instituții vizate ar trebui să îl respecte pentru a promova punerea în aplicare a OCP;</w:t>
      </w:r>
    </w:p>
    <w:p w:rsidR="00683FD8" w:rsidRPr="00DE3A22" w:rsidRDefault="00683FD8" w:rsidP="00DA13EF">
      <w:pPr>
        <w:pStyle w:val="NormalHanging12a"/>
        <w:widowControl/>
      </w:pPr>
      <w:r w:rsidRPr="00DE3A22">
        <w:t>35.</w:t>
      </w:r>
      <w:r w:rsidRPr="00DE3A22">
        <w:tab/>
        <w:t>consideră că Comisia și statele membre trebuie să depună mai multe eforturi pentru a obține o punere în aplicare mai uniformă a Regulamentului OCP în toate sectoarele, luând suficient în considerare condițiile specifice de funcționare a piețelor în regiunile ultraperiferice; este de părere că o punere în aplicare mai uniformă ar putea contribui la dobândirea încrederii consumatorilor în produsele alimentare de origine acvatică introduse pe piața unică, precum și la atingerea obiectivelor de dezvoltare endogenă și de autonomie alimentară în regiunile ultraperiferice;</w:t>
      </w:r>
    </w:p>
    <w:p w:rsidR="00683FD8" w:rsidRPr="00DE3A22" w:rsidRDefault="00683FD8" w:rsidP="00DA13EF">
      <w:pPr>
        <w:pStyle w:val="NormalHanging12a"/>
        <w:widowControl/>
      </w:pPr>
      <w:r w:rsidRPr="00DE3A22">
        <w:lastRenderedPageBreak/>
        <w:t>36.</w:t>
      </w:r>
      <w:r w:rsidRPr="00DE3A22">
        <w:tab/>
        <w:t>subliniază importanța implicării tuturor părților interesate de-a lungul lanțului de aprovizionare; subliniază, în acest sens, activitatea valoroasă a consiliului consultativ competent (Consiliul consultativ pentru piețe)</w:t>
      </w:r>
      <w:r w:rsidR="00624D5A">
        <w:t>;</w:t>
      </w:r>
      <w:bookmarkStart w:id="8" w:name="_GoBack"/>
      <w:bookmarkEnd w:id="8"/>
    </w:p>
    <w:p w:rsidR="00683FD8" w:rsidRPr="00DE3A22" w:rsidRDefault="00683FD8" w:rsidP="00DA13EF">
      <w:pPr>
        <w:pStyle w:val="NormalHanging12a"/>
        <w:widowControl/>
      </w:pPr>
      <w:r w:rsidRPr="00DE3A22">
        <w:t>37.</w:t>
      </w:r>
      <w:r w:rsidRPr="00DE3A22">
        <w:tab/>
        <w:t>salută intenția Comisiei de a prezenta o propunere de cadru legislativ pentru sisteme alimentare sustenabile, cu scopul de a spori transparența și de a oferi mai multe informații consumatorilor; subliniază că propunerea ar trebui să recunoască importanța produselor pescărești și de acvacultură sănătoase și sustenabile, crescând valoarea sectorului pescuitului; subliniază că este necesar ca acest nou cadru legislativ să includă importanța consumului de pește într-un regim alimentar sănătos; subliniază că trebuie să se asigure că acest lucru nu creează o sarcină administrativă suplimentară și se aliniază la condiția de sustenabilitate stabilită în legislația UE;</w:t>
      </w:r>
    </w:p>
    <w:p w:rsidR="00683FD8" w:rsidRPr="00DE3A22" w:rsidRDefault="00683FD8" w:rsidP="00DA13EF">
      <w:pPr>
        <w:pStyle w:val="NormalHanging12a"/>
        <w:widowControl/>
      </w:pPr>
      <w:r w:rsidRPr="00DE3A22">
        <w:t>38.</w:t>
      </w:r>
      <w:r w:rsidRPr="00DE3A22">
        <w:tab/>
        <w:t>salută rezultatul negocierilor privind revizuirea Regulamentului privind controlul pescuitului, în special normele care vizează consolidarea dispozițiilor de trasabilitate pentru toate produsele pescărești, din crustacee și de acvacultură, inclusiv produsele importate din țări din afara UE; consideră că aceste informații privind trasabilitatea vor fi foarte importante pentru consumatorii europeni, atât de pe continent, cât și din regiunile de peste mări; invită Comisia să propună noi măsuri cu aceleași cerințe pentru toate produsele, indiferent de gradul de prelucrare, categoria de alimente și statul membru în care este stabilită compania, pentru a garanta că informațiile furnizate sunt exacte, clare, complete și armonizate în toate statele membre și teritoriile cu competență de pescuit și în toate categoriile de produse, astfel încât să ajungă la consumatorii finali într-un format simplu și accesibil;</w:t>
      </w:r>
    </w:p>
    <w:p w:rsidR="00683FD8" w:rsidRPr="00DE3A22" w:rsidRDefault="00683FD8" w:rsidP="00DA13EF">
      <w:pPr>
        <w:pStyle w:val="NormalHanging12a"/>
        <w:widowControl/>
      </w:pPr>
      <w:r w:rsidRPr="00DE3A22">
        <w:t>39.</w:t>
      </w:r>
      <w:r w:rsidRPr="00DE3A22">
        <w:tab/>
        <w:t>consideră că statele membre ar trebui să utilizeze mai mult EUMOFA, în special în zonele în care EUMOFA este utilizată în măsură mai mică, deoarece astfel s-ar îmbunătăți datele colectate și analiza pieței din diferite părți ale Europei cu obiceiuri diferite în ceea ce privește consumul de pește, oferind instrumente digitale mai intuitive și mai cuprinzătoare prin intermediul instrumentului; este de părere că în acest fel, datele EUMOFA ar putea fi mai utile pentru a analiza piața, inclusiv diferențiată pe regiuni, în special atunci când există schimbări drastice, cum ar fi cele care au avut loc în timpul crizei provocate de pandemia de COVID-19, cu scopul de a activa instrumentele și opțiunile de criză pentru stabilizarea pieței;</w:t>
      </w:r>
    </w:p>
    <w:p w:rsidR="00683FD8" w:rsidRPr="00DE3A22" w:rsidRDefault="00683FD8" w:rsidP="00DA13EF">
      <w:pPr>
        <w:pStyle w:val="NormalHanging12a"/>
        <w:widowControl/>
      </w:pPr>
      <w:r w:rsidRPr="00DE3A22">
        <w:t>40.</w:t>
      </w:r>
      <w:r w:rsidRPr="00DE3A22">
        <w:tab/>
        <w:t>este convins că îmbunătățirea trasabilității și a transparenței în lanțul de aprovizionare al sectorului alimentelor de origine acvatică este esențială pentru combaterea pescuitului INN;</w:t>
      </w:r>
    </w:p>
    <w:p w:rsidR="00683FD8" w:rsidRPr="00DE3A22" w:rsidRDefault="00683FD8" w:rsidP="00DA13EF">
      <w:pPr>
        <w:pStyle w:val="NormalHanging12a"/>
        <w:widowControl/>
      </w:pPr>
      <w:r w:rsidRPr="00DE3A22">
        <w:t>41.</w:t>
      </w:r>
      <w:r w:rsidRPr="00DE3A22">
        <w:tab/>
        <w:t xml:space="preserve">își reiterează solicitarea adresată tuturor statelor membre să adapteze criteriile de recunoaștere a organizațiilor de producători și a organizațiilor interprofesionale pentru a recunoaște toate diferitele organizații din statele membre care îndeplinesc sarcini care intră în mare parte în sfera de competență a unei organizații de producători; subliniază, în acest sens, organizații precum </w:t>
      </w:r>
      <w:proofErr w:type="spellStart"/>
      <w:r w:rsidRPr="00DE3A22">
        <w:rPr>
          <w:i/>
        </w:rPr>
        <w:t>Cofradías</w:t>
      </w:r>
      <w:proofErr w:type="spellEnd"/>
      <w:r w:rsidRPr="00DE3A22">
        <w:t xml:space="preserve"> și </w:t>
      </w:r>
      <w:proofErr w:type="spellStart"/>
      <w:r w:rsidRPr="00DE3A22">
        <w:rPr>
          <w:i/>
        </w:rPr>
        <w:t>Prud’homies</w:t>
      </w:r>
      <w:proofErr w:type="spellEnd"/>
      <w:r w:rsidRPr="00DE3A22">
        <w:rPr>
          <w:i/>
        </w:rPr>
        <w:t xml:space="preserve"> de </w:t>
      </w:r>
      <w:proofErr w:type="spellStart"/>
      <w:r w:rsidRPr="00DE3A22">
        <w:rPr>
          <w:i/>
        </w:rPr>
        <w:t>pêche</w:t>
      </w:r>
      <w:proofErr w:type="spellEnd"/>
      <w:r w:rsidRPr="00DE3A22">
        <w:t>, precum și cele active în regiunile ultraperiferice;</w:t>
      </w:r>
    </w:p>
    <w:p w:rsidR="00683FD8" w:rsidRPr="00DE3A22" w:rsidRDefault="00683FD8" w:rsidP="00DA13EF">
      <w:pPr>
        <w:pStyle w:val="NormalHanging12a"/>
        <w:widowControl/>
      </w:pPr>
      <w:r w:rsidRPr="00DE3A22">
        <w:t>42.</w:t>
      </w:r>
      <w:r w:rsidRPr="00DE3A22">
        <w:tab/>
        <w:t xml:space="preserve">solicită Comisiei să inițieze măsuri mai eficace pentru a elimina barierele din calea îndeplinirii depline a misiunilor organizațiilor de producători, abordând dificultățile cu care se confruntă organizațiile de producători din domeniul pescuitului costier și insular la scară mică în ceea ce privește tratamentul diferențiat aplicat de administrațiile </w:t>
      </w:r>
      <w:r w:rsidRPr="00DE3A22">
        <w:lastRenderedPageBreak/>
        <w:t>naționale, în ceea ce privește recunoașterea organizațiilor de producători, finanțarea curentă, sprijinul administrativ sau eligibilitatea măsurilor;</w:t>
      </w:r>
    </w:p>
    <w:p w:rsidR="00683FD8" w:rsidRPr="00DE3A22" w:rsidRDefault="00683FD8" w:rsidP="00DA13EF">
      <w:pPr>
        <w:pStyle w:val="NormalHanging12a"/>
        <w:widowControl/>
      </w:pPr>
      <w:r w:rsidRPr="00DE3A22">
        <w:t>43.</w:t>
      </w:r>
      <w:r w:rsidRPr="00DE3A22">
        <w:tab/>
        <w:t>subliniază importanța implicării tuturor părților interesate, de-a lungul lanțului de aprovizionare al sectorului pescuitului și acvaculturii și în societatea civilă, pentru a crește încrederea și înțelegerea față de punerea în aplicare a dispozițiilor OCP, în special prin continuarea și consolidarea colaborării cu Consiliul consultativ pentru piețe;</w:t>
      </w:r>
    </w:p>
    <w:p w:rsidR="00683FD8" w:rsidRPr="00DE3A22" w:rsidRDefault="00683FD8" w:rsidP="00DA13EF">
      <w:pPr>
        <w:pStyle w:val="NormalHanging12a"/>
        <w:widowControl/>
        <w:jc w:val="center"/>
      </w:pPr>
      <w:r w:rsidRPr="00DE3A22">
        <w:t>°</w:t>
      </w:r>
    </w:p>
    <w:p w:rsidR="00683FD8" w:rsidRPr="00DE3A22" w:rsidRDefault="00683FD8" w:rsidP="00DA13EF">
      <w:pPr>
        <w:pStyle w:val="NormalHanging12a"/>
        <w:widowControl/>
        <w:jc w:val="center"/>
      </w:pPr>
      <w:r w:rsidRPr="00DE3A22">
        <w:t>°</w:t>
      </w:r>
      <w:r w:rsidRPr="00DE3A22">
        <w:tab/>
        <w:t>°</w:t>
      </w:r>
    </w:p>
    <w:p w:rsidR="00683FD8" w:rsidRPr="00DE3A22" w:rsidRDefault="00683FD8" w:rsidP="00DA13EF">
      <w:pPr>
        <w:pStyle w:val="NormalHanging12a"/>
        <w:widowControl/>
      </w:pPr>
      <w:r w:rsidRPr="00DE3A22">
        <w:t>44.</w:t>
      </w:r>
      <w:r w:rsidRPr="00DE3A22">
        <w:tab/>
        <w:t>încredințează Președintei sarcina de a transmite prezenta rezoluție Consiliului, Comisiei, precum și guvernelor și parlamentelor statelor membre.</w:t>
      </w:r>
    </w:p>
    <w:p w:rsidR="00E365E1" w:rsidRPr="00DE3A22" w:rsidRDefault="00E365E1" w:rsidP="00DA13EF">
      <w:pPr>
        <w:widowControl/>
        <w:spacing w:after="240"/>
        <w:ind w:left="567" w:hanging="567"/>
      </w:pPr>
      <w:bookmarkStart w:id="9" w:name="TextBodyEnd"/>
      <w:bookmarkEnd w:id="9"/>
    </w:p>
    <w:sectPr w:rsidR="00E365E1" w:rsidRPr="00DE3A22" w:rsidSect="006F4C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C21" w:rsidRPr="006F4C55" w:rsidRDefault="007C5C21">
      <w:r w:rsidRPr="006F4C55">
        <w:separator/>
      </w:r>
    </w:p>
  </w:endnote>
  <w:endnote w:type="continuationSeparator" w:id="0">
    <w:p w:rsidR="007C5C21" w:rsidRPr="006F4C55" w:rsidRDefault="007C5C21">
      <w:r w:rsidRPr="006F4C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C21" w:rsidRPr="006F4C55" w:rsidRDefault="007C5C21">
      <w:r w:rsidRPr="006F4C55">
        <w:separator/>
      </w:r>
    </w:p>
  </w:footnote>
  <w:footnote w:type="continuationSeparator" w:id="0">
    <w:p w:rsidR="007C5C21" w:rsidRPr="006F4C55" w:rsidRDefault="007C5C21">
      <w:r w:rsidRPr="006F4C55">
        <w:continuationSeparator/>
      </w:r>
    </w:p>
  </w:footnote>
  <w:footnote w:id="1">
    <w:p w:rsidR="00683FD8" w:rsidRPr="006F4C55" w:rsidRDefault="00683FD8" w:rsidP="006F4C55">
      <w:pPr>
        <w:pStyle w:val="FootnoteText"/>
        <w:ind w:left="567" w:hanging="567"/>
        <w:rPr>
          <w:sz w:val="24"/>
          <w:lang w:val="ro-RO"/>
        </w:rPr>
      </w:pPr>
      <w:r w:rsidRPr="006F4C55">
        <w:rPr>
          <w:rStyle w:val="FootnoteReference"/>
          <w:sz w:val="24"/>
          <w:lang w:val="ro-RO"/>
        </w:rPr>
        <w:footnoteRef/>
      </w:r>
      <w:r w:rsidR="006F4C55" w:rsidRPr="006F4C55">
        <w:rPr>
          <w:sz w:val="24"/>
          <w:lang w:val="ro-RO"/>
        </w:rPr>
        <w:t xml:space="preserve"> </w:t>
      </w:r>
      <w:r w:rsidR="006F4C55" w:rsidRPr="006F4C55">
        <w:rPr>
          <w:sz w:val="24"/>
          <w:lang w:val="ro-RO"/>
        </w:rPr>
        <w:tab/>
      </w:r>
      <w:r w:rsidRPr="006F4C55">
        <w:rPr>
          <w:sz w:val="24"/>
          <w:lang w:val="ro-RO"/>
        </w:rPr>
        <w:t>JO L 354, 28.12.2013, p. 1.</w:t>
      </w:r>
    </w:p>
  </w:footnote>
  <w:footnote w:id="2">
    <w:p w:rsidR="00683FD8" w:rsidRPr="006F4C55" w:rsidRDefault="00683FD8" w:rsidP="006F4C55">
      <w:pPr>
        <w:pStyle w:val="FootnoteText"/>
        <w:ind w:left="567" w:hanging="567"/>
        <w:rPr>
          <w:sz w:val="24"/>
          <w:lang w:val="ro-RO"/>
        </w:rPr>
      </w:pPr>
      <w:r w:rsidRPr="006F4C55">
        <w:rPr>
          <w:rStyle w:val="FootnoteReference"/>
          <w:sz w:val="24"/>
          <w:lang w:val="ro-RO"/>
        </w:rPr>
        <w:footnoteRef/>
      </w:r>
      <w:r w:rsidR="006F4C55" w:rsidRPr="006F4C55">
        <w:rPr>
          <w:sz w:val="24"/>
          <w:lang w:val="ro-RO"/>
        </w:rPr>
        <w:t xml:space="preserve"> </w:t>
      </w:r>
      <w:r w:rsidR="006F4C55" w:rsidRPr="006F4C55">
        <w:rPr>
          <w:sz w:val="24"/>
          <w:lang w:val="ro-RO"/>
        </w:rPr>
        <w:tab/>
      </w:r>
      <w:r w:rsidRPr="006F4C55">
        <w:rPr>
          <w:sz w:val="24"/>
          <w:lang w:val="ro-RO"/>
        </w:rPr>
        <w:t>JO C 184, 5.5.2022, p. 2.</w:t>
      </w:r>
    </w:p>
  </w:footnote>
  <w:footnote w:id="3">
    <w:p w:rsidR="00683FD8" w:rsidRPr="006F4C55" w:rsidRDefault="00683FD8" w:rsidP="006F4C55">
      <w:pPr>
        <w:pStyle w:val="FootnoteText"/>
        <w:ind w:left="567" w:hanging="567"/>
        <w:rPr>
          <w:sz w:val="24"/>
          <w:lang w:val="ro-RO"/>
        </w:rPr>
      </w:pPr>
      <w:r w:rsidRPr="006F4C55">
        <w:rPr>
          <w:rStyle w:val="FootnoteReference"/>
          <w:sz w:val="24"/>
          <w:lang w:val="ro-RO"/>
        </w:rPr>
        <w:footnoteRef/>
      </w:r>
      <w:r w:rsidR="006F4C55" w:rsidRPr="006F4C55">
        <w:rPr>
          <w:sz w:val="24"/>
          <w:lang w:val="ro-RO"/>
        </w:rPr>
        <w:t xml:space="preserve"> </w:t>
      </w:r>
      <w:r w:rsidR="006F4C55" w:rsidRPr="006F4C55">
        <w:rPr>
          <w:sz w:val="24"/>
          <w:lang w:val="ro-RO"/>
        </w:rPr>
        <w:tab/>
      </w:r>
      <w:r w:rsidRPr="006F4C55">
        <w:rPr>
          <w:sz w:val="24"/>
          <w:lang w:val="ro-RO"/>
        </w:rPr>
        <w:t>JO C 214, 16.6.2023, p. 150.</w:t>
      </w:r>
    </w:p>
  </w:footnote>
  <w:footnote w:id="4">
    <w:p w:rsidR="00683FD8" w:rsidRPr="00DA13EF" w:rsidRDefault="00683FD8" w:rsidP="006F4C55">
      <w:pPr>
        <w:pStyle w:val="FootnoteText"/>
        <w:ind w:left="567" w:hanging="567"/>
        <w:rPr>
          <w:sz w:val="24"/>
          <w:lang w:val="ro-RO"/>
        </w:rPr>
      </w:pPr>
      <w:r w:rsidRPr="006F4C55">
        <w:rPr>
          <w:rStyle w:val="FootnoteReference"/>
          <w:sz w:val="24"/>
          <w:lang w:val="ro-RO"/>
        </w:rPr>
        <w:footnoteRef/>
      </w:r>
      <w:r w:rsidR="006F4C55" w:rsidRPr="006F4C55">
        <w:rPr>
          <w:sz w:val="24"/>
          <w:lang w:val="ro-RO"/>
        </w:rPr>
        <w:t xml:space="preserve"> </w:t>
      </w:r>
      <w:r w:rsidR="006F4C55" w:rsidRPr="006F4C55">
        <w:rPr>
          <w:sz w:val="24"/>
          <w:lang w:val="ro-RO"/>
        </w:rPr>
        <w:tab/>
      </w:r>
      <w:r w:rsidRPr="006F4C55">
        <w:rPr>
          <w:sz w:val="24"/>
          <w:lang w:val="ro-RO"/>
        </w:rPr>
        <w:t>Consiliul consultativ pentru piețe,</w:t>
      </w:r>
      <w:r w:rsidRPr="00DA13EF">
        <w:rPr>
          <w:sz w:val="24"/>
          <w:lang w:val="ro-RO"/>
        </w:rPr>
        <w:t xml:space="preserve"> „</w:t>
      </w:r>
      <w:hyperlink r:id="rId1" w:history="1">
        <w:r w:rsidRPr="005113BC">
          <w:rPr>
            <w:rStyle w:val="Hyperlink"/>
            <w:color w:val="auto"/>
            <w:sz w:val="24"/>
            <w:u w:val="none"/>
            <w:lang w:val="ro-RO"/>
          </w:rPr>
          <w:t>2022 Report on the Functioning of the Common Market Organisation (CMO)</w:t>
        </w:r>
      </w:hyperlink>
      <w:r w:rsidRPr="00DA13EF">
        <w:rPr>
          <w:sz w:val="24"/>
          <w:lang w:val="ro-RO"/>
        </w:rPr>
        <w:t xml:space="preserve">”, 30 martie 2022. </w:t>
      </w:r>
    </w:p>
  </w:footnote>
  <w:footnote w:id="5">
    <w:p w:rsidR="00683FD8" w:rsidRPr="006F4C55" w:rsidRDefault="00683FD8" w:rsidP="006F4C55">
      <w:pPr>
        <w:pStyle w:val="FootnoteText"/>
        <w:ind w:left="567" w:hanging="567"/>
        <w:rPr>
          <w:sz w:val="24"/>
          <w:lang w:val="ro-RO"/>
        </w:rPr>
      </w:pPr>
      <w:r w:rsidRPr="00DA13EF">
        <w:rPr>
          <w:rStyle w:val="FootnoteReference"/>
          <w:sz w:val="24"/>
          <w:lang w:val="ro-RO"/>
        </w:rPr>
        <w:footnoteRef/>
      </w:r>
      <w:r w:rsidR="006F4C55" w:rsidRPr="00DA13EF">
        <w:rPr>
          <w:sz w:val="24"/>
          <w:lang w:val="ro-RO"/>
        </w:rPr>
        <w:t xml:space="preserve"> </w:t>
      </w:r>
      <w:r w:rsidR="006F4C55" w:rsidRPr="00DA13EF">
        <w:rPr>
          <w:sz w:val="24"/>
          <w:lang w:val="ro-RO"/>
        </w:rPr>
        <w:tab/>
      </w:r>
      <w:r w:rsidRPr="00DA13EF">
        <w:rPr>
          <w:sz w:val="24"/>
          <w:lang w:val="ro-RO"/>
        </w:rPr>
        <w:t>Consiliul consultativ pentru piețe, „</w:t>
      </w:r>
      <w:proofErr w:type="spellStart"/>
      <w:r w:rsidRPr="005113BC">
        <w:fldChar w:fldCharType="begin"/>
      </w:r>
      <w:r w:rsidRPr="00DA13EF">
        <w:rPr>
          <w:sz w:val="24"/>
          <w:lang w:val="ro-RO"/>
        </w:rPr>
        <w:instrText xml:space="preserve"> HYPERLINK "https://marketac.eu/fr/improving-the-labelling-legislation-for-plant-based-imitations-of-fisheries-and-aquaculture-products/" </w:instrText>
      </w:r>
      <w:r w:rsidRPr="005113BC">
        <w:fldChar w:fldCharType="separate"/>
      </w:r>
      <w:r w:rsidRPr="005113BC">
        <w:rPr>
          <w:rStyle w:val="Hyperlink"/>
          <w:color w:val="auto"/>
          <w:sz w:val="24"/>
          <w:u w:val="none"/>
          <w:lang w:val="ro-RO"/>
        </w:rPr>
        <w:t>Improving</w:t>
      </w:r>
      <w:proofErr w:type="spellEnd"/>
      <w:r w:rsidRPr="005113BC">
        <w:rPr>
          <w:rStyle w:val="Hyperlink"/>
          <w:color w:val="auto"/>
          <w:sz w:val="24"/>
          <w:u w:val="none"/>
          <w:lang w:val="ro-RO"/>
        </w:rPr>
        <w:t xml:space="preserve"> </w:t>
      </w:r>
      <w:proofErr w:type="spellStart"/>
      <w:r w:rsidRPr="005113BC">
        <w:rPr>
          <w:rStyle w:val="Hyperlink"/>
          <w:color w:val="auto"/>
          <w:sz w:val="24"/>
          <w:u w:val="none"/>
          <w:lang w:val="ro-RO"/>
        </w:rPr>
        <w:t>the</w:t>
      </w:r>
      <w:proofErr w:type="spellEnd"/>
      <w:r w:rsidRPr="005113BC">
        <w:rPr>
          <w:rStyle w:val="Hyperlink"/>
          <w:color w:val="auto"/>
          <w:sz w:val="24"/>
          <w:u w:val="none"/>
          <w:lang w:val="ro-RO"/>
        </w:rPr>
        <w:t xml:space="preserve"> </w:t>
      </w:r>
      <w:proofErr w:type="spellStart"/>
      <w:r w:rsidRPr="005113BC">
        <w:rPr>
          <w:rStyle w:val="Hyperlink"/>
          <w:color w:val="auto"/>
          <w:sz w:val="24"/>
          <w:u w:val="none"/>
          <w:lang w:val="ro-RO"/>
        </w:rPr>
        <w:t>Labelling</w:t>
      </w:r>
      <w:proofErr w:type="spellEnd"/>
      <w:r w:rsidRPr="005113BC">
        <w:rPr>
          <w:rStyle w:val="Hyperlink"/>
          <w:color w:val="auto"/>
          <w:sz w:val="24"/>
          <w:u w:val="none"/>
          <w:lang w:val="ro-RO"/>
        </w:rPr>
        <w:t xml:space="preserve"> </w:t>
      </w:r>
      <w:proofErr w:type="spellStart"/>
      <w:r w:rsidRPr="005113BC">
        <w:rPr>
          <w:rStyle w:val="Hyperlink"/>
          <w:color w:val="auto"/>
          <w:sz w:val="24"/>
          <w:u w:val="none"/>
          <w:lang w:val="ro-RO"/>
        </w:rPr>
        <w:t>Legislation</w:t>
      </w:r>
      <w:proofErr w:type="spellEnd"/>
      <w:r w:rsidRPr="005113BC">
        <w:rPr>
          <w:rStyle w:val="Hyperlink"/>
          <w:color w:val="auto"/>
          <w:sz w:val="24"/>
          <w:u w:val="none"/>
          <w:lang w:val="ro-RO"/>
        </w:rPr>
        <w:t xml:space="preserve"> for </w:t>
      </w:r>
      <w:proofErr w:type="spellStart"/>
      <w:r w:rsidRPr="005113BC">
        <w:rPr>
          <w:rStyle w:val="Hyperlink"/>
          <w:color w:val="auto"/>
          <w:sz w:val="24"/>
          <w:u w:val="none"/>
          <w:lang w:val="ro-RO"/>
        </w:rPr>
        <w:t>Plant-Based</w:t>
      </w:r>
      <w:proofErr w:type="spellEnd"/>
      <w:r w:rsidRPr="005113BC">
        <w:rPr>
          <w:rStyle w:val="Hyperlink"/>
          <w:color w:val="auto"/>
          <w:sz w:val="24"/>
          <w:u w:val="none"/>
          <w:lang w:val="ro-RO"/>
        </w:rPr>
        <w:t xml:space="preserve"> </w:t>
      </w:r>
      <w:proofErr w:type="spellStart"/>
      <w:r w:rsidRPr="005113BC">
        <w:rPr>
          <w:rStyle w:val="Hyperlink"/>
          <w:color w:val="auto"/>
          <w:sz w:val="24"/>
          <w:u w:val="none"/>
          <w:lang w:val="ro-RO"/>
        </w:rPr>
        <w:t>Imitations</w:t>
      </w:r>
      <w:proofErr w:type="spellEnd"/>
      <w:r w:rsidRPr="005113BC">
        <w:rPr>
          <w:rStyle w:val="Hyperlink"/>
          <w:color w:val="auto"/>
          <w:sz w:val="24"/>
          <w:u w:val="none"/>
          <w:lang w:val="ro-RO"/>
        </w:rPr>
        <w:t xml:space="preserve"> of </w:t>
      </w:r>
      <w:proofErr w:type="spellStart"/>
      <w:r w:rsidRPr="005113BC">
        <w:rPr>
          <w:rStyle w:val="Hyperlink"/>
          <w:color w:val="auto"/>
          <w:sz w:val="24"/>
          <w:u w:val="none"/>
          <w:lang w:val="ro-RO"/>
        </w:rPr>
        <w:t>Fisheries</w:t>
      </w:r>
      <w:proofErr w:type="spellEnd"/>
      <w:r w:rsidRPr="005113BC">
        <w:rPr>
          <w:rStyle w:val="Hyperlink"/>
          <w:color w:val="auto"/>
          <w:sz w:val="24"/>
          <w:u w:val="none"/>
          <w:lang w:val="ro-RO"/>
        </w:rPr>
        <w:t xml:space="preserve"> </w:t>
      </w:r>
      <w:proofErr w:type="spellStart"/>
      <w:r w:rsidRPr="005113BC">
        <w:rPr>
          <w:rStyle w:val="Hyperlink"/>
          <w:color w:val="auto"/>
          <w:sz w:val="24"/>
          <w:u w:val="none"/>
          <w:lang w:val="ro-RO"/>
        </w:rPr>
        <w:t>and</w:t>
      </w:r>
      <w:proofErr w:type="spellEnd"/>
      <w:r w:rsidRPr="005113BC">
        <w:rPr>
          <w:rStyle w:val="Hyperlink"/>
          <w:color w:val="auto"/>
          <w:sz w:val="24"/>
          <w:u w:val="none"/>
          <w:lang w:val="ro-RO"/>
        </w:rPr>
        <w:t xml:space="preserve"> </w:t>
      </w:r>
      <w:proofErr w:type="spellStart"/>
      <w:r w:rsidRPr="005113BC">
        <w:rPr>
          <w:rStyle w:val="Hyperlink"/>
          <w:color w:val="auto"/>
          <w:sz w:val="24"/>
          <w:u w:val="none"/>
          <w:lang w:val="ro-RO"/>
        </w:rPr>
        <w:t>Aquaculture</w:t>
      </w:r>
      <w:proofErr w:type="spellEnd"/>
      <w:r w:rsidRPr="005113BC">
        <w:rPr>
          <w:rStyle w:val="Hyperlink"/>
          <w:color w:val="auto"/>
          <w:sz w:val="24"/>
          <w:u w:val="none"/>
          <w:lang w:val="ro-RO"/>
        </w:rPr>
        <w:t xml:space="preserve"> </w:t>
      </w:r>
      <w:proofErr w:type="spellStart"/>
      <w:r w:rsidRPr="005113BC">
        <w:rPr>
          <w:rStyle w:val="Hyperlink"/>
          <w:color w:val="auto"/>
          <w:sz w:val="24"/>
          <w:u w:val="none"/>
          <w:lang w:val="ro-RO"/>
        </w:rPr>
        <w:t>Products</w:t>
      </w:r>
      <w:proofErr w:type="spellEnd"/>
      <w:r w:rsidRPr="005113BC">
        <w:rPr>
          <w:rStyle w:val="Hyperlink"/>
          <w:color w:val="auto"/>
          <w:sz w:val="24"/>
          <w:u w:val="none"/>
          <w:lang w:val="ro-RO"/>
        </w:rPr>
        <w:fldChar w:fldCharType="end"/>
      </w:r>
      <w:r w:rsidRPr="00DA13EF">
        <w:rPr>
          <w:sz w:val="24"/>
          <w:lang w:val="ro-RO"/>
        </w:rPr>
        <w:t>”, 8</w:t>
      </w:r>
      <w:r w:rsidRPr="006F4C55">
        <w:rPr>
          <w:sz w:val="24"/>
          <w:lang w:val="ro-RO"/>
        </w:rPr>
        <w:t xml:space="preserve"> mai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4C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RO"/>
    <w:docVar w:name="dvnumam" w:val="0"/>
    <w:docVar w:name="dvpe" w:val="750.124"/>
    <w:docVar w:name="dvrapporteur" w:val="Raportor: "/>
    <w:docVar w:name="dvtitre" w:val="Rezoluția Parlamentului European din ... 2024 referitor la punerea în aplicare a Regulamentului privind organizarea comună a piețelor (OCP) în sectorul produselor pescărești și de acvacultură – Regulamentul (UE) 1379/2013(2023/2049(INI))"/>
  </w:docVars>
  <w:rsids>
    <w:rsidRoot w:val="007C5C2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3BC"/>
    <w:rsid w:val="00514517"/>
    <w:rsid w:val="00545827"/>
    <w:rsid w:val="00560270"/>
    <w:rsid w:val="005C2568"/>
    <w:rsid w:val="006037C0"/>
    <w:rsid w:val="00624D5A"/>
    <w:rsid w:val="00662B04"/>
    <w:rsid w:val="006631B6"/>
    <w:rsid w:val="00680577"/>
    <w:rsid w:val="00683D33"/>
    <w:rsid w:val="00683FD8"/>
    <w:rsid w:val="006F4C55"/>
    <w:rsid w:val="006F74FA"/>
    <w:rsid w:val="00731ADD"/>
    <w:rsid w:val="00734777"/>
    <w:rsid w:val="00747932"/>
    <w:rsid w:val="00751A4A"/>
    <w:rsid w:val="00756632"/>
    <w:rsid w:val="00762C74"/>
    <w:rsid w:val="00786EC0"/>
    <w:rsid w:val="007C5C2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680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3EF"/>
    <w:rsid w:val="00DA7FCD"/>
    <w:rsid w:val="00DE3A2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769D9"/>
  <w15:chartTrackingRefBased/>
  <w15:docId w15:val="{3412F30A-D67A-4E3E-831F-BD1C85F23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3FD8"/>
    <w:pPr>
      <w:spacing w:after="240"/>
      <w:ind w:left="567" w:hanging="567"/>
    </w:pPr>
  </w:style>
  <w:style w:type="paragraph" w:customStyle="1" w:styleId="Subheading">
    <w:name w:val="Subheading"/>
    <w:basedOn w:val="Normal"/>
    <w:rsid w:val="00683FD8"/>
    <w:pPr>
      <w:spacing w:before="480" w:after="240"/>
    </w:pPr>
    <w:rPr>
      <w:b/>
      <w:i/>
    </w:rPr>
  </w:style>
  <w:style w:type="paragraph" w:customStyle="1" w:styleId="EPComma">
    <w:name w:val="EPComma"/>
    <w:basedOn w:val="Normal"/>
    <w:rsid w:val="00683FD8"/>
    <w:pPr>
      <w:spacing w:before="480" w:after="240"/>
    </w:pPr>
  </w:style>
  <w:style w:type="paragraph" w:customStyle="1" w:styleId="Normal12a24b">
    <w:name w:val="Normal12a24b"/>
    <w:basedOn w:val="Normal"/>
    <w:rsid w:val="00683FD8"/>
    <w:pPr>
      <w:snapToGrid w:val="0"/>
      <w:spacing w:before="360" w:after="240"/>
    </w:pPr>
    <w:rPr>
      <w:lang w:eastAsia="en-US"/>
    </w:rPr>
  </w:style>
  <w:style w:type="character" w:customStyle="1" w:styleId="Bold">
    <w:name w:val="Bold"/>
    <w:uiPriority w:val="1"/>
    <w:rsid w:val="00683FD8"/>
    <w:rPr>
      <w:b/>
      <w:bCs w:val="0"/>
    </w:rPr>
  </w:style>
  <w:style w:type="character" w:customStyle="1" w:styleId="NormalHanging12aChar">
    <w:name w:val="NormalHanging12a Char"/>
    <w:basedOn w:val="DefaultParagraphFont"/>
    <w:link w:val="NormalHanging12a"/>
    <w:locked/>
    <w:rsid w:val="00683FD8"/>
    <w:rPr>
      <w:sz w:val="24"/>
      <w:lang w:val="ro-RO"/>
    </w:rPr>
  </w:style>
  <w:style w:type="character" w:styleId="Hyperlink">
    <w:name w:val="Hyperlink"/>
    <w:basedOn w:val="DefaultParagraphFont"/>
    <w:rsid w:val="00683FD8"/>
    <w:rPr>
      <w:color w:val="0563C1" w:themeColor="hyperlink"/>
      <w:u w:val="single"/>
    </w:rPr>
  </w:style>
  <w:style w:type="paragraph" w:styleId="BalloonText">
    <w:name w:val="Balloon Text"/>
    <w:basedOn w:val="Normal"/>
    <w:link w:val="BalloonTextChar"/>
    <w:rsid w:val="00662B04"/>
    <w:rPr>
      <w:rFonts w:ascii="Segoe UI" w:hAnsi="Segoe UI" w:cs="Segoe UI"/>
      <w:sz w:val="18"/>
      <w:szCs w:val="18"/>
    </w:rPr>
  </w:style>
  <w:style w:type="character" w:customStyle="1" w:styleId="BalloonTextChar">
    <w:name w:val="Balloon Text Char"/>
    <w:basedOn w:val="DefaultParagraphFont"/>
    <w:link w:val="BalloonText"/>
    <w:rsid w:val="00662B0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marketac.eu/fr/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D3155-2C8C-4943-9BC9-089602650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4161</Words>
  <Characters>25433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GHERMAN Laura</cp:lastModifiedBy>
  <cp:revision>2</cp:revision>
  <cp:lastPrinted>2004-11-19T15:42:00Z</cp:lastPrinted>
  <dcterms:created xsi:type="dcterms:W3CDTF">2024-01-18T14:42:00Z</dcterms:created>
  <dcterms:modified xsi:type="dcterms:W3CDTF">2024-01-18T14:42:00Z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A9-0406/2023</vt:lpwstr>
  </property>
  <property fmtid="{D5CDD505-2E9C-101B-9397-08002B2CF9AE}" pid="4" name="&lt;Type&gt;">
    <vt:lpwstr>RR</vt:lpwstr>
  </property>
</Properties>
</file>