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8A1" w:rsidTr="0010095E">
        <w:trPr>
          <w:trHeight w:hRule="exact" w:val="1418"/>
        </w:trPr>
        <w:tc>
          <w:tcPr>
            <w:tcW w:w="6804" w:type="dxa"/>
            <w:shd w:val="clear" w:color="auto" w:fill="auto"/>
            <w:vAlign w:val="center"/>
          </w:tcPr>
          <w:p w:rsidR="00751A4A" w:rsidRPr="003038A1" w:rsidRDefault="001F5ED0" w:rsidP="0010095E">
            <w:pPr>
              <w:pStyle w:val="EPName"/>
            </w:pPr>
            <w:r w:rsidRPr="003038A1">
              <w:t>Parlamento Europeo</w:t>
            </w:r>
          </w:p>
          <w:p w:rsidR="00751A4A" w:rsidRPr="003038A1" w:rsidRDefault="00817416" w:rsidP="00756632">
            <w:pPr>
              <w:pStyle w:val="EPTerm"/>
              <w:rPr>
                <w:rStyle w:val="HideTWBExt"/>
                <w:noProof w:val="0"/>
                <w:vanish w:val="0"/>
                <w:color w:val="auto"/>
              </w:rPr>
            </w:pPr>
            <w:r w:rsidRPr="003038A1">
              <w:t>2019-2024</w:t>
            </w:r>
          </w:p>
        </w:tc>
        <w:tc>
          <w:tcPr>
            <w:tcW w:w="2268" w:type="dxa"/>
            <w:shd w:val="clear" w:color="auto" w:fill="auto"/>
          </w:tcPr>
          <w:p w:rsidR="00751A4A" w:rsidRPr="003038A1" w:rsidRDefault="00187494" w:rsidP="0010095E">
            <w:pPr>
              <w:pStyle w:val="EPLogo"/>
            </w:pPr>
            <w:r w:rsidRPr="003038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8A1" w:rsidRDefault="00D058B8" w:rsidP="004C5D52">
      <w:pPr>
        <w:pStyle w:val="LineTop"/>
      </w:pPr>
    </w:p>
    <w:p w:rsidR="00680577" w:rsidRPr="003038A1" w:rsidRDefault="001F5ED0" w:rsidP="00680577">
      <w:pPr>
        <w:pStyle w:val="EPBodyTA1"/>
      </w:pPr>
      <w:r w:rsidRPr="003038A1">
        <w:t>TEXTOS APROBADOS</w:t>
      </w:r>
    </w:p>
    <w:p w:rsidR="00D058B8" w:rsidRPr="003038A1" w:rsidRDefault="00D058B8" w:rsidP="00D058B8">
      <w:pPr>
        <w:pStyle w:val="LineBottom"/>
      </w:pPr>
    </w:p>
    <w:p w:rsidR="001F5ED0" w:rsidRPr="003038A1" w:rsidRDefault="001F5ED0" w:rsidP="001F5ED0">
      <w:pPr>
        <w:pStyle w:val="ATHeading1"/>
      </w:pPr>
      <w:bookmarkStart w:id="0" w:name="TANumber"/>
      <w:r w:rsidRPr="003038A1">
        <w:t>P9_</w:t>
      </w:r>
      <w:proofErr w:type="gramStart"/>
      <w:r w:rsidRPr="003038A1">
        <w:t>TA(</w:t>
      </w:r>
      <w:proofErr w:type="gramEnd"/>
      <w:r w:rsidRPr="003038A1">
        <w:t>2024)</w:t>
      </w:r>
      <w:bookmarkEnd w:id="0"/>
      <w:r w:rsidR="00233DD8" w:rsidRPr="003038A1">
        <w:t>004</w:t>
      </w:r>
      <w:r w:rsidR="00233DD8">
        <w:t>9</w:t>
      </w:r>
    </w:p>
    <w:p w:rsidR="001F5ED0" w:rsidRPr="003038A1" w:rsidRDefault="001F5ED0" w:rsidP="001F5ED0">
      <w:pPr>
        <w:pStyle w:val="ATHeading2"/>
      </w:pPr>
      <w:bookmarkStart w:id="1" w:name="title"/>
      <w:r w:rsidRPr="003038A1">
        <w:t xml:space="preserve">Energía </w:t>
      </w:r>
      <w:bookmarkEnd w:id="1"/>
      <w:r w:rsidR="00234D7F" w:rsidRPr="003038A1">
        <w:t>geotérmica</w:t>
      </w:r>
    </w:p>
    <w:p w:rsidR="001F5ED0" w:rsidRPr="003038A1" w:rsidRDefault="001F5ED0" w:rsidP="001F5ED0">
      <w:pPr>
        <w:rPr>
          <w:i/>
          <w:vanish/>
        </w:rPr>
      </w:pPr>
      <w:r w:rsidRPr="003038A1">
        <w:rPr>
          <w:i/>
        </w:rPr>
        <w:fldChar w:fldCharType="begin"/>
      </w:r>
      <w:r w:rsidRPr="003038A1">
        <w:rPr>
          <w:i/>
        </w:rPr>
        <w:instrText xml:space="preserve"> TC"(</w:instrText>
      </w:r>
      <w:bookmarkStart w:id="2" w:name="DocNumber"/>
      <w:r w:rsidRPr="003038A1">
        <w:rPr>
          <w:i/>
        </w:rPr>
        <w:instrText>A9-0432/2023</w:instrText>
      </w:r>
      <w:bookmarkEnd w:id="2"/>
      <w:r w:rsidRPr="003038A1">
        <w:rPr>
          <w:i/>
        </w:rPr>
        <w:instrText xml:space="preserve"> - Ponente: Zdzisław Krasnodębski)"\l3 \n&gt; \* MERGEFORMAT </w:instrText>
      </w:r>
      <w:r w:rsidRPr="003038A1">
        <w:rPr>
          <w:i/>
        </w:rPr>
        <w:fldChar w:fldCharType="end"/>
      </w:r>
    </w:p>
    <w:p w:rsidR="001F5ED0" w:rsidRPr="003038A1" w:rsidRDefault="001F5ED0" w:rsidP="001F5ED0">
      <w:pPr>
        <w:rPr>
          <w:vanish/>
        </w:rPr>
      </w:pPr>
      <w:bookmarkStart w:id="3" w:name="Commission"/>
      <w:r w:rsidRPr="003038A1">
        <w:rPr>
          <w:vanish/>
        </w:rPr>
        <w:t>Comisión de Industria, Investigación y Energía</w:t>
      </w:r>
      <w:bookmarkEnd w:id="3"/>
    </w:p>
    <w:p w:rsidR="001F5ED0" w:rsidRPr="003038A1" w:rsidRDefault="001F5ED0" w:rsidP="001F5ED0">
      <w:pPr>
        <w:rPr>
          <w:vanish/>
        </w:rPr>
      </w:pPr>
      <w:bookmarkStart w:id="4" w:name="PE"/>
      <w:r w:rsidRPr="003038A1">
        <w:rPr>
          <w:vanish/>
        </w:rPr>
        <w:t>PE752.863</w:t>
      </w:r>
      <w:bookmarkEnd w:id="4"/>
    </w:p>
    <w:p w:rsidR="001F5ED0" w:rsidRPr="003038A1" w:rsidRDefault="001F5ED0" w:rsidP="001F5ED0">
      <w:pPr>
        <w:pStyle w:val="ATHeading3"/>
      </w:pPr>
      <w:bookmarkStart w:id="5" w:name="Sujet"/>
      <w:r w:rsidRPr="003038A1">
        <w:t>Resolución del Parlamento Europeo, de 18 de enero de 2024, sobre la energía geotérmica</w:t>
      </w:r>
      <w:bookmarkEnd w:id="5"/>
      <w:r w:rsidRPr="003038A1">
        <w:t xml:space="preserve"> </w:t>
      </w:r>
      <w:bookmarkStart w:id="6" w:name="References"/>
      <w:r w:rsidRPr="003038A1">
        <w:t>(2023/2111(INI))</w:t>
      </w:r>
      <w:bookmarkEnd w:id="6"/>
    </w:p>
    <w:p w:rsidR="00B878C8" w:rsidRPr="003038A1" w:rsidRDefault="00B878C8" w:rsidP="00B878C8">
      <w:pPr>
        <w:pStyle w:val="EPComma"/>
      </w:pPr>
      <w:bookmarkStart w:id="7" w:name="TextBodyBegin"/>
      <w:bookmarkEnd w:id="7"/>
      <w:r w:rsidRPr="003038A1">
        <w:rPr>
          <w:rStyle w:val="Italic"/>
          <w:iCs/>
        </w:rPr>
        <w:t>El Parlamento Europeo</w:t>
      </w:r>
      <w:r w:rsidRPr="003038A1">
        <w:t>,</w:t>
      </w:r>
    </w:p>
    <w:p w:rsidR="00B878C8" w:rsidRPr="003038A1" w:rsidRDefault="00B878C8" w:rsidP="00B878C8">
      <w:pPr>
        <w:pStyle w:val="NormalHanging12a"/>
      </w:pPr>
      <w:r w:rsidRPr="003038A1">
        <w:t>–</w:t>
      </w:r>
      <w:r w:rsidRPr="003038A1">
        <w:tab/>
        <w:t>Visto el artículo 194 del Tratado de Funcionamiento de la Unión Europea (TFUE),</w:t>
      </w:r>
    </w:p>
    <w:p w:rsidR="00B878C8" w:rsidRPr="003038A1" w:rsidRDefault="00B878C8" w:rsidP="00B878C8">
      <w:pPr>
        <w:pStyle w:val="NormalHanging12a"/>
      </w:pPr>
      <w:r w:rsidRPr="003038A1">
        <w:t>–</w:t>
      </w:r>
      <w:r w:rsidRPr="003038A1">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3038A1">
        <w:rPr>
          <w:rStyle w:val="FootnoteReference"/>
        </w:rPr>
        <w:footnoteReference w:id="1"/>
      </w:r>
      <w:r w:rsidRPr="003038A1">
        <w:t>,</w:t>
      </w:r>
    </w:p>
    <w:p w:rsidR="00B878C8" w:rsidRPr="003038A1" w:rsidRDefault="00B878C8" w:rsidP="00B878C8">
      <w:pPr>
        <w:pStyle w:val="NormalHanging12a"/>
      </w:pPr>
      <w:r w:rsidRPr="003038A1">
        <w:t>–</w:t>
      </w:r>
      <w:r w:rsidRPr="003038A1">
        <w:tab/>
        <w:t>Vista la 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w:t>
      </w:r>
      <w:r w:rsidRPr="003038A1">
        <w:rPr>
          <w:rStyle w:val="FootnoteReference"/>
        </w:rPr>
        <w:footnoteReference w:id="2"/>
      </w:r>
      <w:r w:rsidRPr="003038A1">
        <w:t>,</w:t>
      </w:r>
    </w:p>
    <w:p w:rsidR="00B878C8" w:rsidRPr="003038A1" w:rsidRDefault="00B878C8" w:rsidP="00B878C8">
      <w:pPr>
        <w:pStyle w:val="NormalHanging12a"/>
      </w:pPr>
      <w:r w:rsidRPr="003038A1">
        <w:t>–</w:t>
      </w:r>
      <w:r w:rsidRPr="003038A1">
        <w:tab/>
        <w:t>Vistas las enmiendas aprobadas por el Parlamento Europeo el 14 de marzo de 2023 sobre la propuesta de Directiva del Parlamento Europeo y del Consejo relativa a la eficiencia energética de los edificios (refundición)</w:t>
      </w:r>
      <w:r w:rsidRPr="003038A1">
        <w:rPr>
          <w:rStyle w:val="FootnoteReference"/>
        </w:rPr>
        <w:footnoteReference w:id="3"/>
      </w:r>
      <w:r w:rsidRPr="003038A1">
        <w:t>,</w:t>
      </w:r>
    </w:p>
    <w:p w:rsidR="00B878C8" w:rsidRPr="003038A1" w:rsidRDefault="00B878C8" w:rsidP="00B878C8">
      <w:pPr>
        <w:pStyle w:val="NormalHanging12a"/>
      </w:pPr>
      <w:r w:rsidRPr="003038A1">
        <w:t>–</w:t>
      </w:r>
      <w:r w:rsidRPr="003038A1">
        <w:tab/>
        <w:t>Vista la propuesta de la Comisión de Reglamento del Parlamento Europeo y del Consejo por el que se modifican los Reglamentos (UE) 2019/943 y (UE) 2019/942 y las Directivas (UE) 2018/2001 y (UE) 2019/944 para mejorar la configuración del mercado de la electricidad de la Unión,</w:t>
      </w:r>
    </w:p>
    <w:p w:rsidR="00B878C8" w:rsidRPr="003038A1" w:rsidRDefault="00B878C8" w:rsidP="00B878C8">
      <w:pPr>
        <w:pStyle w:val="NormalHanging12a"/>
      </w:pPr>
      <w:r w:rsidRPr="003038A1">
        <w:t>–</w:t>
      </w:r>
      <w:r w:rsidRPr="003038A1">
        <w:tab/>
        <w:t xml:space="preserve">Vistas las enmiendas aprobadas por el Parlamento Europeo el 14 de septiembre de 2023 sobre la propuesta de Reglamento del Parlamento Europeo y del Consejo por el que se establece un marco para garantizar el suministro seguro y sostenible de materias primas fundamentales y se modifican los Reglamentos (UE) </w:t>
      </w:r>
      <w:r w:rsidR="009D73F8" w:rsidRPr="003038A1">
        <w:t>n.º </w:t>
      </w:r>
      <w:r w:rsidRPr="003038A1">
        <w:t>168/2013, (UE) 2018/858, (UE) 2018/1724 y (UE) 2019/1020</w:t>
      </w:r>
      <w:r w:rsidRPr="003038A1">
        <w:rPr>
          <w:rStyle w:val="FootnoteReference"/>
        </w:rPr>
        <w:footnoteReference w:id="4"/>
      </w:r>
      <w:r w:rsidRPr="003038A1">
        <w:t>,</w:t>
      </w:r>
    </w:p>
    <w:p w:rsidR="00B878C8" w:rsidRPr="003038A1" w:rsidRDefault="00B878C8" w:rsidP="00B878C8">
      <w:pPr>
        <w:pStyle w:val="NormalHanging12a"/>
      </w:pPr>
      <w:r w:rsidRPr="003038A1">
        <w:lastRenderedPageBreak/>
        <w:t>–</w:t>
      </w:r>
      <w:r w:rsidRPr="003038A1">
        <w:tab/>
        <w:t>Vista las enmiendas aprobadas por el Parlamento Europeo el 21 de noviembre de 2023 sobre la propuesta de Reglamento del Parlamento Europeo y del Consejo por el que se establece un marco de medidas para reforzar el ecosistema europeo de fabricación de productos de tecnologías de cero emisiones netas (Ley sobre la industria de cero emisiones netas) (COM(2023)0161)</w:t>
      </w:r>
      <w:r w:rsidRPr="003038A1">
        <w:rPr>
          <w:rStyle w:val="FootnoteReference"/>
        </w:rPr>
        <w:footnoteReference w:id="5"/>
      </w:r>
      <w:r w:rsidRPr="003038A1">
        <w:t>,</w:t>
      </w:r>
    </w:p>
    <w:p w:rsidR="00B878C8" w:rsidRPr="003038A1" w:rsidRDefault="00B878C8" w:rsidP="00B878C8">
      <w:pPr>
        <w:pStyle w:val="NormalHanging12a"/>
      </w:pPr>
      <w:r w:rsidRPr="003038A1">
        <w:t>–</w:t>
      </w:r>
      <w:r w:rsidRPr="003038A1">
        <w:tab/>
        <w:t>Vista la Comunicación de la Comisión</w:t>
      </w:r>
      <w:r w:rsidR="009D73F8">
        <w:t>, de 18 de mayo de 2022,</w:t>
      </w:r>
      <w:bookmarkStart w:id="8" w:name="_GoBack"/>
      <w:bookmarkEnd w:id="8"/>
      <w:r w:rsidRPr="003038A1">
        <w:t xml:space="preserve"> titulada «Plan REPowerEU» (</w:t>
      </w:r>
      <w:proofErr w:type="gramStart"/>
      <w:r w:rsidRPr="003038A1">
        <w:t>COM(</w:t>
      </w:r>
      <w:proofErr w:type="gramEnd"/>
      <w:r w:rsidRPr="003038A1">
        <w:t>2022)0230),</w:t>
      </w:r>
    </w:p>
    <w:p w:rsidR="00B878C8" w:rsidRPr="003038A1" w:rsidRDefault="00B878C8" w:rsidP="00B878C8">
      <w:pPr>
        <w:pStyle w:val="NormalHanging12a"/>
      </w:pPr>
      <w:r w:rsidRPr="003038A1">
        <w:t>–</w:t>
      </w:r>
      <w:r w:rsidRPr="003038A1">
        <w:tab/>
        <w:t>Vistas las enmiendas aprobadas por el Parlamento Europeo el 14 de diciembre de 2022 sobre la propuesta de Directiva del Parlamento Europeo y del Consejo por la que se modifican la Directiva (UE) 2018/2001, relativa al fomento del uso de energía procedente de fuentes renovables, la Directiva 2010/31/UE, relativa a la eficiencia energética de los edificios, y la Directiva 2012/27/UE, relativa a la eficiencia energética</w:t>
      </w:r>
      <w:r w:rsidRPr="003038A1">
        <w:rPr>
          <w:rStyle w:val="FootnoteReference"/>
        </w:rPr>
        <w:footnoteReference w:id="6"/>
      </w:r>
      <w:r w:rsidRPr="003038A1">
        <w:t>,</w:t>
      </w:r>
    </w:p>
    <w:p w:rsidR="00B878C8" w:rsidRPr="003038A1" w:rsidRDefault="00B878C8" w:rsidP="00B878C8">
      <w:pPr>
        <w:pStyle w:val="NormalHanging12a"/>
      </w:pPr>
      <w:r w:rsidRPr="003038A1">
        <w:t>–</w:t>
      </w:r>
      <w:r w:rsidRPr="003038A1">
        <w:tab/>
        <w:t>Visto el Reglamento (UE) 2019/2088 sobre la divulgación de información relativa a la sostenibilidad en el sector de los servicios financieros</w:t>
      </w:r>
      <w:r w:rsidRPr="003038A1">
        <w:rPr>
          <w:rStyle w:val="FootnoteReference"/>
        </w:rPr>
        <w:footnoteReference w:id="7"/>
      </w:r>
      <w:r w:rsidRPr="003038A1">
        <w:t xml:space="preserve"> y el Reglamento Delegado adjunto por el que se establecen los criterios técnicos de selección para determinar las condiciones en las que se considera que una actividad económica contribuye de forma sustancial a la mitigación del cambio climático o a la adaptación al mismo, y para determinar si esa actividad económica no causa un perjuicio significativo a ninguno de los demás objetivos ambientales</w:t>
      </w:r>
      <w:r w:rsidRPr="003038A1">
        <w:rPr>
          <w:rStyle w:val="FootnoteReference"/>
        </w:rPr>
        <w:footnoteReference w:id="8"/>
      </w:r>
      <w:r w:rsidRPr="003038A1">
        <w:t>,</w:t>
      </w:r>
    </w:p>
    <w:p w:rsidR="00B878C8" w:rsidRPr="003038A1" w:rsidRDefault="00B878C8" w:rsidP="00B878C8">
      <w:pPr>
        <w:pStyle w:val="NormalHanging12a"/>
      </w:pPr>
      <w:r w:rsidRPr="003038A1">
        <w:t>–</w:t>
      </w:r>
      <w:r w:rsidRPr="003038A1">
        <w:tab/>
        <w:t>Visto el Reglamento (UE) n.º 813/2013 de la Comisión, de 2 de agosto de 2013, por el que se desarrolla la Directiva 2009/125/CE del Parlamento Europeo y del Consejo respecto de los requisitos de diseño ecológico aplicables a los aparatos de calefacción y a los calefactores combinados</w:t>
      </w:r>
      <w:r w:rsidRPr="003038A1">
        <w:rPr>
          <w:rStyle w:val="FootnoteReference"/>
        </w:rPr>
        <w:footnoteReference w:id="9"/>
      </w:r>
      <w:r w:rsidRPr="003038A1">
        <w:t>,</w:t>
      </w:r>
    </w:p>
    <w:p w:rsidR="00B878C8" w:rsidRPr="003038A1" w:rsidRDefault="00B878C8" w:rsidP="00B878C8">
      <w:pPr>
        <w:pStyle w:val="NormalHanging12a"/>
      </w:pPr>
      <w:r w:rsidRPr="003038A1">
        <w:t>–</w:t>
      </w:r>
      <w:r w:rsidRPr="003038A1">
        <w:tab/>
        <w:t>Vista la Directiva 2014/52/UE del Parlamento Europeo y del Consejo, de 16 de abril de 2014, por la que se modifica la Directiva 2011/92/UE, relativa a la evaluación de las repercusiones de determinados proyectos públicos y privados sobre el medio ambiente</w:t>
      </w:r>
      <w:r w:rsidRPr="003038A1">
        <w:rPr>
          <w:rStyle w:val="FootnoteReference"/>
        </w:rPr>
        <w:footnoteReference w:id="10"/>
      </w:r>
      <w:r w:rsidRPr="003038A1">
        <w:t>,</w:t>
      </w:r>
    </w:p>
    <w:p w:rsidR="00B878C8" w:rsidRPr="003038A1" w:rsidRDefault="00B878C8" w:rsidP="00B878C8">
      <w:pPr>
        <w:pStyle w:val="NormalHanging12a"/>
      </w:pPr>
      <w:r w:rsidRPr="003038A1">
        <w:t>–</w:t>
      </w:r>
      <w:r w:rsidRPr="003038A1">
        <w:tab/>
        <w:t>Visto el Reglamento de Ejecución (UE) 2023/138 de la Comisión, de 21 de diciembre de 2022, por el que se establecen una lista de conjuntos de datos específicos de alto valor y modalidades de publicación y reutilización</w:t>
      </w:r>
      <w:r w:rsidRPr="003038A1">
        <w:rPr>
          <w:rStyle w:val="FootnoteReference"/>
        </w:rPr>
        <w:footnoteReference w:id="11"/>
      </w:r>
      <w:r w:rsidRPr="003038A1">
        <w:t>,</w:t>
      </w:r>
    </w:p>
    <w:p w:rsidR="00B878C8" w:rsidRPr="003038A1" w:rsidRDefault="00B878C8" w:rsidP="00B878C8">
      <w:pPr>
        <w:pStyle w:val="NormalHanging12a"/>
      </w:pPr>
      <w:r w:rsidRPr="003038A1">
        <w:t>–</w:t>
      </w:r>
      <w:r w:rsidRPr="003038A1">
        <w:tab/>
        <w:t xml:space="preserve">Visto el informe de la Agencia Internacional de Energías Renovables, de febrero de 2023, titulado «Global </w:t>
      </w:r>
      <w:proofErr w:type="spellStart"/>
      <w:r w:rsidRPr="003038A1">
        <w:t>geothermal</w:t>
      </w:r>
      <w:proofErr w:type="spellEnd"/>
      <w:r w:rsidRPr="003038A1">
        <w:t xml:space="preserve"> market and </w:t>
      </w:r>
      <w:proofErr w:type="spellStart"/>
      <w:r w:rsidRPr="003038A1">
        <w:t>technology</w:t>
      </w:r>
      <w:proofErr w:type="spellEnd"/>
      <w:r w:rsidRPr="003038A1">
        <w:t xml:space="preserve"> </w:t>
      </w:r>
      <w:proofErr w:type="spellStart"/>
      <w:r w:rsidRPr="003038A1">
        <w:t>assessment</w:t>
      </w:r>
      <w:proofErr w:type="spellEnd"/>
      <w:r w:rsidRPr="003038A1">
        <w:t>» (Evaluación global del mercado y la tecnología de la energía geotérmica)</w:t>
      </w:r>
      <w:r w:rsidRPr="003038A1">
        <w:rPr>
          <w:rStyle w:val="FootnoteReference"/>
        </w:rPr>
        <w:footnoteReference w:id="12"/>
      </w:r>
      <w:r w:rsidRPr="003038A1">
        <w:t>,</w:t>
      </w:r>
    </w:p>
    <w:p w:rsidR="00B878C8" w:rsidRPr="003038A1" w:rsidRDefault="00B878C8" w:rsidP="00B878C8">
      <w:pPr>
        <w:pStyle w:val="NormalHanging12a"/>
      </w:pPr>
      <w:r w:rsidRPr="003038A1">
        <w:lastRenderedPageBreak/>
        <w:t>–</w:t>
      </w:r>
      <w:r w:rsidRPr="003038A1">
        <w:tab/>
        <w:t xml:space="preserve">Visto el informe del Observatorio de las Tecnologías Energéticas Limpias titulado «Deep </w:t>
      </w:r>
      <w:proofErr w:type="spellStart"/>
      <w:r w:rsidRPr="003038A1">
        <w:t>Geothermal</w:t>
      </w:r>
      <w:proofErr w:type="spellEnd"/>
      <w:r w:rsidRPr="003038A1">
        <w:t xml:space="preserve"> </w:t>
      </w:r>
      <w:proofErr w:type="spellStart"/>
      <w:r w:rsidRPr="003038A1">
        <w:t>Heat</w:t>
      </w:r>
      <w:proofErr w:type="spellEnd"/>
      <w:r w:rsidRPr="003038A1">
        <w:t xml:space="preserve"> and </w:t>
      </w:r>
      <w:proofErr w:type="spellStart"/>
      <w:r w:rsidRPr="003038A1">
        <w:t>Power</w:t>
      </w:r>
      <w:proofErr w:type="spellEnd"/>
      <w:r w:rsidRPr="003038A1">
        <w:t xml:space="preserve"> in the European </w:t>
      </w:r>
      <w:proofErr w:type="spellStart"/>
      <w:r w:rsidRPr="003038A1">
        <w:t>Union</w:t>
      </w:r>
      <w:proofErr w:type="spellEnd"/>
      <w:r w:rsidRPr="003038A1">
        <w:t xml:space="preserve"> – 2022 Status Report on </w:t>
      </w:r>
      <w:proofErr w:type="spellStart"/>
      <w:r w:rsidRPr="003038A1">
        <w:t>Technology</w:t>
      </w:r>
      <w:proofErr w:type="spellEnd"/>
      <w:r w:rsidRPr="003038A1">
        <w:t xml:space="preserve"> </w:t>
      </w:r>
      <w:proofErr w:type="spellStart"/>
      <w:r w:rsidRPr="003038A1">
        <w:t>Development</w:t>
      </w:r>
      <w:proofErr w:type="spellEnd"/>
      <w:r w:rsidRPr="003038A1">
        <w:t xml:space="preserve">, Trends, </w:t>
      </w:r>
      <w:proofErr w:type="spellStart"/>
      <w:r w:rsidRPr="003038A1">
        <w:t>Value</w:t>
      </w:r>
      <w:proofErr w:type="spellEnd"/>
      <w:r w:rsidRPr="003038A1">
        <w:t xml:space="preserve"> </w:t>
      </w:r>
      <w:proofErr w:type="spellStart"/>
      <w:r w:rsidRPr="003038A1">
        <w:t>Chains</w:t>
      </w:r>
      <w:proofErr w:type="spellEnd"/>
      <w:r w:rsidRPr="003038A1">
        <w:t xml:space="preserve"> and </w:t>
      </w:r>
      <w:proofErr w:type="spellStart"/>
      <w:r w:rsidRPr="003038A1">
        <w:t>Markets</w:t>
      </w:r>
      <w:proofErr w:type="spellEnd"/>
      <w:r w:rsidRPr="003038A1">
        <w:t>» (Calor y electricidad de la energía geotérmica profunda en la Unión Europea – Informe de situación de 2022 sobre el desarrollo tecnológico, las tendencias, las cadenas de valor y los mercados)</w:t>
      </w:r>
      <w:r w:rsidRPr="003038A1">
        <w:rPr>
          <w:rStyle w:val="FootnoteReference"/>
        </w:rPr>
        <w:footnoteReference w:id="13"/>
      </w:r>
      <w:r w:rsidRPr="003038A1">
        <w:t>,</w:t>
      </w:r>
    </w:p>
    <w:p w:rsidR="00B878C8" w:rsidRPr="003038A1" w:rsidRDefault="00B878C8" w:rsidP="00B878C8">
      <w:pPr>
        <w:pStyle w:val="NormalHanging12a"/>
      </w:pPr>
      <w:r w:rsidRPr="003038A1">
        <w:t>–</w:t>
      </w:r>
      <w:r w:rsidRPr="003038A1">
        <w:tab/>
        <w:t>Visto el informe del Observatorio de las Tecnologías Energéticas Limpias titulado «</w:t>
      </w:r>
      <w:proofErr w:type="spellStart"/>
      <w:r w:rsidRPr="003038A1">
        <w:t>Overall</w:t>
      </w:r>
      <w:proofErr w:type="spellEnd"/>
      <w:r w:rsidRPr="003038A1">
        <w:t xml:space="preserve"> Strategic </w:t>
      </w:r>
      <w:proofErr w:type="spellStart"/>
      <w:r w:rsidRPr="003038A1">
        <w:t>Analysis</w:t>
      </w:r>
      <w:proofErr w:type="spellEnd"/>
      <w:r w:rsidRPr="003038A1">
        <w:t xml:space="preserve"> of Clean Energy </w:t>
      </w:r>
      <w:proofErr w:type="spellStart"/>
      <w:r w:rsidRPr="003038A1">
        <w:t>Technology</w:t>
      </w:r>
      <w:proofErr w:type="spellEnd"/>
      <w:r w:rsidRPr="003038A1">
        <w:t xml:space="preserve"> in the European </w:t>
      </w:r>
      <w:proofErr w:type="spellStart"/>
      <w:r w:rsidRPr="003038A1">
        <w:t>Union</w:t>
      </w:r>
      <w:proofErr w:type="spellEnd"/>
      <w:r w:rsidRPr="003038A1">
        <w:t xml:space="preserve"> – 2022 Status Report» (Análisis estratégico global de las tecnologías energéticas limpias en la Unión Europea – Informe de situación 2022)</w:t>
      </w:r>
      <w:r w:rsidRPr="003038A1">
        <w:rPr>
          <w:rStyle w:val="FootnoteReference"/>
        </w:rPr>
        <w:footnoteReference w:id="14"/>
      </w:r>
      <w:r w:rsidRPr="003038A1">
        <w:t>,</w:t>
      </w:r>
    </w:p>
    <w:p w:rsidR="00B878C8" w:rsidRPr="003038A1" w:rsidRDefault="00B878C8" w:rsidP="00B878C8">
      <w:pPr>
        <w:pStyle w:val="NormalHanging12a"/>
      </w:pPr>
      <w:r w:rsidRPr="003038A1">
        <w:t>–</w:t>
      </w:r>
      <w:r w:rsidRPr="003038A1">
        <w:tab/>
        <w:t>Visto el estudio de la Comisión Europea titulado «</w:t>
      </w:r>
      <w:proofErr w:type="spellStart"/>
      <w:r w:rsidRPr="003038A1">
        <w:t>Geothermal</w:t>
      </w:r>
      <w:proofErr w:type="spellEnd"/>
      <w:r w:rsidRPr="003038A1">
        <w:t xml:space="preserve"> </w:t>
      </w:r>
      <w:proofErr w:type="spellStart"/>
      <w:r w:rsidRPr="003038A1">
        <w:t>plants</w:t>
      </w:r>
      <w:proofErr w:type="spellEnd"/>
      <w:r w:rsidRPr="003038A1">
        <w:t xml:space="preserve"> and </w:t>
      </w:r>
      <w:proofErr w:type="spellStart"/>
      <w:r w:rsidRPr="003038A1">
        <w:t>applications</w:t>
      </w:r>
      <w:proofErr w:type="spellEnd"/>
      <w:r w:rsidRPr="003038A1">
        <w:t xml:space="preserve"> emissions: </w:t>
      </w:r>
      <w:proofErr w:type="spellStart"/>
      <w:r w:rsidRPr="003038A1">
        <w:t>overview</w:t>
      </w:r>
      <w:proofErr w:type="spellEnd"/>
      <w:r w:rsidRPr="003038A1">
        <w:t xml:space="preserve"> and </w:t>
      </w:r>
      <w:proofErr w:type="spellStart"/>
      <w:r w:rsidRPr="003038A1">
        <w:t>analysis</w:t>
      </w:r>
      <w:proofErr w:type="spellEnd"/>
      <w:r w:rsidRPr="003038A1">
        <w:t>» (Emisiones de plantas y aplicaciones geotérmicas: visión general y análisis)</w:t>
      </w:r>
      <w:r w:rsidRPr="003038A1">
        <w:rPr>
          <w:rStyle w:val="FootnoteReference"/>
        </w:rPr>
        <w:footnoteReference w:id="15"/>
      </w:r>
      <w:r w:rsidRPr="003038A1">
        <w:t>,</w:t>
      </w:r>
    </w:p>
    <w:p w:rsidR="00B878C8" w:rsidRPr="003038A1" w:rsidRDefault="00B878C8" w:rsidP="00B878C8">
      <w:pPr>
        <w:pStyle w:val="NormalHanging12a"/>
      </w:pPr>
      <w:r w:rsidRPr="003038A1">
        <w:t>–</w:t>
      </w:r>
      <w:r w:rsidRPr="003038A1">
        <w:tab/>
        <w:t>Visto el informe de la Comisión titulado «</w:t>
      </w:r>
      <w:proofErr w:type="spellStart"/>
      <w:r w:rsidRPr="003038A1">
        <w:t>District</w:t>
      </w:r>
      <w:proofErr w:type="spellEnd"/>
      <w:r w:rsidRPr="003038A1">
        <w:t xml:space="preserve"> </w:t>
      </w:r>
      <w:proofErr w:type="spellStart"/>
      <w:r w:rsidRPr="003038A1">
        <w:t>heating</w:t>
      </w:r>
      <w:proofErr w:type="spellEnd"/>
      <w:r w:rsidRPr="003038A1">
        <w:t xml:space="preserve"> and </w:t>
      </w:r>
      <w:proofErr w:type="spellStart"/>
      <w:r w:rsidRPr="003038A1">
        <w:t>cooling</w:t>
      </w:r>
      <w:proofErr w:type="spellEnd"/>
      <w:r w:rsidRPr="003038A1">
        <w:t xml:space="preserve"> in the EU – Overview of </w:t>
      </w:r>
      <w:proofErr w:type="spellStart"/>
      <w:r w:rsidRPr="003038A1">
        <w:t>markets</w:t>
      </w:r>
      <w:proofErr w:type="spellEnd"/>
      <w:r w:rsidRPr="003038A1">
        <w:t xml:space="preserve"> and </w:t>
      </w:r>
      <w:proofErr w:type="spellStart"/>
      <w:r w:rsidRPr="003038A1">
        <w:t>regulatory</w:t>
      </w:r>
      <w:proofErr w:type="spellEnd"/>
      <w:r w:rsidRPr="003038A1">
        <w:t xml:space="preserve"> </w:t>
      </w:r>
      <w:proofErr w:type="spellStart"/>
      <w:r w:rsidRPr="003038A1">
        <w:t>frameworks</w:t>
      </w:r>
      <w:proofErr w:type="spellEnd"/>
      <w:r w:rsidRPr="003038A1">
        <w:t xml:space="preserve"> </w:t>
      </w:r>
      <w:proofErr w:type="spellStart"/>
      <w:r w:rsidRPr="003038A1">
        <w:t>under</w:t>
      </w:r>
      <w:proofErr w:type="spellEnd"/>
      <w:r w:rsidRPr="003038A1">
        <w:t xml:space="preserve"> the </w:t>
      </w:r>
      <w:proofErr w:type="spellStart"/>
      <w:r w:rsidRPr="003038A1">
        <w:t>revised</w:t>
      </w:r>
      <w:proofErr w:type="spellEnd"/>
      <w:r w:rsidRPr="003038A1">
        <w:t xml:space="preserve"> </w:t>
      </w:r>
      <w:proofErr w:type="spellStart"/>
      <w:r w:rsidRPr="003038A1">
        <w:t>Renewable</w:t>
      </w:r>
      <w:proofErr w:type="spellEnd"/>
      <w:r w:rsidRPr="003038A1">
        <w:t xml:space="preserve"> Energy </w:t>
      </w:r>
      <w:proofErr w:type="spellStart"/>
      <w:r w:rsidRPr="003038A1">
        <w:t>Directive</w:t>
      </w:r>
      <w:proofErr w:type="spellEnd"/>
      <w:r w:rsidRPr="003038A1">
        <w:t>» (Calefacción y refrigeración urbanas en la UE — Visión general de los mercados y marcos reglamentarios en virtud de la Directiva revisada sobre fuentes de energía renovables)</w:t>
      </w:r>
      <w:r w:rsidRPr="003038A1">
        <w:rPr>
          <w:rStyle w:val="FootnoteReference"/>
        </w:rPr>
        <w:footnoteReference w:id="16"/>
      </w:r>
      <w:r w:rsidRPr="003038A1">
        <w:t>,</w:t>
      </w:r>
    </w:p>
    <w:p w:rsidR="00B878C8" w:rsidRPr="003038A1" w:rsidRDefault="00B878C8" w:rsidP="00B878C8">
      <w:pPr>
        <w:pStyle w:val="NormalHanging12a"/>
      </w:pPr>
      <w:r w:rsidRPr="003038A1">
        <w:t>–</w:t>
      </w:r>
      <w:r w:rsidRPr="003038A1">
        <w:tab/>
        <w:t xml:space="preserve">Visto el informe del Centro Común de Investigación titulado «The </w:t>
      </w:r>
      <w:proofErr w:type="spellStart"/>
      <w:r w:rsidRPr="003038A1">
        <w:t>heat</w:t>
      </w:r>
      <w:proofErr w:type="spellEnd"/>
      <w:r w:rsidRPr="003038A1">
        <w:t xml:space="preserve"> </w:t>
      </w:r>
      <w:proofErr w:type="spellStart"/>
      <w:r w:rsidRPr="003038A1">
        <w:t>pump</w:t>
      </w:r>
      <w:proofErr w:type="spellEnd"/>
      <w:r w:rsidRPr="003038A1">
        <w:t xml:space="preserve"> wave: opportunities and challenges» (La oleada de bombas de calor: oportunidades y desafíos)</w:t>
      </w:r>
      <w:r w:rsidRPr="003038A1">
        <w:rPr>
          <w:rStyle w:val="FootnoteReference"/>
        </w:rPr>
        <w:footnoteReference w:id="17"/>
      </w:r>
      <w:r w:rsidRPr="003038A1">
        <w:t>,</w:t>
      </w:r>
    </w:p>
    <w:p w:rsidR="00B878C8" w:rsidRPr="003038A1" w:rsidRDefault="00B878C8" w:rsidP="00B878C8">
      <w:pPr>
        <w:pStyle w:val="NormalHanging12a"/>
      </w:pPr>
      <w:r w:rsidRPr="003038A1">
        <w:t>–</w:t>
      </w:r>
      <w:r w:rsidRPr="003038A1">
        <w:tab/>
        <w:t xml:space="preserve">Visto el estudio de 2023 de la Comisión Europea titulado «Overview of </w:t>
      </w:r>
      <w:proofErr w:type="spellStart"/>
      <w:r w:rsidRPr="003038A1">
        <w:t>heating</w:t>
      </w:r>
      <w:proofErr w:type="spellEnd"/>
      <w:r w:rsidRPr="003038A1">
        <w:t xml:space="preserve"> and </w:t>
      </w:r>
      <w:proofErr w:type="spellStart"/>
      <w:r w:rsidRPr="003038A1">
        <w:t>cooling</w:t>
      </w:r>
      <w:proofErr w:type="spellEnd"/>
      <w:r w:rsidRPr="003038A1">
        <w:t xml:space="preserve"> - </w:t>
      </w:r>
      <w:proofErr w:type="spellStart"/>
      <w:r w:rsidRPr="003038A1">
        <w:t>Perceptions</w:t>
      </w:r>
      <w:proofErr w:type="spellEnd"/>
      <w:r w:rsidRPr="003038A1">
        <w:t xml:space="preserve">, </w:t>
      </w:r>
      <w:proofErr w:type="spellStart"/>
      <w:r w:rsidRPr="003038A1">
        <w:t>markets</w:t>
      </w:r>
      <w:proofErr w:type="spellEnd"/>
      <w:r w:rsidRPr="003038A1">
        <w:t xml:space="preserve"> and </w:t>
      </w:r>
      <w:proofErr w:type="spellStart"/>
      <w:r w:rsidRPr="003038A1">
        <w:t>regulatory</w:t>
      </w:r>
      <w:proofErr w:type="spellEnd"/>
      <w:r w:rsidRPr="003038A1">
        <w:t xml:space="preserve"> </w:t>
      </w:r>
      <w:proofErr w:type="spellStart"/>
      <w:r w:rsidRPr="003038A1">
        <w:t>frameworks</w:t>
      </w:r>
      <w:proofErr w:type="spellEnd"/>
      <w:r w:rsidRPr="003038A1">
        <w:t xml:space="preserve"> for </w:t>
      </w:r>
      <w:proofErr w:type="spellStart"/>
      <w:r w:rsidRPr="003038A1">
        <w:t>decarbonisation</w:t>
      </w:r>
      <w:proofErr w:type="spellEnd"/>
      <w:r w:rsidRPr="003038A1">
        <w:t xml:space="preserve">» (Visión </w:t>
      </w:r>
      <w:r w:rsidRPr="003038A1">
        <w:lastRenderedPageBreak/>
        <w:t>general de la calefacción y la refrigeración — Concepciones, mercados y marcos reglamentarios para la descarbonización)</w:t>
      </w:r>
      <w:r w:rsidRPr="003038A1">
        <w:rPr>
          <w:rStyle w:val="FootnoteReference"/>
        </w:rPr>
        <w:footnoteReference w:id="18"/>
      </w:r>
      <w:r w:rsidRPr="003038A1">
        <w:t>,</w:t>
      </w:r>
    </w:p>
    <w:p w:rsidR="00B878C8" w:rsidRPr="003038A1" w:rsidRDefault="00B878C8" w:rsidP="00B878C8">
      <w:pPr>
        <w:pStyle w:val="NormalHanging12a"/>
      </w:pPr>
      <w:r w:rsidRPr="003038A1">
        <w:t>–</w:t>
      </w:r>
      <w:r w:rsidRPr="003038A1">
        <w:tab/>
        <w:t>Vista su Resolución, de 15 de diciembre de 2021, sobre la aplicación de la Directiva relativa a la eficiencia energética de los edificios</w:t>
      </w:r>
      <w:r w:rsidRPr="003038A1">
        <w:rPr>
          <w:rStyle w:val="FootnoteReference"/>
        </w:rPr>
        <w:footnoteReference w:id="19"/>
      </w:r>
      <w:r w:rsidRPr="003038A1">
        <w:t>,</w:t>
      </w:r>
    </w:p>
    <w:p w:rsidR="00B878C8" w:rsidRPr="003038A1" w:rsidRDefault="00B878C8" w:rsidP="00B878C8">
      <w:pPr>
        <w:pStyle w:val="NormalHanging12a"/>
      </w:pPr>
      <w:r w:rsidRPr="003038A1">
        <w:t>–</w:t>
      </w:r>
      <w:r w:rsidRPr="003038A1">
        <w:tab/>
        <w:t>Vistas su Resolución, de 10 de julio de 2020, sobre un enfoque europeo global con respecto al almacenamiento de la energía</w:t>
      </w:r>
      <w:r w:rsidRPr="003038A1">
        <w:rPr>
          <w:rStyle w:val="FootnoteReference"/>
        </w:rPr>
        <w:footnoteReference w:id="20"/>
      </w:r>
      <w:r w:rsidRPr="003038A1">
        <w:t xml:space="preserve"> y la Recomendación de la Comisión, de 14 de marzo de 2023, relativa al almacenamiento de energía: respaldar un sistema energético de la UE descarbonizado y seguro</w:t>
      </w:r>
      <w:r w:rsidRPr="003038A1">
        <w:rPr>
          <w:rStyle w:val="FootnoteReference"/>
        </w:rPr>
        <w:footnoteReference w:id="21"/>
      </w:r>
      <w:r w:rsidRPr="003038A1">
        <w:t>,</w:t>
      </w:r>
    </w:p>
    <w:p w:rsidR="00B878C8" w:rsidRPr="003038A1" w:rsidRDefault="00B878C8" w:rsidP="00B878C8">
      <w:pPr>
        <w:pStyle w:val="NormalHanging12a"/>
      </w:pPr>
      <w:r w:rsidRPr="003038A1">
        <w:t>–</w:t>
      </w:r>
      <w:r w:rsidRPr="003038A1">
        <w:tab/>
        <w:t>Vista su Resolución, de 21 de enero de 2021, sobre el acceso a una vivienda digna y asequible para todos</w:t>
      </w:r>
      <w:r w:rsidRPr="003038A1">
        <w:rPr>
          <w:rStyle w:val="FootnoteReference"/>
        </w:rPr>
        <w:footnoteReference w:id="22"/>
      </w:r>
      <w:r w:rsidRPr="003038A1">
        <w:t>,</w:t>
      </w:r>
    </w:p>
    <w:p w:rsidR="00B878C8" w:rsidRPr="003038A1" w:rsidRDefault="00B878C8" w:rsidP="00B878C8">
      <w:pPr>
        <w:pStyle w:val="NormalHanging12a"/>
      </w:pPr>
      <w:r w:rsidRPr="003038A1">
        <w:t>–</w:t>
      </w:r>
      <w:r w:rsidRPr="003038A1">
        <w:tab/>
        <w:t>Visto el artículo 54 de su Reglamento interno,</w:t>
      </w:r>
    </w:p>
    <w:p w:rsidR="00B878C8" w:rsidRPr="003038A1" w:rsidRDefault="00B878C8" w:rsidP="00B878C8">
      <w:pPr>
        <w:pStyle w:val="NormalHanging12a"/>
      </w:pPr>
      <w:r w:rsidRPr="003038A1">
        <w:t>–</w:t>
      </w:r>
      <w:r w:rsidRPr="003038A1">
        <w:tab/>
        <w:t>Visto el informe de la Comisión de Industria, Investigación y Energía (A9-0432/2023),</w:t>
      </w:r>
    </w:p>
    <w:p w:rsidR="00B878C8" w:rsidRPr="003038A1" w:rsidRDefault="00B878C8" w:rsidP="00B878C8">
      <w:pPr>
        <w:pStyle w:val="NormalHanging12a"/>
      </w:pPr>
      <w:r w:rsidRPr="003038A1">
        <w:t>A.</w:t>
      </w:r>
      <w:r w:rsidRPr="003038A1">
        <w:tab/>
        <w:t>Considerando que la energía geotérmica constituye un valioso recurso local de energía renovable que puede proporcionar, de forma rentable, electricidad distribuible, calor o una combinación de ambos y presenta un gran potencial para el sector de la electricidad y la producción de calor, así como para la producción sostenible de materias primas, y que puede estimular el empleo de calidad;</w:t>
      </w:r>
    </w:p>
    <w:p w:rsidR="00B878C8" w:rsidRPr="003038A1" w:rsidRDefault="00B878C8" w:rsidP="00B878C8">
      <w:pPr>
        <w:pStyle w:val="NormalHanging12a"/>
      </w:pPr>
      <w:r w:rsidRPr="003038A1">
        <w:t>B.</w:t>
      </w:r>
      <w:r w:rsidRPr="003038A1">
        <w:tab/>
        <w:t>Considerando que la Estrategia de Energía Solar de la Unión establece que la proporción de la demanda de energía cubierta por la energía geotérmica y calor solar debe multiplicarse al menos por tres para que la Unión cumpla sus objetivos para 2030 en materia de clima y energía;</w:t>
      </w:r>
    </w:p>
    <w:p w:rsidR="00B878C8" w:rsidRPr="003038A1" w:rsidRDefault="00B878C8" w:rsidP="00B878C8">
      <w:pPr>
        <w:pStyle w:val="NormalHanging12a"/>
      </w:pPr>
      <w:r w:rsidRPr="003038A1">
        <w:t>C.</w:t>
      </w:r>
      <w:r w:rsidRPr="003038A1">
        <w:tab/>
        <w:t>Considerando que la producción y el uso de energía representan más del 75 % de las emisiones de gases de efecto invernadero de la Unión; que, lamentablemente, más de la mitad del consumo final de energía para la calefacción de espacios en el sector residencial se produce con energías fósiles</w:t>
      </w:r>
      <w:r w:rsidRPr="003038A1">
        <w:rPr>
          <w:rStyle w:val="FootnoteReference"/>
        </w:rPr>
        <w:footnoteReference w:id="23"/>
      </w:r>
      <w:r w:rsidRPr="003038A1">
        <w:t>;</w:t>
      </w:r>
    </w:p>
    <w:p w:rsidR="00B878C8" w:rsidRPr="003038A1" w:rsidRDefault="00B878C8" w:rsidP="00B878C8">
      <w:pPr>
        <w:pStyle w:val="NormalHanging12a"/>
      </w:pPr>
      <w:r w:rsidRPr="003038A1">
        <w:t>D.</w:t>
      </w:r>
      <w:r w:rsidRPr="003038A1">
        <w:tab/>
        <w:t>Considerando que la crisis de los precios de la energía y la guerra de agresión de Rusia contra Ucrania han demostrado la urgente necesidad de incrementar la autonomía estratégica abierta de Europa; que la calefacción, la refrigeración y la electricidad geotérmicas han contribuido ya a los esfuerzos de la Unión por reducir las importaciones de combustibles fósiles;</w:t>
      </w:r>
    </w:p>
    <w:p w:rsidR="00B878C8" w:rsidRPr="003038A1" w:rsidRDefault="00B878C8" w:rsidP="00B878C8">
      <w:pPr>
        <w:pStyle w:val="NormalHanging12a"/>
      </w:pPr>
      <w:r w:rsidRPr="003038A1">
        <w:lastRenderedPageBreak/>
        <w:t>E.</w:t>
      </w:r>
      <w:r w:rsidRPr="003038A1">
        <w:tab/>
        <w:t>Considerando que la energía geotérmica puede contribuir a los objetivos establecidos en el plan REPowerEU, en especial al incrementar la producción de energía limpia y diversificar el suministro eléctrico, y tiene potencial para proporcionar electricidad y calor fiables y asequibles a las industrias y empresas, en especial a las pymes, fortaleciendo su competitividad, así como a los ciudadanos, abordando el problema de la pobreza energética, entre otros;</w:t>
      </w:r>
    </w:p>
    <w:p w:rsidR="00B878C8" w:rsidRPr="003038A1" w:rsidRDefault="00B878C8" w:rsidP="00B878C8">
      <w:pPr>
        <w:pStyle w:val="NormalHanging12a"/>
      </w:pPr>
      <w:r w:rsidRPr="003038A1">
        <w:t>F.</w:t>
      </w:r>
      <w:r w:rsidRPr="003038A1">
        <w:tab/>
        <w:t>Considerando que la energía geotérmica es una fuente de energía renovable, constante y fiable, disponible de forma inmediata una vez establecidas las infraestructuras necesarias, que proporciona una solución local y de cero emisiones netas para descarbonizar las redes de calefacción urbana, en consonancia con la definición de «sistema urbano eficiente de calefacción y refrigeración» de la Directiva relativa a la eficiencia energética</w:t>
      </w:r>
      <w:r w:rsidRPr="003038A1">
        <w:rPr>
          <w:rStyle w:val="FootnoteReference"/>
        </w:rPr>
        <w:footnoteReference w:id="24"/>
      </w:r>
      <w:r w:rsidRPr="003038A1">
        <w:t>, y que puede contribuir a las «comunidades de energía» locales y al autoconsumo colectivo de energías renovables;</w:t>
      </w:r>
    </w:p>
    <w:p w:rsidR="00B878C8" w:rsidRPr="003038A1" w:rsidRDefault="00B878C8" w:rsidP="00B878C8">
      <w:pPr>
        <w:pStyle w:val="NormalHanging12a"/>
      </w:pPr>
      <w:r w:rsidRPr="003038A1">
        <w:t>G.</w:t>
      </w:r>
      <w:r w:rsidRPr="003038A1">
        <w:tab/>
        <w:t>Considerando que la integración en el sector de la energía de las tecnologías geotérmicas desempeñará un papel crucial en el aumento de la flexibilidad y la eficiencia del sector energético y en la disminución de su huella de carbono;</w:t>
      </w:r>
    </w:p>
    <w:p w:rsidR="00B878C8" w:rsidRPr="003038A1" w:rsidRDefault="00B878C8" w:rsidP="00B878C8">
      <w:pPr>
        <w:pStyle w:val="NormalHanging12a"/>
      </w:pPr>
      <w:r w:rsidRPr="003038A1">
        <w:t>H.</w:t>
      </w:r>
      <w:r w:rsidRPr="003038A1">
        <w:tab/>
        <w:t>Considerando que las bombas de calor y las tecnologías de energía geotérmica están incluidas en la lista de tecnologías estratégicas de cero emisiones netas para Europa en el anexo de la propuesta de la Comisión de Ley sobre la industria de cero emisiones netas;</w:t>
      </w:r>
    </w:p>
    <w:p w:rsidR="00B878C8" w:rsidRPr="003038A1" w:rsidRDefault="00B878C8" w:rsidP="00B878C8">
      <w:pPr>
        <w:pStyle w:val="NormalHanging12a"/>
      </w:pPr>
      <w:r w:rsidRPr="003038A1">
        <w:t>I.</w:t>
      </w:r>
      <w:r w:rsidRPr="003038A1">
        <w:tab/>
        <w:t>Considerando que el sector estima que la energía geotérmica puede suministrar más del 75 % de la calefacción y la refrigeración consumidas en Europa y más del 15 % de su electricidad en 2040;</w:t>
      </w:r>
    </w:p>
    <w:p w:rsidR="00B878C8" w:rsidRPr="003038A1" w:rsidRDefault="00234D7F" w:rsidP="00B878C8">
      <w:pPr>
        <w:pStyle w:val="NormalHanging12a"/>
      </w:pPr>
      <w:r w:rsidRPr="003038A1">
        <w:t>J</w:t>
      </w:r>
      <w:r w:rsidR="00B878C8" w:rsidRPr="003038A1">
        <w:t>.</w:t>
      </w:r>
      <w:r w:rsidR="00B878C8" w:rsidRPr="003038A1">
        <w:tab/>
        <w:t>Considerando que siguen faltando a escala de la Unión las condiciones y los marcos políticos integrales necesarios para potenciar el desarrollo y el uso de la energía geotérmica en Europa; que también se necesita avanzar urgentemente en distintos ámbitos políticos a escala nacional para permitir que los agentes geotérmicos impulsen el desarrollo de proyectos mediante la mejora de la investigación, el refuerzo de la cadena de suministro, el establecimiento de sistemas de apoyo eficaces y el aumento de la sensibilización pública.</w:t>
      </w:r>
    </w:p>
    <w:p w:rsidR="00B878C8" w:rsidRPr="003038A1" w:rsidRDefault="00B878C8" w:rsidP="00B878C8">
      <w:pPr>
        <w:pStyle w:val="Normal12a24b"/>
        <w:widowControl/>
      </w:pPr>
      <w:r w:rsidRPr="003038A1">
        <w:rPr>
          <w:rStyle w:val="BoldItalic"/>
        </w:rPr>
        <w:t>Desarrollo y potencial</w:t>
      </w:r>
    </w:p>
    <w:p w:rsidR="00B878C8" w:rsidRPr="003038A1" w:rsidRDefault="00B878C8" w:rsidP="00B878C8">
      <w:pPr>
        <w:pStyle w:val="NormalHanging12a"/>
      </w:pPr>
      <w:r w:rsidRPr="003038A1">
        <w:t>1.</w:t>
      </w:r>
      <w:r w:rsidRPr="003038A1">
        <w:tab/>
        <w:t>Observa que el desarrollo de tecnologías ha ampliado el ámbito adecuado para los proyectos geotérmicos rentables y su alcance;</w:t>
      </w:r>
    </w:p>
    <w:p w:rsidR="00B878C8" w:rsidRPr="003038A1" w:rsidRDefault="00B878C8" w:rsidP="00B878C8">
      <w:pPr>
        <w:pStyle w:val="NormalHanging12a"/>
      </w:pPr>
      <w:r w:rsidRPr="003038A1">
        <w:t>2.</w:t>
      </w:r>
      <w:r w:rsidRPr="003038A1">
        <w:tab/>
        <w:t>Destaca el potencial de los recursos geotérmicos ubicuos, poco profundos y de baja temperatura disponibles en todos los Estados miembros; resalta el potencial de la energía geotérmica profunda, que puede utilizarse directamente en la generación de calor y electricidad;</w:t>
      </w:r>
    </w:p>
    <w:p w:rsidR="00B878C8" w:rsidRPr="003038A1" w:rsidRDefault="00B878C8" w:rsidP="00B878C8">
      <w:pPr>
        <w:pStyle w:val="NormalHanging12a"/>
      </w:pPr>
      <w:r w:rsidRPr="003038A1">
        <w:lastRenderedPageBreak/>
        <w:t>3.</w:t>
      </w:r>
      <w:r w:rsidRPr="003038A1">
        <w:tab/>
        <w:t>Observa que la energía geotérmica todavía desempeña con frecuencia un papel periférico en el debate sobre la energía renovable; llama la atención sobre el hecho de que las instalaciones geotérmicas no requieren tantas materias primas fundamentales como otras tecnologías renovables; observa que, aplicando un enfoque de ciclo de vida sostenible, la geotermia tiene un bajo impacto medioambiental y normalmente requiere un uso limitado del terreno y puede integrarse fácilmente en el paisaje;</w:t>
      </w:r>
    </w:p>
    <w:p w:rsidR="00B878C8" w:rsidRPr="003038A1" w:rsidRDefault="00B878C8" w:rsidP="00B878C8">
      <w:pPr>
        <w:pStyle w:val="NormalHanging12a"/>
      </w:pPr>
      <w:r w:rsidRPr="003038A1">
        <w:t>4.</w:t>
      </w:r>
      <w:r w:rsidRPr="003038A1">
        <w:tab/>
        <w:t>Hace hincapié en que la energía geotérmica ofrece beneficios a largo plazo que pueden compensar los altos costes iniciales asociados con su desarrollo, como el ser una fuente de energía sostenible con un bajo impacto medioambiental, costes de la energía estables y predecibles, costes de funcionamiento bajos, una vida útil larga y una fiabilidad que genera oportunidades de negocio y empleo en las comunidades locales y ayuda a reducir la dependencia de los combustibles importados;</w:t>
      </w:r>
    </w:p>
    <w:p w:rsidR="00B878C8" w:rsidRPr="003038A1" w:rsidRDefault="00B878C8" w:rsidP="00B878C8">
      <w:pPr>
        <w:pStyle w:val="NormalHanging12a"/>
      </w:pPr>
      <w:r w:rsidRPr="003038A1">
        <w:t>5.</w:t>
      </w:r>
      <w:r w:rsidRPr="003038A1">
        <w:tab/>
        <w:t>Lamenta que el potencial de la energía geotérmica no se haya aprovechado lo suficiente con anterioridad y que su reciente adopción esté motivada en gran medida por la crisis energética y la urgente necesidad de aliviar la presión socioeconómica de la demanda de calefacción y refrigeración en Europa; advierte que la influencia del gas subvencionado, la limitada sensibilización pública y las altas inversiones iniciales requeridas han obstaculizado efectivamente el desarrollo de la energía geotérmica durante años;</w:t>
      </w:r>
    </w:p>
    <w:p w:rsidR="00B878C8" w:rsidRPr="003038A1" w:rsidRDefault="00B878C8" w:rsidP="00B878C8">
      <w:pPr>
        <w:pStyle w:val="NormalHanging12a"/>
      </w:pPr>
      <w:r w:rsidRPr="003038A1">
        <w:t>6.</w:t>
      </w:r>
      <w:r w:rsidRPr="003038A1">
        <w:tab/>
        <w:t>Subraya que la energía geotérmica tiene potencial para contribuir de forma significativa al logro de objetivos estratégicos clave de la Unión, incluidos la consecución de los objetivos climáticos al descarbonizar diferentes sectores industriales, el fortalecimiento de la autonomía estratégica abierta de la Unión mediante el refuerzo de las necesidades de seguridad energética, la eliminación de la dependencia de combustibles fósiles de terceros países poco fiables, como Rusia, el aumento de la competitividad de las industrias europeas y el empoderamiento de los consumidores con un suministro de calefacción y electricidad asequible y fiable;</w:t>
      </w:r>
    </w:p>
    <w:p w:rsidR="00B878C8" w:rsidRPr="003038A1" w:rsidRDefault="00B878C8" w:rsidP="00B878C8">
      <w:pPr>
        <w:pStyle w:val="NormalHanging12a"/>
      </w:pPr>
      <w:r w:rsidRPr="003038A1">
        <w:t>7.</w:t>
      </w:r>
      <w:r w:rsidRPr="003038A1">
        <w:tab/>
        <w:t>Subraya que el proceso de extracción de materias primas de las salmueras geotérmicas de un modo sostenible desde el punto de vista medioambiental podría contribuir a garantizar un suministro fiable y local de materias primas fundamentales, como el litio, y, por lo tanto, reforzar la resiliencia económica de la Unión; señala, a este respecto, que las instalaciones que extraen tanto energía geotérmica como materias primas tienen una mayor repercusión sobre el empleo que las plantas geotérmicas tradicionales, y atraen a empresas interesadas en utilizar diversos flujos de recursos;</w:t>
      </w:r>
    </w:p>
    <w:p w:rsidR="00B878C8" w:rsidRPr="003038A1" w:rsidRDefault="00B878C8" w:rsidP="00B878C8">
      <w:pPr>
        <w:pStyle w:val="NormalHanging12a"/>
      </w:pPr>
      <w:r w:rsidRPr="003038A1">
        <w:t>8.</w:t>
      </w:r>
      <w:r w:rsidRPr="003038A1">
        <w:tab/>
        <w:t>Llama la atención sobre las soluciones geotérmicas capaces de almacenar el exceso de energía eólica y solar para su posterior uso con fines de calefacción, refrigeración y producción de energía, así como sobre su papel crucial en el desarrollo de sistemas energéticos basados en energías renovables; resalta, a este respecto, el papel de las minas inactivas, que son especialmente adecuadas para el almacenamiento térmico estacional a gran escala y el almacenamiento eléctrico de larga duración; subraya el potencial de la energía geotérmica para el equilibrio de la red y los servicios auxiliares debido a su elevado factor de capacidad, la flexibilidad de suministro y el potencial distribuible;</w:t>
      </w:r>
    </w:p>
    <w:p w:rsidR="00B878C8" w:rsidRPr="003038A1" w:rsidRDefault="00B878C8" w:rsidP="00B878C8">
      <w:pPr>
        <w:pStyle w:val="NormalHanging12a"/>
      </w:pPr>
      <w:r w:rsidRPr="003038A1">
        <w:t>9.</w:t>
      </w:r>
      <w:r w:rsidRPr="003038A1">
        <w:tab/>
        <w:t xml:space="preserve">Destaca que el uso de la energía geotérmica en la Unión presenta su mayor potencial en los sistemas de calefacción y refrigeración urbanos y las redes de instalaciones geotérmicas poco profundas; resalta que pueden proporcionar una energía renovable </w:t>
      </w:r>
      <w:r w:rsidRPr="003038A1">
        <w:lastRenderedPageBreak/>
        <w:t>local, de carga base y flexible y protección contra la volatilidad y la subida de los precios de los combustibles fósiles; subraya que la geotermia puede ayudar a descarbonizar el sector de la calefacción y la refrigeración, que constituye casi la mitad del consumo total de energía final de la Unión y contribuye en hasta el 35 % de las emisiones de gases de efecto invernadero de la Unión relacionadas con el uso de energía; observa el potencial y la necesidad cada vez mayor del uso de la refrigeración urbana mediante geotermia, que se convertirá en un elemento importante para la adaptación sostenible al cambio climático en las ciudades, pues se espera que se registren con más frecuencia temperaturas más altas y olas de calor;</w:t>
      </w:r>
    </w:p>
    <w:p w:rsidR="00B878C8" w:rsidRPr="003038A1" w:rsidRDefault="00B878C8" w:rsidP="00B878C8">
      <w:pPr>
        <w:pStyle w:val="NormalHanging12a"/>
      </w:pPr>
      <w:r w:rsidRPr="003038A1">
        <w:t>10.</w:t>
      </w:r>
      <w:r w:rsidRPr="003038A1">
        <w:tab/>
        <w:t>Señala el importante potencial del calor geotérmico para los procesos industriales, en especial para procesos de intensidad energética baja a media (por debajo de 200 grados), lo que representa hasta la mitad de la producción industrial de calor de Europa; resalta, a este respecto, que desarrollar el uso del calor geotérmico con este fin incrementaría la competitividad de las empresas europeas al proporcionales una fuente fiable y asequible de calor;</w:t>
      </w:r>
    </w:p>
    <w:p w:rsidR="00B878C8" w:rsidRPr="003038A1" w:rsidRDefault="00B878C8" w:rsidP="00B878C8">
      <w:pPr>
        <w:pStyle w:val="NormalHanging12a"/>
      </w:pPr>
      <w:r w:rsidRPr="003038A1">
        <w:t>11.</w:t>
      </w:r>
      <w:r w:rsidRPr="003038A1">
        <w:tab/>
        <w:t>Resalta, asimismo, el potencial del calor geotérmico para la producción interior de alimentos, en especial para la producción de productos agrícolas, la horticultura y la acuicultura; observa que ya existen ejemplos de éxito de la aplicación de la geotermia en estos sectores en distintas regiones europeas; subraya que el uso del calor geotérmico contribuirá a descarbonizar dichos sectores y fomentar prácticas más sostenibles y respetuosas con el medio ambiente, y a reducir al mismo tiempo los costes de producción, los altos costes de la energía y la volatilidad de los precios para los agricultores, así como a promover la resiliencia de los sistemas alimentarios;</w:t>
      </w:r>
    </w:p>
    <w:p w:rsidR="00B878C8" w:rsidRPr="003038A1" w:rsidRDefault="00B878C8" w:rsidP="00B878C8">
      <w:pPr>
        <w:pStyle w:val="NormalHanging12a"/>
      </w:pPr>
      <w:r w:rsidRPr="003038A1">
        <w:t>12.</w:t>
      </w:r>
      <w:r w:rsidRPr="003038A1">
        <w:tab/>
        <w:t>Señala el potencial del uso en cascada, por el que el mismo fluido geotérmico se utiliza para múltiples fines; destaca la necesidad de fomentar sinergias intersectoriales entre el geotérmico y otros sectores, también mediante el uso compartido de emplazamientos, infraestructuras, datos y capacidades de mano de obra;</w:t>
      </w:r>
    </w:p>
    <w:p w:rsidR="00B878C8" w:rsidRPr="003038A1" w:rsidRDefault="00B878C8" w:rsidP="00B878C8">
      <w:pPr>
        <w:pStyle w:val="NormalHanging12a"/>
      </w:pPr>
      <w:r w:rsidRPr="003038A1">
        <w:t>13.</w:t>
      </w:r>
      <w:r w:rsidRPr="003038A1">
        <w:tab/>
        <w:t>Considera que se debe tener en cuenta la presencia de energía geotérmica al designar la ubicación geográfica de «los valles industriales de cero emisiones netas» como parte de la Ley sobre la industria de cero emisiones netas;</w:t>
      </w:r>
    </w:p>
    <w:p w:rsidR="00B878C8" w:rsidRPr="003038A1" w:rsidRDefault="00B878C8" w:rsidP="00B878C8">
      <w:pPr>
        <w:pStyle w:val="Normal12a24b"/>
        <w:widowControl/>
      </w:pPr>
      <w:r w:rsidRPr="003038A1">
        <w:rPr>
          <w:rStyle w:val="BoldItalic"/>
        </w:rPr>
        <w:t>Recomendaciones de actuación</w:t>
      </w:r>
    </w:p>
    <w:p w:rsidR="00B878C8" w:rsidRPr="003038A1" w:rsidRDefault="00B878C8" w:rsidP="00B878C8">
      <w:pPr>
        <w:pStyle w:val="NormalHanging12a"/>
      </w:pPr>
      <w:r w:rsidRPr="003038A1">
        <w:t>14.</w:t>
      </w:r>
      <w:r w:rsidRPr="003038A1">
        <w:tab/>
        <w:t>Pide a la Comisión que presente una estrategia de energía geotérmica de la Unión que proporcione unas directrices concretas a los Estados miembros y las administraciones locales a fin de acelerar el despliegue de la energía geotérmica para descarbonizar la calefacción y contribuir a la independencia energética de la Unión y alcanzar el objetivo de multiplicar al menos por tres la proporción de la demanda de energía cubierta por la energía geotérmica y calor solar para 2030, como se anunció en la Estrategia de Energía Solar de la UE; destaca que, en 2022, 151 empresas e industrias pidieron a la Comisión que preparara una estrategia europea para aprovechar el potencial de la energía geotérmica;</w:t>
      </w:r>
    </w:p>
    <w:p w:rsidR="00B878C8" w:rsidRPr="003038A1" w:rsidRDefault="00B878C8" w:rsidP="00B878C8">
      <w:pPr>
        <w:pStyle w:val="NormalHanging12a"/>
      </w:pPr>
      <w:r w:rsidRPr="003038A1">
        <w:t>15.</w:t>
      </w:r>
      <w:r w:rsidRPr="003038A1">
        <w:tab/>
        <w:t>Destaca que las medidas nacionales y a escala de la Unión en materia de energía geotérmica deben basarse en una evaluación del potencial geotérmico de Europa, teniendo en cuenta las diversas condiciones geológicas y climáticas, así como una estimación de la rentabilidad del despliegue de soluciones geotérmicas;</w:t>
      </w:r>
    </w:p>
    <w:p w:rsidR="00B878C8" w:rsidRPr="003038A1" w:rsidRDefault="00B878C8" w:rsidP="00B878C8">
      <w:pPr>
        <w:pStyle w:val="NormalHanging12a"/>
      </w:pPr>
      <w:r w:rsidRPr="003038A1">
        <w:lastRenderedPageBreak/>
        <w:t>16.</w:t>
      </w:r>
      <w:r w:rsidRPr="003038A1">
        <w:tab/>
        <w:t xml:space="preserve">Pide a la Comisión que base la estrategia en una evaluación integral del potencial de la energía geotérmica en el subsuelo poco profundo, de profundidad media, profundo y </w:t>
      </w:r>
      <w:proofErr w:type="spellStart"/>
      <w:r w:rsidRPr="003038A1">
        <w:t>ultraprofundo</w:t>
      </w:r>
      <w:proofErr w:type="spellEnd"/>
      <w:r w:rsidRPr="003038A1">
        <w:t xml:space="preserve"> en los veintisiete Estados miembros; observa que esta evaluación debe ayudar a identificar el potencial de la energía geotérmica para usos variados, incluidos, aunque no solo, la calefacción urbana, la refrigeración, los procesos industriales, la producción alimentaria, las bombas de calor, la generación de electricidad y el hidrógeno renovable y la producción de litio; señala que este estudio debe evaluar asimismo el impacto del desarrollo de la energía geotérmica en la descarbonización de la economía, la creación de empleo, la competitividad, el empoderamiento de los consumidores y la rentabilidad en comparación con otras fuentes de energía;</w:t>
      </w:r>
    </w:p>
    <w:p w:rsidR="00B878C8" w:rsidRPr="003038A1" w:rsidRDefault="00B878C8" w:rsidP="00B878C8">
      <w:pPr>
        <w:pStyle w:val="NormalHanging12a"/>
      </w:pPr>
      <w:r w:rsidRPr="003038A1">
        <w:t>17.</w:t>
      </w:r>
      <w:r w:rsidRPr="003038A1">
        <w:tab/>
        <w:t>Pide a la Comisión que aborde, en la estrategia, los obstáculos al desarrollo de proyectos geotérmicos, incluidas cuestiones transfronterizas, y proporcione una guía de mejores prácticas de uso de la energía geotérmica en la Unión para las autoridades nacionales y locales, los promotores de proyectos y las instituciones financieras;</w:t>
      </w:r>
    </w:p>
    <w:p w:rsidR="00B878C8" w:rsidRPr="003038A1" w:rsidRDefault="00B878C8" w:rsidP="00B878C8">
      <w:pPr>
        <w:pStyle w:val="NormalHanging12a"/>
      </w:pPr>
      <w:r w:rsidRPr="003038A1">
        <w:t>18.</w:t>
      </w:r>
      <w:r w:rsidRPr="003038A1">
        <w:tab/>
        <w:t>Acoge con satisfacción la creciente sensibilización respecto de la energía geotérmica y el apoyo a esta a escala nacional; pide a los Estados miembros que sigan el ejemplo de los países que han elaborado hojas de ruta sobre la energía geotérmica, así como objetivos y medidas políticas específicas para este tipo de energía</w:t>
      </w:r>
      <w:r w:rsidRPr="003038A1">
        <w:rPr>
          <w:rStyle w:val="FootnoteReference"/>
        </w:rPr>
        <w:footnoteReference w:id="25"/>
      </w:r>
      <w:r w:rsidRPr="003038A1">
        <w:t>; subraya la necesidad de facilitar el intercambio de información sobre estas medidas y datos para apoyar las políticas en materia de energía geotérmica y promover las mejores prácticas existentes y el intercambio de conocimientos;</w:t>
      </w:r>
    </w:p>
    <w:p w:rsidR="00B878C8" w:rsidRPr="003038A1" w:rsidRDefault="00B878C8" w:rsidP="00B878C8">
      <w:pPr>
        <w:pStyle w:val="NormalHanging12a"/>
      </w:pPr>
      <w:r w:rsidRPr="003038A1">
        <w:t>19.</w:t>
      </w:r>
      <w:r w:rsidRPr="003038A1">
        <w:tab/>
        <w:t>Pide a la Comisión que establezca una «alianza geotérmica» que incluya a los Estados miembros, los facilitadores de la adopción de energía geotérmica, la industria, la comunidad científica y la sociedad civil para facilitar el intercambio de las mejores prácticas y la aplicación de una futura estrategia geotérmica;</w:t>
      </w:r>
    </w:p>
    <w:p w:rsidR="00B878C8" w:rsidRPr="003038A1" w:rsidRDefault="00B878C8" w:rsidP="00B878C8">
      <w:pPr>
        <w:pStyle w:val="NormalHanging12a"/>
      </w:pPr>
      <w:r w:rsidRPr="003038A1">
        <w:t>20.</w:t>
      </w:r>
      <w:r w:rsidRPr="003038A1">
        <w:tab/>
        <w:t>Pide a la Comisión que explore el potencial de la energía geotérmica para contribuir a los objetivos de producción de hidrógeno limpio establecidos en el plan REPowerEU;</w:t>
      </w:r>
    </w:p>
    <w:p w:rsidR="00B878C8" w:rsidRPr="003038A1" w:rsidRDefault="00B878C8" w:rsidP="00B878C8">
      <w:pPr>
        <w:pStyle w:val="NormalHanging12a"/>
        <w:rPr>
          <w:b/>
          <w:i/>
        </w:rPr>
      </w:pPr>
      <w:r w:rsidRPr="003038A1">
        <w:rPr>
          <w:b/>
          <w:i/>
        </w:rPr>
        <w:t>Calefacción y refrigeración urbanas geotérmicas</w:t>
      </w:r>
    </w:p>
    <w:p w:rsidR="00B878C8" w:rsidRPr="003038A1" w:rsidRDefault="00B878C8" w:rsidP="00B878C8">
      <w:pPr>
        <w:widowControl/>
        <w:spacing w:after="240"/>
        <w:ind w:left="567" w:hanging="567"/>
      </w:pPr>
      <w:r w:rsidRPr="003038A1">
        <w:t>21.</w:t>
      </w:r>
      <w:r w:rsidRPr="003038A1">
        <w:tab/>
        <w:t>Subraya la necesidad de modernizar las redes existentes de calefacción y refrigeración y construir otras nuevas usando el potencial de la energía geotérmica; pide a la Comisión y a los Estados miembros que creen incentivos fuertes para apoyar lo citado e impulsar los sistemas de calefacción y refrigeración de cuarta y quinta generación; observa que el desarrollo de redes de calefacción y refrigeración es fundamental para la elaboración de planes municipales de calefacción exhaustivos, tal como requiere la Directiva relativa a la eficiencia energética, y se ajusta a los objetivos de los planes nacionales de energía y clima; pide a la Comisión que facilite a los Estados miembros unas directrices para la elaboración de dichos planes y también para la evaluación del potencial geotérmico;</w:t>
      </w:r>
    </w:p>
    <w:p w:rsidR="00B878C8" w:rsidRPr="003038A1" w:rsidRDefault="00B878C8" w:rsidP="00B878C8">
      <w:pPr>
        <w:widowControl/>
        <w:spacing w:after="240"/>
        <w:ind w:left="567" w:hanging="567"/>
      </w:pPr>
      <w:r w:rsidRPr="003038A1">
        <w:t>22.</w:t>
      </w:r>
      <w:r w:rsidRPr="003038A1">
        <w:tab/>
        <w:t xml:space="preserve">Celebra el creciente número de proyectos de conversión de infraestructuras existentes de calefacción y refrigeración urbanas en sistemas basados en la geotermia; hace </w:t>
      </w:r>
      <w:r w:rsidRPr="003038A1">
        <w:lastRenderedPageBreak/>
        <w:t>hincapié, en particular, en el potencial de estas conversiones en los países de Europa central y oriental, en los que pueden contribuir de forma significativa a las políticas de descarbonización; resalta que se deben respaldar ampliamente esas acciones mediante los Fondos de Modernización, Transición Justa y Cohesión; pide que las inversiones respaldadas por el Fondo de Modernización para la conversión de los sistemas existentes de calefacción urbana consideren siempre el potencial del suministro de energía geotérmica para dichos sistemas;</w:t>
      </w:r>
    </w:p>
    <w:p w:rsidR="00B878C8" w:rsidRPr="003038A1" w:rsidRDefault="00B878C8" w:rsidP="00B878C8">
      <w:pPr>
        <w:pStyle w:val="NormalHanging12a"/>
      </w:pPr>
      <w:r w:rsidRPr="003038A1">
        <w:t>23.</w:t>
      </w:r>
      <w:r w:rsidRPr="003038A1">
        <w:tab/>
        <w:t>Manifiesta su preocupación por que demasiado a menudo el desarrollo de proyectos geotérmicos resulta impedido o significativamente retrasado por la falta de unas redes de calefacción y refrigeración urbanas desarrolladas; destaca la necesidad de garantizar la coordinación entre las compañías energéticas y las autoridades locales para planificar, invertir y gestionar conjuntamente redes de calefacción y refrigeración urbanas;</w:t>
      </w:r>
    </w:p>
    <w:p w:rsidR="00B878C8" w:rsidRPr="003038A1" w:rsidRDefault="00B878C8" w:rsidP="00B878C8">
      <w:pPr>
        <w:pStyle w:val="NormalHanging12a"/>
      </w:pPr>
      <w:r w:rsidRPr="003038A1">
        <w:t>24.</w:t>
      </w:r>
      <w:r w:rsidRPr="003038A1">
        <w:tab/>
        <w:t>Llama la atención sobre el hecho de que algunos proyectos recientes de calefacción y refrigeración urbanas geotérmicas han sido ejecutados con arreglo a nuevos modelos de negocio, que permiten a empresas privadas, incluidas empresas de servicios públicos, construir infraestructuras públicas en nombre de las autoridades locales; invita a los Estados miembros a que exploren posibilidades reguladoras innovadoras para potenciar el desarrollo de la calefacción y refrigeración urbanas geotérmicas;</w:t>
      </w:r>
    </w:p>
    <w:p w:rsidR="00B878C8" w:rsidRPr="003038A1" w:rsidRDefault="00B878C8" w:rsidP="00B878C8">
      <w:pPr>
        <w:pStyle w:val="NormalHanging12a"/>
      </w:pPr>
      <w:r w:rsidRPr="003038A1">
        <w:t>25.</w:t>
      </w:r>
      <w:r w:rsidRPr="003038A1">
        <w:tab/>
        <w:t>Destaca la importancia de poner a disposición de las partes interesadas del sector geotérmico de toda Europa datos de las redes existentes de calefacción urbana, incluido su nivel de modernización y la demanda de calor; subraya que estos datos son cruciales para evaluar el potencial de una región y colaborar con las autoridades locales durante las fases iniciales de un proyecto; pide a la Comisión que facilite y coordine la disponibilidad de los datos existentes sobre calefacción y refrigeración urbanas;</w:t>
      </w:r>
    </w:p>
    <w:p w:rsidR="00B878C8" w:rsidRPr="003038A1" w:rsidRDefault="00B878C8" w:rsidP="00B878C8">
      <w:pPr>
        <w:pStyle w:val="Normal12a24b"/>
        <w:widowControl/>
      </w:pPr>
      <w:r w:rsidRPr="003038A1">
        <w:rPr>
          <w:rStyle w:val="BoldItalic"/>
        </w:rPr>
        <w:t>Disponibilidad de los datos</w:t>
      </w:r>
    </w:p>
    <w:p w:rsidR="00B878C8" w:rsidRPr="003038A1" w:rsidRDefault="00B878C8" w:rsidP="00B878C8">
      <w:pPr>
        <w:widowControl/>
        <w:spacing w:after="240"/>
        <w:ind w:left="567" w:hanging="567"/>
      </w:pPr>
      <w:r w:rsidRPr="003038A1">
        <w:t>26.</w:t>
      </w:r>
      <w:r w:rsidRPr="003038A1">
        <w:tab/>
        <w:t>Observa que la carencia de un acceso fácil a datos del subsuelo representa en la actualidad una barrera importante para la reducción de riesgos y, por tanto, para un rápido despliegue de los proyectos de energía geotérmica; subraya que un acceso fácil y equitativo a datos del subsuelo en los Estados miembros es crucial para la fase de evaluación inicial de un proyecto; subraya, además, que esta falta de acceso a los datos impide a los científicos crear modelos geológicos que son esenciales para predecir el potencial y el rendimiento de la energía geotérmica en un subsuelo determinado y son cruciales, por tanto, para reducir la incertidumbre para los promotores de proyectos;</w:t>
      </w:r>
    </w:p>
    <w:p w:rsidR="00B878C8" w:rsidRPr="003038A1" w:rsidRDefault="00B878C8" w:rsidP="00B878C8">
      <w:pPr>
        <w:widowControl/>
        <w:spacing w:after="240"/>
        <w:ind w:left="567" w:hanging="567"/>
      </w:pPr>
      <w:r w:rsidRPr="003038A1">
        <w:t>27.</w:t>
      </w:r>
      <w:r w:rsidRPr="003038A1">
        <w:tab/>
        <w:t xml:space="preserve">Insta a los Estados miembros y a la Comisión a que estudien métodos de recogida de diferentes tipos de datos geológicos de entidades públicas y privadas con vistas a organizarlos, sistematizarlos y ponerlos a disposición del público mediante la ampliación de las bases geológicas esenciales existentes utilizando los formatos digitales para la recogida de los datos y publicándolos; observa que esto debe realizarse respetando las normas de protección de datos, de protección de datos delicados a efectos comerciales, incluida la protección de los secretos comerciales y la protección de los derechos de propiedad intelectual, así como las consideraciones de seguridad e incluyendo, en caso necesario, incentivos o compensaciones para el intercambio de datos por parte de entidades privadas; opina que los datos geológicos obtenidos con financiación pública necesarios para el desarrollo de proyectos geotérmicos (como los obtenidos con el apoyo público a las perforaciones prospectivas) deben ponerse a </w:t>
      </w:r>
      <w:r w:rsidRPr="003038A1">
        <w:lastRenderedPageBreak/>
        <w:t>disposición del público en un período de tiempo breve establecido por el Estado miembro de que se trate; llama la atención sobre el hecho de que en algunos Estados miembros los datos geológicos que obran en poder de entidades privadas se ponen a disposición del público de forma gratuita pasado un determinado plazo;</w:t>
      </w:r>
    </w:p>
    <w:p w:rsidR="00B878C8" w:rsidRPr="003038A1" w:rsidRDefault="00B878C8" w:rsidP="00B878C8">
      <w:pPr>
        <w:pStyle w:val="NormalHanging12a"/>
      </w:pPr>
      <w:r w:rsidRPr="003038A1">
        <w:t>28.</w:t>
      </w:r>
      <w:r w:rsidRPr="003038A1">
        <w:tab/>
        <w:t>Insta a la Comisión a que explore los beneficios de armonizar la legislación nacional de acceso a datos del subsuelo y las barreras que lo impiden, y el almacenamiento de datos geológicos en un portal centralizado a escala de la Unión gratuito y de fácil acceso para todo el mundo;</w:t>
      </w:r>
    </w:p>
    <w:p w:rsidR="00B878C8" w:rsidRPr="003038A1" w:rsidRDefault="00B878C8" w:rsidP="00B878C8">
      <w:pPr>
        <w:widowControl/>
        <w:spacing w:after="240"/>
        <w:ind w:left="567" w:hanging="567"/>
      </w:pPr>
      <w:r w:rsidRPr="003038A1">
        <w:t>29.</w:t>
      </w:r>
      <w:r w:rsidRPr="003038A1">
        <w:tab/>
        <w:t>Destaca que, en el caso de insuficiencia de datos relativos al subsuelo, los Gobiernos pueden contribuir a financiar la cartografía de los recursos geotérmicos y las perforaciones prospectivas; acoge con satisfacción el hecho de que algunos Estados miembros ya hayan dado pasos en esta dirección; pide a la Comisión que continúe apoyando esta recogida de datos mediante proyectos pertinentes, como la Infraestructura Europea de Datos Geológicos (EGDI), que se propone crear un atlas de los recursos geotérmicos a escala de la Unión; resalta la relevancia del Servicio de Vigilancia Terrestre de Copernicus, que puede proporcionar datos fiables de la temperatura terrestre especialmente útiles para la energía geotérmica de superficie;</w:t>
      </w:r>
    </w:p>
    <w:p w:rsidR="00B878C8" w:rsidRPr="003038A1" w:rsidRDefault="00B878C8" w:rsidP="00B878C8">
      <w:pPr>
        <w:widowControl/>
        <w:spacing w:after="240"/>
        <w:ind w:left="567" w:hanging="567"/>
      </w:pPr>
      <w:r w:rsidRPr="003038A1">
        <w:t>30.</w:t>
      </w:r>
      <w:r w:rsidRPr="003038A1">
        <w:tab/>
        <w:t>Hace hincapié en el potencial geotérmico de la readaptación de los pozos de petróleo y gas y las minas; pide a los Estados miembros que, en cooperación con las empresas de petróleo, gas y carbón, elaboren inventarios públicos y mapas, que incluyan especificaciones, de las infraestructuras de hidrocarburos agotadas, abandonadas y al final de su vida útil con potencial para su uso como recurso geotérmico; destaca la necesidad de priorizar los fondos para llevar a cabo estudios detallados de las condiciones de estas infraestructuras, a fin de evaluar el potencial de cada emplazamiento;</w:t>
      </w:r>
    </w:p>
    <w:p w:rsidR="00B878C8" w:rsidRPr="003038A1" w:rsidRDefault="00B878C8" w:rsidP="00B878C8">
      <w:pPr>
        <w:widowControl/>
        <w:spacing w:after="240"/>
        <w:ind w:left="567" w:hanging="567"/>
      </w:pPr>
      <w:r w:rsidRPr="003038A1">
        <w:t>31.</w:t>
      </w:r>
      <w:r w:rsidRPr="003038A1">
        <w:tab/>
        <w:t>Expresa su preocupación por el carácter fragmentado de las estadísticas sobre energía geotérmica; resalta que la evaluación de la implantación de la energía geotérmica en Europa es muy difícil debido a la ausencia de normas sobre la presentación de datos para este sector; pide a los Estados miembros que, en cooperación con el sector y la Comisión, revisen los procedimientos existentes de recogida de datos estadísticos relativos a la energía geotérmica y repliquen las buenas prácticas en el sector estableciendo normas sobre la presentación de datos para este sector;</w:t>
      </w:r>
    </w:p>
    <w:p w:rsidR="00B878C8" w:rsidRPr="003038A1" w:rsidRDefault="00B878C8" w:rsidP="00B878C8">
      <w:pPr>
        <w:pStyle w:val="Normal12a24b"/>
        <w:widowControl/>
      </w:pPr>
      <w:r w:rsidRPr="003038A1">
        <w:rPr>
          <w:rStyle w:val="BoldItalic"/>
        </w:rPr>
        <w:t>Financiación</w:t>
      </w:r>
    </w:p>
    <w:p w:rsidR="00B878C8" w:rsidRPr="003038A1" w:rsidRDefault="00B878C8" w:rsidP="00B878C8">
      <w:pPr>
        <w:widowControl/>
        <w:spacing w:after="240"/>
        <w:ind w:left="567" w:hanging="567"/>
      </w:pPr>
      <w:r w:rsidRPr="003038A1">
        <w:t>32.</w:t>
      </w:r>
      <w:r w:rsidRPr="003038A1">
        <w:tab/>
        <w:t xml:space="preserve">Reitera que la incertidumbre sobre los recursos subterráneos hace difícil garantizar la financiación de los proyectos; observa que la fase inicial de los proyectos, como la fase de exploración y construcción, requiere una cantidad importante de costes iniciales y que los riesgos empresariales pueden obstaculizar la toma de decisiones de inversión; pide a los Estados miembros que estudien soluciones de reducción del riesgo financiero adecuadas para la madurez de sus mercados locales, como subvenciones, préstamos convertibles en subvenciones, garantías respaldadas por el Estado, mecanismos de cobertura y seguros de exploración; observa ejemplos de mecanismos de cobertura de riesgos respaldados no solo por fondos públicos, sino también por aportaciones del sector privado; señala, a este respecto, que un plan de mitigación de riesgos financieros de la Unión sería especialmente útil para los mercados menos maduros en el sector geotérmico; observa la importancia de otras medidas de reducción del riesgo, como la </w:t>
      </w:r>
      <w:r w:rsidRPr="003038A1">
        <w:lastRenderedPageBreak/>
        <w:t>concesión de un acceso fácil a datos del subsuelo y el intercambio de mejores prácticas sobre nuevos tipos de modelos de negocio que permitan sinergias entre la financiación pública y la privada;</w:t>
      </w:r>
    </w:p>
    <w:p w:rsidR="00B878C8" w:rsidRPr="003038A1" w:rsidRDefault="00B878C8" w:rsidP="00B878C8">
      <w:pPr>
        <w:widowControl/>
        <w:spacing w:after="240"/>
        <w:ind w:left="567" w:hanging="567"/>
      </w:pPr>
      <w:r w:rsidRPr="003038A1">
        <w:t>33.</w:t>
      </w:r>
      <w:r w:rsidRPr="003038A1">
        <w:tab/>
        <w:t>Expresa su preocupación por el hecho de que los costes de perforación e instalación iniciales elevados tienden a desalentar la selección de las bombas de calor geotérmicas y favorecen soluciones tecnológicas menos eficientes; pide a los Estados miembros que estudien posibles incentivos financieros para superar esta brecha, incluidos los modelos de financiación basados en el principio de pago en función del ahorro; pide a la Comisión que aborde este asunto en el marco del futuro plan de acción para bombas de calor de la Unión;</w:t>
      </w:r>
    </w:p>
    <w:p w:rsidR="00B878C8" w:rsidRPr="003038A1" w:rsidRDefault="00B878C8" w:rsidP="00B878C8">
      <w:pPr>
        <w:widowControl/>
        <w:spacing w:after="240"/>
        <w:ind w:left="567" w:hanging="567"/>
      </w:pPr>
      <w:r w:rsidRPr="003038A1">
        <w:t>34.</w:t>
      </w:r>
      <w:r w:rsidRPr="003038A1">
        <w:tab/>
        <w:t>Destaca que los elevados costes iniciales están frenando el desarrollo de la energía geotérmica, en especial para los agentes con recursos financieros limitados, obligándolos a favorecer inversiones que son más rentables a corto plazo, pero que ofrecen una menor sostenibilidad medioambiental; pide a la Comisión que adopte medidas adecuadas para garantizar que los proyectos geotérmicos se tengan más en cuenta al hacer uso de los fondos e instrumentos europeos existentes; pide a la Comisión que dedique recursos de los fondos existentes para respaldar la exploración, el desarrollo y la modernización de proyectos geotérmicos, en particular los basados en tecnologías innovadoras, y para el reciclaje y el perfeccionamiento profesional de los trabajadores;</w:t>
      </w:r>
    </w:p>
    <w:p w:rsidR="00B878C8" w:rsidRPr="003038A1" w:rsidRDefault="00B878C8" w:rsidP="00B878C8">
      <w:pPr>
        <w:pStyle w:val="Normal12a24b"/>
        <w:widowControl/>
      </w:pPr>
      <w:r w:rsidRPr="003038A1">
        <w:rPr>
          <w:rStyle w:val="BoldItalic"/>
        </w:rPr>
        <w:t>Cuestiones normativas</w:t>
      </w:r>
    </w:p>
    <w:p w:rsidR="00B878C8" w:rsidRPr="003038A1" w:rsidRDefault="00B878C8" w:rsidP="00B878C8">
      <w:pPr>
        <w:widowControl/>
        <w:spacing w:after="240"/>
        <w:ind w:left="567" w:hanging="567"/>
      </w:pPr>
      <w:r w:rsidRPr="003038A1">
        <w:t>35.</w:t>
      </w:r>
      <w:r w:rsidRPr="003038A1">
        <w:tab/>
        <w:t>Destaca que unas normas de concesión de permisos para la energía geotérmica que permitan una mayor rapidez, dentro del respeto de la legislación medioambiental existente de la Unión, facilitarían el despliegue de los proyectos de energía geotérmica en toda la Unión Europea; observa que, en la actualidad, los proyectos de energía geotérmica profunda están sujetos a legislaciones concebidas para proyectos de minería a gran escala, que son difíciles de cumplir, en especial en proyectos geotérmicos a pequeña escala; pide, por tanto, a los Estados miembros que revisen la legislación minera vigente a fin de reflejar mejor el carácter específico de los proyectos geotérmicos y desarrollar normas específicas de concesión de permisos para la energía geotérmica, teniendo en cuenta al mismo tiempo que las distintas tecnologías geotérmicas tienen impactos y riesgos geológicos y medioambientales muy diferentes; pide a la Comisión que formule directrices para garantizar el nivel necesario de coherencia, similar al enfoque adoptado para el marco regulador de apoyo al almacenamiento de CO</w:t>
      </w:r>
      <w:r w:rsidRPr="003038A1">
        <w:rPr>
          <w:vertAlign w:val="subscript"/>
        </w:rPr>
        <w:t>2</w:t>
      </w:r>
      <w:r w:rsidRPr="003038A1">
        <w:t xml:space="preserve"> (Directiva 2009/31/CE</w:t>
      </w:r>
      <w:r w:rsidRPr="003038A1">
        <w:rPr>
          <w:rStyle w:val="FootnoteReference"/>
        </w:rPr>
        <w:footnoteReference w:id="26"/>
      </w:r>
      <w:r w:rsidRPr="003038A1">
        <w:t xml:space="preserve">); </w:t>
      </w:r>
    </w:p>
    <w:p w:rsidR="00B878C8" w:rsidRPr="003038A1" w:rsidRDefault="00B878C8" w:rsidP="00B878C8">
      <w:pPr>
        <w:widowControl/>
        <w:spacing w:after="240"/>
        <w:ind w:left="567" w:hanging="567"/>
      </w:pPr>
      <w:r w:rsidRPr="003038A1">
        <w:t>36.</w:t>
      </w:r>
      <w:r w:rsidRPr="003038A1">
        <w:tab/>
        <w:t xml:space="preserve">Llama la atención sobre el hecho de que en algunos Estados miembros los plazos para la evaluación de proyectos se basan en el principio de aprobación tácita en condiciones claramente definidas, salvo cuando la legislación de la Unión o nacional requiera una respuesta; pide a los Estados miembros que exploren los beneficios de aplicar este </w:t>
      </w:r>
      <w:r w:rsidRPr="003038A1">
        <w:lastRenderedPageBreak/>
        <w:t>principio a los proyectos geotérmicos y las barreras que lo impiden, y que consideren incorporarlo en su legislación;</w:t>
      </w:r>
    </w:p>
    <w:p w:rsidR="00B878C8" w:rsidRPr="003038A1" w:rsidRDefault="00B878C8" w:rsidP="00B878C8">
      <w:pPr>
        <w:widowControl/>
        <w:spacing w:after="240"/>
        <w:ind w:left="567" w:hanging="567"/>
      </w:pPr>
      <w:r w:rsidRPr="003038A1">
        <w:t>37.</w:t>
      </w:r>
      <w:r w:rsidRPr="003038A1">
        <w:tab/>
        <w:t xml:space="preserve">Manifiesta su preocupación por la lentitud de los procesos de concesión de permisos para proyectos geotérmicos; insta a los Estados miembros a que establezcan procesos de concesión de permisos ágiles y digitales más eficientes para los nuevos proyectos geotérmicos y para la ampliación de las instalaciones existentes, entre otras cosas creando una «ventanilla única» donde todavía no se haya creado, para todas las autoridades que intervienen en el proceso de concesión de permisos y a que proporcionen apoyo a las autoridades locales para garantizar que su personal está debidamente cualificado; opina que estas ventanillas únicas también deben fomentar el intercambio de información sobre las oportunidades de financiación recogidas por la Comisión a través de un portal centralizado; </w:t>
      </w:r>
    </w:p>
    <w:p w:rsidR="00B878C8" w:rsidRPr="003038A1" w:rsidRDefault="00B878C8" w:rsidP="00B878C8">
      <w:pPr>
        <w:pStyle w:val="NormalHanging12a"/>
      </w:pPr>
      <w:r w:rsidRPr="003038A1">
        <w:t>38.</w:t>
      </w:r>
      <w:r w:rsidRPr="003038A1">
        <w:tab/>
        <w:t>Señala las diferencias existentes entre la explotación geotérmica en zonas urbanas y en emplazamientos rurales; llama la atención sobre el carácter específico de los proyectos urbanos de calefacción geotérmica, y pide a los Estados miembros que elaboren procedimientos de concesión de permisos más eficientes y acelerados para los proyectos de calefacción geotérmica, incluido un acceso facilitado a parcelas urbanas adecuadas para plantas geotérmicas; pide, por tanto, a la Comisión que emita recomendaciones a los gestores de redes de distribución sobre las formas de trabajar junto con las autoridades locales en la elaboración de planes de calefacción y refrigeración centrados en la geotermia, a fin de facilitar la integración del uso de la energía geotérmica tanto en los planes de gestión urbana como en los enfoques modernos de gestión del espacio subterráneo;</w:t>
      </w:r>
    </w:p>
    <w:p w:rsidR="00B878C8" w:rsidRPr="003038A1" w:rsidRDefault="00B878C8" w:rsidP="00B878C8">
      <w:pPr>
        <w:pStyle w:val="NormalHanging12a"/>
      </w:pPr>
      <w:r w:rsidRPr="003038A1">
        <w:t>39.</w:t>
      </w:r>
      <w:r w:rsidRPr="003038A1">
        <w:tab/>
        <w:t>Señala que los promotores de proyectos deben poder ampliar con mayor facilidad los permisos para instalaciones geotérmicas para cubrir la extracción de materias primas estratégicas o la producción de hidrógeno a partir de la capacidad existente en el marco de la misma concesión;</w:t>
      </w:r>
    </w:p>
    <w:p w:rsidR="00B878C8" w:rsidRPr="003038A1" w:rsidRDefault="00B878C8" w:rsidP="00B878C8">
      <w:pPr>
        <w:widowControl/>
        <w:spacing w:after="240"/>
        <w:ind w:left="567" w:hanging="567"/>
      </w:pPr>
      <w:r w:rsidRPr="003038A1">
        <w:t>40.</w:t>
      </w:r>
      <w:r w:rsidRPr="003038A1">
        <w:tab/>
        <w:t>Pide a la Comisión que emita orientaciones para las agencias de concesión de permisos sobre las mejores prácticas de tramitación de las solicitudes de permisos para la geotermia poco profunda y sobre la interferencia potencial con fuentes de agua dulce, a fin de acelerar los procesos de concesión de permisos al tiempo que se garantiza la plena aplicación de las normas medioambientales;</w:t>
      </w:r>
    </w:p>
    <w:p w:rsidR="00B878C8" w:rsidRPr="003038A1" w:rsidRDefault="00B878C8" w:rsidP="00B878C8">
      <w:pPr>
        <w:widowControl/>
        <w:spacing w:after="240"/>
        <w:ind w:left="567" w:hanging="567"/>
      </w:pPr>
      <w:r w:rsidRPr="003038A1">
        <w:t>41.</w:t>
      </w:r>
      <w:r w:rsidRPr="003038A1">
        <w:tab/>
        <w:t>Lamenta que se lleve a cabo un análisis del ciclo de vida de la energía geotérmica y no del resto de energías renovables, ya que contradice el enfoque de neutralidad tecnológica del Reglamento de Taxonomía</w:t>
      </w:r>
      <w:r w:rsidRPr="003038A1">
        <w:rPr>
          <w:rStyle w:val="FootnoteReference"/>
        </w:rPr>
        <w:footnoteReference w:id="27"/>
      </w:r>
      <w:r w:rsidRPr="003038A1">
        <w:t>, minimiza el gran potencial de la energía geotérmica para contribuir a la descarbonización, en especial en el suministro de calor, y la expone a unas condiciones competitivas desiguales con otras fuentes de energía renovable; pide, por tanto, a la Comisión que revise la clasificación de las aplicaciones de la geotermia en las disposiciones de taxonomía a fin de situar la energía geotérmica en condiciones de igualdad reglamentaria con las energías eólica y solar;</w:t>
      </w:r>
    </w:p>
    <w:p w:rsidR="00B878C8" w:rsidRPr="003038A1" w:rsidRDefault="00B878C8" w:rsidP="00B878C8">
      <w:pPr>
        <w:widowControl/>
        <w:tabs>
          <w:tab w:val="left" w:pos="567"/>
        </w:tabs>
        <w:spacing w:after="240"/>
        <w:ind w:left="567" w:hanging="567"/>
      </w:pPr>
      <w:r w:rsidRPr="003038A1">
        <w:lastRenderedPageBreak/>
        <w:t>42.</w:t>
      </w:r>
      <w:r w:rsidRPr="003038A1">
        <w:tab/>
        <w:t>Señala que la energía geotérmica debe tener el mismo rango normativo, no solo en la legislación de la Unión en materia de contratación, sino también en el Marco Temporal de Crisis y Transición y en cualquier otra medida posterior, al existente para el resto de energías renovables;</w:t>
      </w:r>
    </w:p>
    <w:p w:rsidR="00B878C8" w:rsidRPr="003038A1" w:rsidRDefault="00B878C8" w:rsidP="00B878C8">
      <w:pPr>
        <w:pStyle w:val="Normal12a24b"/>
        <w:widowControl/>
        <w:tabs>
          <w:tab w:val="left" w:pos="567"/>
        </w:tabs>
        <w:ind w:left="567" w:hanging="567"/>
        <w:rPr>
          <w:b/>
        </w:rPr>
      </w:pPr>
      <w:r w:rsidRPr="003038A1">
        <w:rPr>
          <w:b/>
          <w:i/>
        </w:rPr>
        <w:t>Mano de obra, formación y capacidades</w:t>
      </w:r>
    </w:p>
    <w:p w:rsidR="00B878C8" w:rsidRPr="003038A1" w:rsidRDefault="00B878C8" w:rsidP="00B878C8">
      <w:pPr>
        <w:widowControl/>
        <w:spacing w:after="240"/>
        <w:ind w:left="567" w:hanging="567"/>
      </w:pPr>
      <w:r w:rsidRPr="003038A1">
        <w:t>43.</w:t>
      </w:r>
      <w:r w:rsidRPr="003038A1">
        <w:tab/>
        <w:t>Expresa su preocupación por los retrasos constatados en la instalación de bombas de calor geotérmicas, la perforación de pozos y la concesión de los permisos necesarios debido a la escasez de personal cualificado; resalta que la necesidad de mano de obra cualificada se incrementará aún más en el futuro e insta a los Estados miembros a que, en colaboración con el sector y, cuando proceda, con los sindicatos, refuercen las medidas de capacitación y perfeccionamiento de especialistas en geotermia, ya que disponer de mano de obra suficiente será crítico para alcanzar los objetivos de despliegue de la energía geotérmica;</w:t>
      </w:r>
    </w:p>
    <w:p w:rsidR="00B878C8" w:rsidRPr="003038A1" w:rsidRDefault="00B878C8" w:rsidP="00B878C8">
      <w:pPr>
        <w:pStyle w:val="NormalHanging12a"/>
      </w:pPr>
      <w:r w:rsidRPr="003038A1">
        <w:t>44.</w:t>
      </w:r>
      <w:r w:rsidRPr="003038A1">
        <w:tab/>
        <w:t>Pide a los Estados miembros que velen por que los sistemas de certificación o sistemas de cualificación equivalentes estén disponibles, en particular para los instaladores de sistemas geotérmicos superficiales y bombas de calor a pequeña escala;</w:t>
      </w:r>
    </w:p>
    <w:p w:rsidR="00B878C8" w:rsidRPr="003038A1" w:rsidRDefault="00B878C8" w:rsidP="00B878C8">
      <w:pPr>
        <w:pStyle w:val="NormalHanging12a"/>
      </w:pPr>
      <w:r w:rsidRPr="003038A1">
        <w:t>45.</w:t>
      </w:r>
      <w:r w:rsidRPr="003038A1">
        <w:tab/>
        <w:t xml:space="preserve">Observa que solo un número limitado de cursos universitarios se ocupan de la energía geotérmica y que son cortos y voluntarios, y que la mayoría de las clases únicamente abordan capacidades básicas; anima, por tanto, a los Estados miembros a que cooperen con los centros educativos con el objetivo de actualizar y reforzar los grados que se ocupan de la energía geotérmica para formar adecuadamente a las futuras generaciones de trabajadores en el sector; acoge con satisfacción los proyectos apoyados por Erasmus+ para colmar la falta de titulados jóvenes cualificados en la cadena de valor de la energía geotérmica, como el programa Geo3En, que se propone sentar las bases para un futuro grado de máster de Erasmus </w:t>
      </w:r>
      <w:proofErr w:type="spellStart"/>
      <w:r w:rsidRPr="003038A1">
        <w:t>Mundus</w:t>
      </w:r>
      <w:proofErr w:type="spellEnd"/>
      <w:r w:rsidRPr="003038A1">
        <w:t xml:space="preserve"> en ingeniería geotérmica; resalta que el sector de la geotermia necesita sensibilizar a los estudiantes y profesores sobre el sector geotérmico y las oportunidades profesionales que ofrece;</w:t>
      </w:r>
    </w:p>
    <w:p w:rsidR="00B878C8" w:rsidRPr="003038A1" w:rsidRDefault="00B878C8" w:rsidP="00B878C8">
      <w:pPr>
        <w:widowControl/>
        <w:spacing w:after="240"/>
        <w:ind w:left="567" w:hanging="567"/>
        <w:rPr>
          <w:b/>
          <w:i/>
        </w:rPr>
      </w:pPr>
      <w:r w:rsidRPr="003038A1">
        <w:rPr>
          <w:b/>
          <w:i/>
        </w:rPr>
        <w:t>Desarrollo tecnológico</w:t>
      </w:r>
    </w:p>
    <w:p w:rsidR="00B878C8" w:rsidRPr="003038A1" w:rsidRDefault="00B878C8" w:rsidP="00B878C8">
      <w:pPr>
        <w:widowControl/>
        <w:spacing w:after="240"/>
        <w:ind w:left="567" w:hanging="567"/>
      </w:pPr>
      <w:r w:rsidRPr="003038A1">
        <w:t>46.</w:t>
      </w:r>
      <w:r w:rsidRPr="003038A1">
        <w:tab/>
        <w:t>Destaca que, si bien la Unión es líder en investigación, desarrollo, patentes de alto valor, publicaciones y fabricación en el ámbito de la energía geotérmica, se requieren medidas de apoyo a las tecnologías geotérmicas de próxima generación a escala europea y nacional para mantener esta posición, en particular en materia de almacenamiento geotérmico y aplicaciones industriales;</w:t>
      </w:r>
    </w:p>
    <w:p w:rsidR="00B878C8" w:rsidRPr="003038A1" w:rsidRDefault="00B878C8" w:rsidP="00B878C8">
      <w:pPr>
        <w:widowControl/>
        <w:spacing w:after="240"/>
        <w:ind w:left="567" w:hanging="567"/>
      </w:pPr>
      <w:r w:rsidRPr="003038A1">
        <w:t>47.</w:t>
      </w:r>
      <w:r w:rsidRPr="003038A1">
        <w:tab/>
        <w:t>Señala que la investigación y desarrollo (I+D) en materia de energía geotérmica ha estado por completo infrafinanciada con respecto a otros sectores, y que hasta ahora solo dos proyectos sobre energía geotérmica han sido financiados por el Fondo de Innovación; pide, por tanto, a la Comisión que apoye las inversiones en I+D en materia de tecnologías geotérmicas, como el desarrollo de tecnologías fiables de bombeo y nuevas técnicas de perforación;</w:t>
      </w:r>
    </w:p>
    <w:p w:rsidR="00B878C8" w:rsidRPr="003038A1" w:rsidRDefault="00B878C8" w:rsidP="00B878C8">
      <w:pPr>
        <w:widowControl/>
        <w:spacing w:after="240"/>
        <w:ind w:left="567" w:hanging="567"/>
      </w:pPr>
      <w:r w:rsidRPr="003038A1">
        <w:t>48.</w:t>
      </w:r>
      <w:r w:rsidRPr="003038A1">
        <w:tab/>
        <w:t xml:space="preserve">Subraya, en particular, la importancia de los proyectos de almacenamiento térmico e hidroeléctrico subterráneo por bombeo; pide a la Comisión y a los Estados miembros que apoyen la investigación y el desarrollo de estas soluciones y que creen plantas piloto a gran escala; pide que se dé un apoyo más amplio a dichos proyectos, en especial </w:t>
      </w:r>
      <w:r w:rsidRPr="003038A1">
        <w:lastRenderedPageBreak/>
        <w:t>los desarrollados a partir de minas y canteras clausuradas convertibles en depósitos de agua, en las convocatorias del Fondo de Innovación de la Unión y de Horizonte Europa, ya que esta solución puede ser una pieza crucial para el desarrollo de sistemas eléctricos descarbonizados;</w:t>
      </w:r>
    </w:p>
    <w:p w:rsidR="00B878C8" w:rsidRPr="003038A1" w:rsidRDefault="00B878C8" w:rsidP="00B878C8">
      <w:pPr>
        <w:pStyle w:val="NormalHanging12a"/>
      </w:pPr>
      <w:r w:rsidRPr="003038A1">
        <w:t>49.</w:t>
      </w:r>
      <w:r w:rsidRPr="003038A1">
        <w:tab/>
        <w:t>Pone de relieve que algunos Estados miembros han expresado su preocupación por la falta de conformidad de algunas bombas de calor importadas con su nivel declarado de eficiencia energética; subraya que, en el marco de la revisión de las normas sobre etiquetado energético y diseño ecológico, debe considerarse la evaluación de conformidad realizada por terceros (en lugar de la autodeclaración);</w:t>
      </w:r>
    </w:p>
    <w:p w:rsidR="00B878C8" w:rsidRPr="003038A1" w:rsidRDefault="00B878C8" w:rsidP="00B878C8">
      <w:pPr>
        <w:pStyle w:val="Normal12a24b"/>
        <w:widowControl/>
      </w:pPr>
      <w:r w:rsidRPr="003038A1">
        <w:rPr>
          <w:rStyle w:val="BoldItalic"/>
        </w:rPr>
        <w:t>Territorios en transición</w:t>
      </w:r>
    </w:p>
    <w:p w:rsidR="00B878C8" w:rsidRPr="003038A1" w:rsidRDefault="00B878C8" w:rsidP="00B878C8">
      <w:pPr>
        <w:widowControl/>
        <w:spacing w:after="240"/>
        <w:ind w:left="567" w:hanging="567"/>
      </w:pPr>
      <w:r w:rsidRPr="003038A1">
        <w:t>50.</w:t>
      </w:r>
      <w:r w:rsidRPr="003038A1">
        <w:tab/>
        <w:t>Destaca que la explotación del potencial de la energía geotérmica, en particular para la calefacción urbana, es uno de los recursos naturales que pueden contribuir a una transición energética justa en las áreas afectadas compensando las pérdidas de puestos de trabajo, debido al cierre progresivo de las minas y otras instalaciones de extracción, erradicando la pobreza energética y reforzando el autoconsumo de las comunidades locales y sus administraciones al reducir su dependencia de las importaciones de energía;</w:t>
      </w:r>
    </w:p>
    <w:p w:rsidR="00B878C8" w:rsidRPr="003038A1" w:rsidRDefault="00B878C8" w:rsidP="00B878C8">
      <w:pPr>
        <w:pStyle w:val="NormalHanging12a"/>
      </w:pPr>
      <w:r w:rsidRPr="003038A1">
        <w:t>51.</w:t>
      </w:r>
      <w:r w:rsidRPr="003038A1">
        <w:tab/>
        <w:t>Lamenta que no se aproveche plenamente el potencial de la readaptación de yacimientos de hidrocarburos agotados, abandonados o al final de su vida útil para las aplicaciones geotérmicas, así como de pozos de petróleo y gas;</w:t>
      </w:r>
    </w:p>
    <w:p w:rsidR="00B878C8" w:rsidRPr="003038A1" w:rsidRDefault="00B878C8" w:rsidP="00B878C8">
      <w:pPr>
        <w:widowControl/>
        <w:spacing w:after="240"/>
        <w:ind w:left="567" w:hanging="567"/>
      </w:pPr>
      <w:r w:rsidRPr="003038A1">
        <w:t>52.</w:t>
      </w:r>
      <w:r w:rsidRPr="003038A1">
        <w:tab/>
        <w:t>Llama la atención sobre los proyectos existentes de reorientación de minas clausuradas, en las que la tecnología de almacenamiento de energía térmica aplicada es capaz de generar calefacción o refrigeración; toma nota del desarrollo de proyectos que prevén utilizar yacimientos de petróleo para el almacenamiento de energía geotérmica; toma nota asimismo de los proyectos en curso para reorientar los pozos de petróleo y gas clausurados para aplicaciones geotérmicas, reduciendo así en gran medida los riesgos de exploración y los costes de perforación;</w:t>
      </w:r>
    </w:p>
    <w:p w:rsidR="00B878C8" w:rsidRPr="003038A1" w:rsidRDefault="00B878C8" w:rsidP="00B878C8">
      <w:pPr>
        <w:widowControl/>
        <w:spacing w:after="240"/>
        <w:ind w:left="567" w:hanging="567"/>
      </w:pPr>
      <w:r w:rsidRPr="003038A1">
        <w:t>53.</w:t>
      </w:r>
      <w:r w:rsidRPr="003038A1">
        <w:tab/>
        <w:t>Señala que muchos de estos proyectos son ejecutados por la industria de los combustibles fósiles, que los considera una oportunidad para formar parte de la transición energética, y que es necesaria una participación temprana aún mayor de esta industria en la exploración del potencial de la energía geotérmica; subraya que la evaluación temprana de los recursos, mientras las minas sigan siendo accesibles, garantiza un desarrollo más eficiente de su uso alternativo; observa que debe tenerse debidamente en cuenta el régimen de responsabilidad aplicable;</w:t>
      </w:r>
    </w:p>
    <w:p w:rsidR="00B878C8" w:rsidRPr="003038A1" w:rsidRDefault="00B878C8" w:rsidP="00B878C8">
      <w:pPr>
        <w:pStyle w:val="NormalHanging12a"/>
      </w:pPr>
      <w:r w:rsidRPr="003038A1">
        <w:t>54.</w:t>
      </w:r>
      <w:r w:rsidRPr="003038A1">
        <w:tab/>
        <w:t>Pide a los Estados miembros que utilicen las oportunidades de financiación europea existentes para contribuir al reciclaje profesional de los trabajadores en las zonas de transición, con el fin de aprovechar los puestos de trabajo derivados de proyectos geotérmicos; señala que las capacidades de los trabajadores de la industria del petróleo y del gas pueden aplicarse al sector geotérmico y ser enormemente valiosas para este; destaca, por tanto, la necesidad de atraer a trabajadores al sector geotérmico y apoyarlos, entre otras cosas creando incentivos y programas de formación;</w:t>
      </w:r>
    </w:p>
    <w:p w:rsidR="00B878C8" w:rsidRPr="003038A1" w:rsidRDefault="00B878C8" w:rsidP="00B878C8">
      <w:pPr>
        <w:widowControl/>
        <w:spacing w:after="240"/>
        <w:ind w:left="567" w:hanging="567"/>
      </w:pPr>
      <w:r w:rsidRPr="003038A1">
        <w:t xml:space="preserve">55. </w:t>
      </w:r>
      <w:r w:rsidRPr="003038A1">
        <w:tab/>
        <w:t xml:space="preserve">Llama la atención sobre la necesidad concreta de las regiones ultraperiféricas de desarrollar fuentes de energía renovable acordes con sus características geográficas, </w:t>
      </w:r>
      <w:r w:rsidRPr="003038A1">
        <w:lastRenderedPageBreak/>
        <w:t>geológicas y meteorológicas; señala que, debido a su remota ubicación geográfica, estas regiones no están conectadas a las redes de energía europeas; observa que una gran proporción de regiones ultraperiféricas son territorios volcánicos, que presentan un gran potencial para la producción de energía geotérmica superficial y profunda; destaca el papel esencial que puede desempeñar la energía geotérmica en estas regiones para garantizar su autonomía energética;</w:t>
      </w:r>
    </w:p>
    <w:p w:rsidR="00B878C8" w:rsidRPr="003038A1" w:rsidRDefault="00B878C8" w:rsidP="00B878C8">
      <w:pPr>
        <w:widowControl/>
        <w:spacing w:before="360" w:after="240"/>
        <w:rPr>
          <w:b/>
          <w:i/>
        </w:rPr>
      </w:pPr>
      <w:r w:rsidRPr="003038A1">
        <w:rPr>
          <w:b/>
          <w:i/>
        </w:rPr>
        <w:t>Visibilidad y aceptación pública</w:t>
      </w:r>
    </w:p>
    <w:p w:rsidR="00B878C8" w:rsidRPr="003038A1" w:rsidRDefault="00B878C8" w:rsidP="00B878C8">
      <w:pPr>
        <w:widowControl/>
        <w:spacing w:after="240"/>
        <w:ind w:left="567" w:hanging="567"/>
      </w:pPr>
      <w:r w:rsidRPr="003038A1">
        <w:t>56.</w:t>
      </w:r>
      <w:r w:rsidRPr="003038A1">
        <w:tab/>
        <w:t>Pone de relieve que cartografiar en línea las instalaciones geotérmicas existentes en una ciudad o región determinada es una buena práctica que puede aumentar la visibilidad de las soluciones geotérmicas y contribuir a la toma de decisiones de inversión pública y privada;</w:t>
      </w:r>
    </w:p>
    <w:p w:rsidR="00B878C8" w:rsidRPr="003038A1" w:rsidRDefault="00B878C8" w:rsidP="00B878C8">
      <w:pPr>
        <w:pStyle w:val="NormalHanging12a"/>
      </w:pPr>
      <w:r w:rsidRPr="003038A1">
        <w:t>57.</w:t>
      </w:r>
      <w:r w:rsidRPr="003038A1">
        <w:tab/>
        <w:t>Señala que la aceptación pública sigue siendo un reto para los proyectos geotérmicos, en particular por inquietudes medioambientales como la posible interferencia con las aguas subterráneas, las emisiones de gases no condensables, la sobreexplotación de los recursos hídricos y la actividad sísmica; recuerda la importancia de mantener unas normas elevadas en materia de medio ambiente y ciencia en todas las fases de los proyectos de energía geotérmica y de adoptar un enfoque sostenible de evaluación del ciclo de la vida; destaca que el cumplimiento estricto de dichos requisitos, la transparencia de las inversiones, la participación aún mayor de las partes interesadas y la implicación de las comunidades locales en las fases de planificación y ejecución pueden ser una forma eficaz de abordar las preocupaciones del público y superar la desconfianza; pide a la Comisión que, en colaboración con el sector de la geotermia y los Estados miembros, elabore directrices y mejores prácticas para la cooperación entre promotores de proyectos y comunidades y autoridades locales con el objetivo de generar confianza, fomentar medidas de apoyo y establecer relaciones mutuamente beneficiosas;</w:t>
      </w:r>
    </w:p>
    <w:p w:rsidR="00B878C8" w:rsidRPr="003038A1" w:rsidRDefault="00B878C8" w:rsidP="00B878C8">
      <w:pPr>
        <w:widowControl/>
        <w:spacing w:after="240"/>
        <w:ind w:left="567" w:hanging="567"/>
        <w:rPr>
          <w:b/>
          <w:i/>
        </w:rPr>
      </w:pPr>
      <w:r w:rsidRPr="003038A1">
        <w:rPr>
          <w:b/>
          <w:i/>
        </w:rPr>
        <w:t>Cooperación internacional</w:t>
      </w:r>
    </w:p>
    <w:p w:rsidR="00B878C8" w:rsidRPr="003038A1" w:rsidRDefault="00B878C8" w:rsidP="00B878C8">
      <w:pPr>
        <w:widowControl/>
        <w:spacing w:after="240"/>
        <w:ind w:left="567" w:hanging="567"/>
      </w:pPr>
      <w:r w:rsidRPr="003038A1">
        <w:t>58.</w:t>
      </w:r>
      <w:r w:rsidRPr="003038A1">
        <w:tab/>
        <w:t>Destaca que es necesario intercambiar buenas prácticas, conocimientos tecnológicos, conclusiones en materia de investigación e innovación sobre tecnologías geotérmicas con organizaciones y países socios que ya han desarrollado a mayor escala la geotermia profunda y superficial o están en proceso de ejecutar planes ambiciosos para facilitar un crecimiento acelerado del sector de la energía geotérmica;</w:t>
      </w:r>
    </w:p>
    <w:p w:rsidR="00B878C8" w:rsidRPr="003038A1" w:rsidRDefault="00B878C8" w:rsidP="00B878C8">
      <w:pPr>
        <w:widowControl/>
        <w:spacing w:after="240"/>
        <w:ind w:left="567" w:hanging="567"/>
      </w:pPr>
      <w:r w:rsidRPr="003038A1">
        <w:t>59.</w:t>
      </w:r>
      <w:r w:rsidRPr="003038A1">
        <w:tab/>
        <w:t>Destaca la importancia de incluir la energía geotérmica en la agenda de cooperación con países en desarrollo con vistas al traslado de tecnologías ambientalmente correctas, al intercambio de conocimientos y al desarrollo de capacidades para responder a la creciente demanda de energía;</w:t>
      </w:r>
    </w:p>
    <w:p w:rsidR="00B878C8" w:rsidRPr="003038A1" w:rsidRDefault="00B878C8" w:rsidP="00B878C8">
      <w:pPr>
        <w:pStyle w:val="NormalCenter12a"/>
        <w:widowControl/>
      </w:pPr>
      <w:r w:rsidRPr="003038A1">
        <w:t>°</w:t>
      </w:r>
    </w:p>
    <w:p w:rsidR="00B878C8" w:rsidRPr="003038A1" w:rsidRDefault="00B878C8" w:rsidP="00B878C8">
      <w:pPr>
        <w:pStyle w:val="NormalCenter12a"/>
        <w:widowControl/>
      </w:pPr>
      <w:r w:rsidRPr="003038A1">
        <w:t>°</w:t>
      </w:r>
      <w:r w:rsidRPr="003038A1">
        <w:tab/>
        <w:t>°</w:t>
      </w:r>
    </w:p>
    <w:p w:rsidR="00E365E1" w:rsidRPr="003038A1" w:rsidRDefault="00B878C8" w:rsidP="00234D7F">
      <w:pPr>
        <w:pStyle w:val="NormalHanging12a"/>
      </w:pPr>
      <w:r w:rsidRPr="003038A1">
        <w:t>60.</w:t>
      </w:r>
      <w:r w:rsidRPr="003038A1">
        <w:tab/>
        <w:t>Encarga a su presidenta que transmita la presente Resolución al Consejo y a la Comisión.</w:t>
      </w:r>
      <w:bookmarkStart w:id="9" w:name="TextBodyEnd"/>
      <w:bookmarkEnd w:id="9"/>
    </w:p>
    <w:sectPr w:rsidR="00E365E1" w:rsidRPr="003038A1" w:rsidSect="00BC49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ED0" w:rsidRPr="00BC499D" w:rsidRDefault="001F5ED0">
      <w:r w:rsidRPr="00BC499D">
        <w:separator/>
      </w:r>
    </w:p>
  </w:endnote>
  <w:endnote w:type="continuationSeparator" w:id="0">
    <w:p w:rsidR="001F5ED0" w:rsidRPr="00BC499D" w:rsidRDefault="001F5ED0">
      <w:r w:rsidRPr="00BC4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9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9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ED0" w:rsidRPr="00BC499D" w:rsidRDefault="001F5ED0">
      <w:r w:rsidRPr="00BC499D">
        <w:separator/>
      </w:r>
    </w:p>
  </w:footnote>
  <w:footnote w:type="continuationSeparator" w:id="0">
    <w:p w:rsidR="001F5ED0" w:rsidRPr="00BC499D" w:rsidRDefault="001F5ED0">
      <w:r w:rsidRPr="00BC499D">
        <w:continuationSeparator/>
      </w:r>
    </w:p>
  </w:footnote>
  <w:footnote w:id="1">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L 243 de 9.7.2021, p. 1</w:t>
      </w:r>
      <w:r w:rsidRPr="003038A1">
        <w:rPr>
          <w:sz w:val="24"/>
          <w:lang w:val="pt-PT"/>
        </w:rPr>
        <w:t>.</w:t>
      </w:r>
    </w:p>
  </w:footnote>
  <w:footnote w:id="2">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L 2023/2413 de 31.10.2023</w:t>
      </w:r>
      <w:r w:rsidRPr="003038A1">
        <w:rPr>
          <w:sz w:val="24"/>
          <w:lang w:val="pt-PT"/>
        </w:rPr>
        <w:t>.</w:t>
      </w:r>
    </w:p>
  </w:footnote>
  <w:footnote w:id="3">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Textos Aprobados, P9_</w:t>
      </w:r>
      <w:proofErr w:type="gramStart"/>
      <w:r w:rsidRPr="00BC499D">
        <w:rPr>
          <w:sz w:val="24"/>
          <w:lang w:val="es-ES_tradnl"/>
        </w:rPr>
        <w:t>TA(</w:t>
      </w:r>
      <w:proofErr w:type="gramEnd"/>
      <w:r w:rsidRPr="00BC499D">
        <w:rPr>
          <w:sz w:val="24"/>
          <w:lang w:val="es-ES_tradnl"/>
        </w:rPr>
        <w:t>2023)0068.</w:t>
      </w:r>
    </w:p>
  </w:footnote>
  <w:footnote w:id="4">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Textos Aprobados, P9_</w:t>
      </w:r>
      <w:proofErr w:type="gramStart"/>
      <w:r w:rsidRPr="00BC499D">
        <w:rPr>
          <w:sz w:val="24"/>
          <w:lang w:val="es-ES_tradnl"/>
        </w:rPr>
        <w:t>TA(</w:t>
      </w:r>
      <w:proofErr w:type="gramEnd"/>
      <w:r w:rsidRPr="00BC499D">
        <w:rPr>
          <w:sz w:val="24"/>
          <w:lang w:val="es-ES_tradnl"/>
        </w:rPr>
        <w:t>2023)0325.</w:t>
      </w:r>
    </w:p>
  </w:footnote>
  <w:footnote w:id="5">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Textos Aprobados, P9_</w:t>
      </w:r>
      <w:proofErr w:type="gramStart"/>
      <w:r w:rsidRPr="00BC499D">
        <w:rPr>
          <w:sz w:val="24"/>
          <w:lang w:val="es-ES_tradnl"/>
        </w:rPr>
        <w:t>TA(</w:t>
      </w:r>
      <w:proofErr w:type="gramEnd"/>
      <w:r w:rsidRPr="00BC499D">
        <w:rPr>
          <w:sz w:val="24"/>
          <w:lang w:val="es-ES_tradnl"/>
        </w:rPr>
        <w:t>2023)0401.</w:t>
      </w:r>
    </w:p>
  </w:footnote>
  <w:footnote w:id="6">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Textos Aprobados, P9_</w:t>
      </w:r>
      <w:proofErr w:type="gramStart"/>
      <w:r w:rsidRPr="00BC499D">
        <w:rPr>
          <w:sz w:val="24"/>
          <w:lang w:val="es-ES_tradnl"/>
        </w:rPr>
        <w:t>TA(</w:t>
      </w:r>
      <w:proofErr w:type="gramEnd"/>
      <w:r w:rsidRPr="00BC499D">
        <w:rPr>
          <w:sz w:val="24"/>
          <w:lang w:val="es-ES_tradnl"/>
        </w:rPr>
        <w:t>2022)0441.</w:t>
      </w:r>
    </w:p>
  </w:footnote>
  <w:footnote w:id="7">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Reglamento (UE) 2019/2088 del Parlamento Europeo y del Consejo, de 27 de noviembre de 2019, sobre la divulgación de información relativa a la sostenibilidad en el sector de los servicios financieros (</w:t>
      </w:r>
      <w:r w:rsidR="00234D7F" w:rsidRPr="003038A1">
        <w:rPr>
          <w:lang w:val="es-ES"/>
        </w:rPr>
        <w:t>DO L 317 de 9.12.2019, p. 1</w:t>
      </w:r>
      <w:r w:rsidRPr="00BC499D">
        <w:rPr>
          <w:sz w:val="24"/>
          <w:lang w:val="es-ES_tradnl"/>
        </w:rPr>
        <w:t>).</w:t>
      </w:r>
    </w:p>
  </w:footnote>
  <w:footnote w:id="8">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L 442 de 9.12.2021, p. 1</w:t>
      </w:r>
      <w:r w:rsidRPr="003038A1">
        <w:rPr>
          <w:sz w:val="24"/>
          <w:lang w:val="pt-PT"/>
        </w:rPr>
        <w:t>.</w:t>
      </w:r>
    </w:p>
  </w:footnote>
  <w:footnote w:id="9">
    <w:p w:rsidR="00B878C8" w:rsidRPr="003038A1" w:rsidRDefault="00B878C8" w:rsidP="00BC499D">
      <w:pPr>
        <w:pStyle w:val="FootnoteText"/>
        <w:ind w:left="567" w:hanging="567"/>
        <w:rPr>
          <w:snapToGrid w:val="0"/>
          <w:sz w:val="24"/>
          <w:lang w:val="pt-PT" w:eastAsia="en-US"/>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snapToGrid w:val="0"/>
          <w:sz w:val="24"/>
          <w:lang w:val="pt-PT" w:eastAsia="en-US"/>
        </w:rPr>
        <w:t>DO L 239 de 6.9.2013, p. 136</w:t>
      </w:r>
      <w:r w:rsidRPr="003038A1">
        <w:rPr>
          <w:snapToGrid w:val="0"/>
          <w:sz w:val="24"/>
          <w:lang w:val="pt-PT" w:eastAsia="en-US"/>
        </w:rPr>
        <w:t>.</w:t>
      </w:r>
    </w:p>
  </w:footnote>
  <w:footnote w:id="10">
    <w:p w:rsidR="00B878C8" w:rsidRPr="003038A1" w:rsidRDefault="00B878C8" w:rsidP="00BC499D">
      <w:pPr>
        <w:pStyle w:val="FootnoteText"/>
        <w:ind w:left="567" w:hanging="567"/>
        <w:rPr>
          <w:snapToGrid w:val="0"/>
          <w:sz w:val="24"/>
          <w:lang w:val="pt-PT" w:eastAsia="en-US"/>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snapToGrid w:val="0"/>
          <w:sz w:val="24"/>
          <w:lang w:val="pt-PT" w:eastAsia="en-US"/>
        </w:rPr>
        <w:t>DO L 124 de 25.4.2014, p. 1</w:t>
      </w:r>
      <w:r w:rsidRPr="003038A1">
        <w:rPr>
          <w:snapToGrid w:val="0"/>
          <w:sz w:val="24"/>
          <w:lang w:val="pt-PT" w:eastAsia="en-US"/>
        </w:rPr>
        <w:t>.</w:t>
      </w:r>
    </w:p>
  </w:footnote>
  <w:footnote w:id="11">
    <w:p w:rsidR="00B878C8" w:rsidRPr="003038A1" w:rsidRDefault="00B878C8" w:rsidP="00BC499D">
      <w:pPr>
        <w:pStyle w:val="FootnoteText"/>
        <w:ind w:left="567" w:hanging="567"/>
        <w:rPr>
          <w:snapToGrid w:val="0"/>
          <w:sz w:val="24"/>
          <w:lang w:val="pt-PT" w:eastAsia="en-US"/>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snapToGrid w:val="0"/>
          <w:sz w:val="24"/>
          <w:lang w:val="pt-PT" w:eastAsia="en-US"/>
        </w:rPr>
        <w:t>DO L 19 de 20.1.2023, p. 43</w:t>
      </w:r>
      <w:r w:rsidRPr="003038A1">
        <w:rPr>
          <w:snapToGrid w:val="0"/>
          <w:sz w:val="24"/>
          <w:lang w:val="pt-PT" w:eastAsia="en-US"/>
        </w:rPr>
        <w:t>.</w:t>
      </w:r>
    </w:p>
  </w:footnote>
  <w:footnote w:id="12">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ISBN: 978-92-9260-495-0.</w:t>
      </w:r>
    </w:p>
  </w:footnote>
  <w:footnote w:id="13">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proofErr w:type="spellStart"/>
      <w:r w:rsidRPr="00BC499D">
        <w:rPr>
          <w:sz w:val="24"/>
          <w:lang w:val="es-ES_tradnl"/>
        </w:rPr>
        <w:t>Bruhn</w:t>
      </w:r>
      <w:proofErr w:type="spellEnd"/>
      <w:r w:rsidRPr="00BC499D">
        <w:rPr>
          <w:sz w:val="24"/>
          <w:lang w:val="es-ES_tradnl"/>
        </w:rPr>
        <w:t>, D. y otros, Observatorio de las Tecnologías Energéticas Limpias:</w:t>
      </w:r>
      <w:r w:rsidRPr="00BC499D">
        <w:rPr>
          <w:i/>
          <w:sz w:val="24"/>
          <w:lang w:val="es-ES_tradnl"/>
        </w:rPr>
        <w:t xml:space="preserve"> </w:t>
      </w:r>
      <w:r w:rsidRPr="00BC499D">
        <w:rPr>
          <w:sz w:val="24"/>
          <w:lang w:val="es-ES_tradnl"/>
        </w:rPr>
        <w:t xml:space="preserve">«Deep </w:t>
      </w:r>
      <w:proofErr w:type="spellStart"/>
      <w:r w:rsidRPr="00BC499D">
        <w:rPr>
          <w:sz w:val="24"/>
          <w:lang w:val="es-ES_tradnl"/>
        </w:rPr>
        <w:t>Geothermal</w:t>
      </w:r>
      <w:proofErr w:type="spellEnd"/>
      <w:r w:rsidRPr="00BC499D">
        <w:rPr>
          <w:sz w:val="24"/>
          <w:lang w:val="es-ES_tradnl"/>
        </w:rPr>
        <w:t xml:space="preserve"> </w:t>
      </w:r>
      <w:proofErr w:type="spellStart"/>
      <w:r w:rsidRPr="00BC499D">
        <w:rPr>
          <w:sz w:val="24"/>
          <w:lang w:val="es-ES_tradnl"/>
        </w:rPr>
        <w:t>Heat</w:t>
      </w:r>
      <w:proofErr w:type="spellEnd"/>
      <w:r w:rsidRPr="00BC499D">
        <w:rPr>
          <w:sz w:val="24"/>
          <w:lang w:val="es-ES_tradnl"/>
        </w:rPr>
        <w:t xml:space="preserve"> and </w:t>
      </w:r>
      <w:proofErr w:type="spellStart"/>
      <w:r w:rsidRPr="00BC499D">
        <w:rPr>
          <w:sz w:val="24"/>
          <w:lang w:val="es-ES_tradnl"/>
        </w:rPr>
        <w:t>Power</w:t>
      </w:r>
      <w:proofErr w:type="spellEnd"/>
      <w:r w:rsidRPr="00BC499D">
        <w:rPr>
          <w:sz w:val="24"/>
          <w:lang w:val="es-ES_tradnl"/>
        </w:rPr>
        <w:t xml:space="preserve"> in the European </w:t>
      </w:r>
      <w:proofErr w:type="spellStart"/>
      <w:r w:rsidRPr="00BC499D">
        <w:rPr>
          <w:sz w:val="24"/>
          <w:lang w:val="es-ES_tradnl"/>
        </w:rPr>
        <w:t>Union</w:t>
      </w:r>
      <w:proofErr w:type="spellEnd"/>
      <w:r w:rsidRPr="00BC499D">
        <w:rPr>
          <w:sz w:val="24"/>
          <w:lang w:val="es-ES_tradnl"/>
        </w:rPr>
        <w:t xml:space="preserve"> – 2022 Status Report on </w:t>
      </w:r>
      <w:proofErr w:type="spellStart"/>
      <w:r w:rsidRPr="00BC499D">
        <w:rPr>
          <w:sz w:val="24"/>
          <w:lang w:val="es-ES_tradnl"/>
        </w:rPr>
        <w:t>Technology</w:t>
      </w:r>
      <w:proofErr w:type="spellEnd"/>
      <w:r w:rsidRPr="00BC499D">
        <w:rPr>
          <w:sz w:val="24"/>
          <w:lang w:val="es-ES_tradnl"/>
        </w:rPr>
        <w:t xml:space="preserve"> </w:t>
      </w:r>
      <w:proofErr w:type="spellStart"/>
      <w:r w:rsidRPr="00BC499D">
        <w:rPr>
          <w:sz w:val="24"/>
          <w:lang w:val="es-ES_tradnl"/>
        </w:rPr>
        <w:t>Development</w:t>
      </w:r>
      <w:proofErr w:type="spellEnd"/>
      <w:r w:rsidRPr="00BC499D">
        <w:rPr>
          <w:sz w:val="24"/>
          <w:lang w:val="es-ES_tradnl"/>
        </w:rPr>
        <w:t xml:space="preserve">, Trends, </w:t>
      </w:r>
      <w:proofErr w:type="spellStart"/>
      <w:r w:rsidRPr="00BC499D">
        <w:rPr>
          <w:sz w:val="24"/>
          <w:lang w:val="es-ES_tradnl"/>
        </w:rPr>
        <w:t>Value</w:t>
      </w:r>
      <w:proofErr w:type="spellEnd"/>
      <w:r w:rsidRPr="00BC499D">
        <w:rPr>
          <w:sz w:val="24"/>
          <w:lang w:val="es-ES_tradnl"/>
        </w:rPr>
        <w:t xml:space="preserve"> </w:t>
      </w:r>
      <w:proofErr w:type="spellStart"/>
      <w:r w:rsidRPr="00BC499D">
        <w:rPr>
          <w:sz w:val="24"/>
          <w:lang w:val="es-ES_tradnl"/>
        </w:rPr>
        <w:t>Chains</w:t>
      </w:r>
      <w:proofErr w:type="spellEnd"/>
      <w:r w:rsidRPr="00BC499D">
        <w:rPr>
          <w:sz w:val="24"/>
          <w:lang w:val="es-ES_tradnl"/>
        </w:rPr>
        <w:t xml:space="preserve"> and </w:t>
      </w:r>
      <w:proofErr w:type="spellStart"/>
      <w:r w:rsidRPr="00BC499D">
        <w:rPr>
          <w:sz w:val="24"/>
          <w:lang w:val="es-ES_tradnl"/>
        </w:rPr>
        <w:t>Markets</w:t>
      </w:r>
      <w:proofErr w:type="spellEnd"/>
      <w:r w:rsidRPr="00BC499D">
        <w:rPr>
          <w:sz w:val="24"/>
          <w:lang w:val="es-ES_tradnl"/>
        </w:rPr>
        <w:t>» (Calor y electricidad de la energía geotérmica profunda en la Unión Europea – Informe de situación de 2022 sobre el desarrollo tecnológico, las tendencias, las cadenas de valor y los mercados), Oficina de Publicaciones de la Unión Europea, Luxemburgo, 2022.</w:t>
      </w:r>
    </w:p>
  </w:footnote>
  <w:footnote w:id="14">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proofErr w:type="spellStart"/>
      <w:r w:rsidRPr="00BC499D">
        <w:rPr>
          <w:sz w:val="24"/>
          <w:lang w:val="es-ES_tradnl"/>
        </w:rPr>
        <w:t>Georgakaki</w:t>
      </w:r>
      <w:proofErr w:type="spellEnd"/>
      <w:r w:rsidRPr="00BC499D">
        <w:rPr>
          <w:sz w:val="24"/>
          <w:lang w:val="es-ES_tradnl"/>
        </w:rPr>
        <w:t>, A. y otros, Observatorio de las Tecnologías Energéticas Limpias:</w:t>
      </w:r>
      <w:r w:rsidRPr="00BC499D">
        <w:rPr>
          <w:i/>
          <w:sz w:val="24"/>
          <w:lang w:val="es-ES_tradnl"/>
        </w:rPr>
        <w:t xml:space="preserve"> </w:t>
      </w:r>
      <w:r w:rsidRPr="00BC499D">
        <w:rPr>
          <w:sz w:val="24"/>
          <w:lang w:val="es-ES_tradnl"/>
        </w:rPr>
        <w:t>«</w:t>
      </w:r>
      <w:proofErr w:type="spellStart"/>
      <w:r w:rsidRPr="00BC499D">
        <w:rPr>
          <w:sz w:val="24"/>
          <w:lang w:val="es-ES_tradnl"/>
        </w:rPr>
        <w:t>Overall</w:t>
      </w:r>
      <w:proofErr w:type="spellEnd"/>
      <w:r w:rsidRPr="00BC499D">
        <w:rPr>
          <w:sz w:val="24"/>
          <w:lang w:val="es-ES_tradnl"/>
        </w:rPr>
        <w:t xml:space="preserve"> Strategic </w:t>
      </w:r>
      <w:proofErr w:type="spellStart"/>
      <w:r w:rsidRPr="00BC499D">
        <w:rPr>
          <w:sz w:val="24"/>
          <w:lang w:val="es-ES_tradnl"/>
        </w:rPr>
        <w:t>Analysis</w:t>
      </w:r>
      <w:proofErr w:type="spellEnd"/>
      <w:r w:rsidRPr="00BC499D">
        <w:rPr>
          <w:sz w:val="24"/>
          <w:lang w:val="es-ES_tradnl"/>
        </w:rPr>
        <w:t xml:space="preserve"> of Clean Energy </w:t>
      </w:r>
      <w:proofErr w:type="spellStart"/>
      <w:r w:rsidRPr="00BC499D">
        <w:rPr>
          <w:sz w:val="24"/>
          <w:lang w:val="es-ES_tradnl"/>
        </w:rPr>
        <w:t>Technology</w:t>
      </w:r>
      <w:proofErr w:type="spellEnd"/>
      <w:r w:rsidRPr="00BC499D">
        <w:rPr>
          <w:sz w:val="24"/>
          <w:lang w:val="es-ES_tradnl"/>
        </w:rPr>
        <w:t xml:space="preserve"> in the European </w:t>
      </w:r>
      <w:proofErr w:type="spellStart"/>
      <w:r w:rsidRPr="00BC499D">
        <w:rPr>
          <w:sz w:val="24"/>
          <w:lang w:val="es-ES_tradnl"/>
        </w:rPr>
        <w:t>Union</w:t>
      </w:r>
      <w:proofErr w:type="spellEnd"/>
      <w:r w:rsidRPr="00BC499D">
        <w:rPr>
          <w:sz w:val="24"/>
          <w:lang w:val="es-ES_tradnl"/>
        </w:rPr>
        <w:t xml:space="preserve"> – 2022 Status Report» (Análisis estratégico global de las tecnologías energéticas limpias en la Unión Europea – Informe de situación 2022), Oficina de Publicaciones de la Unión Europea, Luxemburgo, 2022.</w:t>
      </w:r>
    </w:p>
  </w:footnote>
  <w:footnote w:id="15">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 xml:space="preserve">Ernst &amp; Young, RINA </w:t>
      </w:r>
      <w:proofErr w:type="spellStart"/>
      <w:r w:rsidRPr="00BC499D">
        <w:rPr>
          <w:sz w:val="24"/>
          <w:lang w:val="es-ES_tradnl"/>
        </w:rPr>
        <w:t>Consulting</w:t>
      </w:r>
      <w:proofErr w:type="spellEnd"/>
      <w:r w:rsidRPr="00BC499D">
        <w:rPr>
          <w:sz w:val="24"/>
          <w:lang w:val="es-ES_tradnl"/>
        </w:rPr>
        <w:t xml:space="preserve"> </w:t>
      </w:r>
      <w:proofErr w:type="spellStart"/>
      <w:r w:rsidRPr="00BC499D">
        <w:rPr>
          <w:sz w:val="24"/>
          <w:lang w:val="es-ES_tradnl"/>
        </w:rPr>
        <w:t>S.p.A</w:t>
      </w:r>
      <w:proofErr w:type="spellEnd"/>
      <w:r w:rsidRPr="00BC499D">
        <w:rPr>
          <w:sz w:val="24"/>
          <w:lang w:val="es-ES_tradnl"/>
        </w:rPr>
        <w:t>, Vito: «Study on ‘</w:t>
      </w:r>
      <w:proofErr w:type="spellStart"/>
      <w:r w:rsidRPr="00BC499D">
        <w:rPr>
          <w:sz w:val="24"/>
          <w:lang w:val="es-ES_tradnl"/>
        </w:rPr>
        <w:t>Geothermal</w:t>
      </w:r>
      <w:proofErr w:type="spellEnd"/>
      <w:r w:rsidRPr="00BC499D">
        <w:rPr>
          <w:sz w:val="24"/>
          <w:lang w:val="es-ES_tradnl"/>
        </w:rPr>
        <w:t xml:space="preserve"> </w:t>
      </w:r>
      <w:proofErr w:type="spellStart"/>
      <w:r w:rsidRPr="00BC499D">
        <w:rPr>
          <w:sz w:val="24"/>
          <w:lang w:val="es-ES_tradnl"/>
        </w:rPr>
        <w:t>plants</w:t>
      </w:r>
      <w:proofErr w:type="spellEnd"/>
      <w:r w:rsidRPr="00BC499D">
        <w:rPr>
          <w:sz w:val="24"/>
          <w:lang w:val="es-ES_tradnl"/>
        </w:rPr>
        <w:t xml:space="preserve">’ and </w:t>
      </w:r>
      <w:proofErr w:type="spellStart"/>
      <w:r w:rsidRPr="00BC499D">
        <w:rPr>
          <w:sz w:val="24"/>
          <w:lang w:val="es-ES_tradnl"/>
        </w:rPr>
        <w:t>applications</w:t>
      </w:r>
      <w:proofErr w:type="spellEnd"/>
      <w:r w:rsidRPr="00BC499D">
        <w:rPr>
          <w:sz w:val="24"/>
          <w:lang w:val="es-ES_tradnl"/>
        </w:rPr>
        <w:t xml:space="preserve">’ emissions: Overview and </w:t>
      </w:r>
      <w:proofErr w:type="spellStart"/>
      <w:r w:rsidRPr="00BC499D">
        <w:rPr>
          <w:sz w:val="24"/>
          <w:lang w:val="es-ES_tradnl"/>
        </w:rPr>
        <w:t>analysis</w:t>
      </w:r>
      <w:proofErr w:type="spellEnd"/>
      <w:r w:rsidRPr="00BC499D">
        <w:rPr>
          <w:sz w:val="24"/>
          <w:lang w:val="es-ES_tradnl"/>
        </w:rPr>
        <w:t>» (Emisiones de plantas y aplicaciones geotérmicas: visión general y análisis), Oficina de Publicaciones de la Unión Europea, Luxemburgo, 2020.</w:t>
      </w:r>
    </w:p>
  </w:footnote>
  <w:footnote w:id="16">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proofErr w:type="spellStart"/>
      <w:r w:rsidRPr="00BC499D">
        <w:rPr>
          <w:sz w:val="24"/>
          <w:lang w:val="es-ES_tradnl"/>
        </w:rPr>
        <w:t>Bacquet</w:t>
      </w:r>
      <w:proofErr w:type="spellEnd"/>
      <w:r w:rsidRPr="00BC499D">
        <w:rPr>
          <w:sz w:val="24"/>
          <w:lang w:val="es-ES_tradnl"/>
        </w:rPr>
        <w:t xml:space="preserve">, A., Galindo Fernández, M., </w:t>
      </w:r>
      <w:proofErr w:type="spellStart"/>
      <w:r w:rsidRPr="00BC499D">
        <w:rPr>
          <w:sz w:val="24"/>
          <w:lang w:val="es-ES_tradnl"/>
        </w:rPr>
        <w:t>Oger</w:t>
      </w:r>
      <w:proofErr w:type="spellEnd"/>
      <w:r w:rsidRPr="00BC499D">
        <w:rPr>
          <w:sz w:val="24"/>
          <w:lang w:val="es-ES_tradnl"/>
        </w:rPr>
        <w:t>, A. y otros: «</w:t>
      </w:r>
      <w:proofErr w:type="spellStart"/>
      <w:r w:rsidRPr="00BC499D">
        <w:fldChar w:fldCharType="begin"/>
      </w:r>
      <w:r w:rsidRPr="00BC499D">
        <w:rPr>
          <w:sz w:val="24"/>
          <w:lang w:val="es-ES_tradnl"/>
        </w:rPr>
        <w:instrText xml:space="preserve"> HYPERLINK "https://data.europa.eu/doi/10.2833/96390" </w:instrText>
      </w:r>
      <w:r w:rsidRPr="00BC499D">
        <w:fldChar w:fldCharType="separate"/>
      </w:r>
      <w:r w:rsidRPr="00BC499D">
        <w:rPr>
          <w:rStyle w:val="Hyperlink"/>
          <w:i/>
          <w:sz w:val="24"/>
          <w:lang w:val="es-ES_tradnl"/>
        </w:rPr>
        <w:t>District</w:t>
      </w:r>
      <w:proofErr w:type="spellEnd"/>
      <w:r w:rsidRPr="00BC499D">
        <w:rPr>
          <w:rStyle w:val="Hyperlink"/>
          <w:i/>
          <w:sz w:val="24"/>
          <w:lang w:val="es-ES_tradnl"/>
        </w:rPr>
        <w:t xml:space="preserve"> </w:t>
      </w:r>
      <w:proofErr w:type="spellStart"/>
      <w:r w:rsidRPr="00BC499D">
        <w:rPr>
          <w:rStyle w:val="Hyperlink"/>
          <w:i/>
          <w:sz w:val="24"/>
          <w:lang w:val="es-ES_tradnl"/>
        </w:rPr>
        <w:t>heating</w:t>
      </w:r>
      <w:proofErr w:type="spellEnd"/>
      <w:r w:rsidRPr="00BC499D">
        <w:rPr>
          <w:rStyle w:val="Hyperlink"/>
          <w:i/>
          <w:sz w:val="24"/>
          <w:lang w:val="es-ES_tradnl"/>
        </w:rPr>
        <w:t xml:space="preserve"> and </w:t>
      </w:r>
      <w:proofErr w:type="spellStart"/>
      <w:r w:rsidRPr="00BC499D">
        <w:rPr>
          <w:rStyle w:val="Hyperlink"/>
          <w:i/>
          <w:sz w:val="24"/>
          <w:lang w:val="es-ES_tradnl"/>
        </w:rPr>
        <w:t>cooling</w:t>
      </w:r>
      <w:proofErr w:type="spellEnd"/>
      <w:r w:rsidRPr="00BC499D">
        <w:rPr>
          <w:rStyle w:val="Hyperlink"/>
          <w:i/>
          <w:sz w:val="24"/>
          <w:lang w:val="es-ES_tradnl"/>
        </w:rPr>
        <w:t xml:space="preserve"> in the EU – Overview of </w:t>
      </w:r>
      <w:proofErr w:type="spellStart"/>
      <w:r w:rsidRPr="00BC499D">
        <w:rPr>
          <w:rStyle w:val="Hyperlink"/>
          <w:i/>
          <w:sz w:val="24"/>
          <w:lang w:val="es-ES_tradnl"/>
        </w:rPr>
        <w:t>markets</w:t>
      </w:r>
      <w:proofErr w:type="spellEnd"/>
      <w:r w:rsidRPr="00BC499D">
        <w:rPr>
          <w:rStyle w:val="Hyperlink"/>
          <w:i/>
          <w:sz w:val="24"/>
          <w:lang w:val="es-ES_tradnl"/>
        </w:rPr>
        <w:t xml:space="preserve"> and </w:t>
      </w:r>
      <w:proofErr w:type="spellStart"/>
      <w:r w:rsidRPr="00BC499D">
        <w:rPr>
          <w:rStyle w:val="Hyperlink"/>
          <w:i/>
          <w:sz w:val="24"/>
          <w:lang w:val="es-ES_tradnl"/>
        </w:rPr>
        <w:t>regulatory</w:t>
      </w:r>
      <w:proofErr w:type="spellEnd"/>
      <w:r w:rsidRPr="00BC499D">
        <w:rPr>
          <w:rStyle w:val="Hyperlink"/>
          <w:i/>
          <w:sz w:val="24"/>
          <w:lang w:val="es-ES_tradnl"/>
        </w:rPr>
        <w:t xml:space="preserve"> </w:t>
      </w:r>
      <w:proofErr w:type="spellStart"/>
      <w:r w:rsidRPr="00BC499D">
        <w:rPr>
          <w:rStyle w:val="Hyperlink"/>
          <w:i/>
          <w:sz w:val="24"/>
          <w:lang w:val="es-ES_tradnl"/>
        </w:rPr>
        <w:t>frameworks</w:t>
      </w:r>
      <w:proofErr w:type="spellEnd"/>
      <w:r w:rsidRPr="00BC499D">
        <w:rPr>
          <w:rStyle w:val="Hyperlink"/>
          <w:i/>
          <w:sz w:val="24"/>
          <w:lang w:val="es-ES_tradnl"/>
        </w:rPr>
        <w:t xml:space="preserve"> </w:t>
      </w:r>
      <w:proofErr w:type="spellStart"/>
      <w:r w:rsidRPr="00BC499D">
        <w:rPr>
          <w:rStyle w:val="Hyperlink"/>
          <w:i/>
          <w:sz w:val="24"/>
          <w:lang w:val="es-ES_tradnl"/>
        </w:rPr>
        <w:t>under</w:t>
      </w:r>
      <w:proofErr w:type="spellEnd"/>
      <w:r w:rsidRPr="00BC499D">
        <w:rPr>
          <w:rStyle w:val="Hyperlink"/>
          <w:i/>
          <w:sz w:val="24"/>
          <w:lang w:val="es-ES_tradnl"/>
        </w:rPr>
        <w:t xml:space="preserve"> the </w:t>
      </w:r>
      <w:proofErr w:type="spellStart"/>
      <w:r w:rsidRPr="00BC499D">
        <w:rPr>
          <w:rStyle w:val="Hyperlink"/>
          <w:i/>
          <w:sz w:val="24"/>
          <w:lang w:val="es-ES_tradnl"/>
        </w:rPr>
        <w:t>revised</w:t>
      </w:r>
      <w:proofErr w:type="spellEnd"/>
      <w:r w:rsidRPr="00BC499D">
        <w:rPr>
          <w:rStyle w:val="Hyperlink"/>
          <w:i/>
          <w:sz w:val="24"/>
          <w:lang w:val="es-ES_tradnl"/>
        </w:rPr>
        <w:t xml:space="preserve"> </w:t>
      </w:r>
      <w:proofErr w:type="spellStart"/>
      <w:r w:rsidRPr="00BC499D">
        <w:rPr>
          <w:rStyle w:val="Hyperlink"/>
          <w:i/>
          <w:sz w:val="24"/>
          <w:lang w:val="es-ES_tradnl"/>
        </w:rPr>
        <w:t>Renewable</w:t>
      </w:r>
      <w:proofErr w:type="spellEnd"/>
      <w:r w:rsidRPr="00BC499D">
        <w:rPr>
          <w:rStyle w:val="Hyperlink"/>
          <w:i/>
          <w:sz w:val="24"/>
          <w:lang w:val="es-ES_tradnl"/>
        </w:rPr>
        <w:t xml:space="preserve"> Energy </w:t>
      </w:r>
      <w:proofErr w:type="spellStart"/>
      <w:r w:rsidRPr="00BC499D">
        <w:rPr>
          <w:rStyle w:val="Hyperlink"/>
          <w:i/>
          <w:sz w:val="24"/>
          <w:lang w:val="es-ES_tradnl"/>
        </w:rPr>
        <w:t>Directive</w:t>
      </w:r>
      <w:proofErr w:type="spellEnd"/>
      <w:r w:rsidRPr="00BC499D">
        <w:rPr>
          <w:rStyle w:val="Hyperlink"/>
          <w:i/>
          <w:sz w:val="24"/>
          <w:lang w:val="es-ES_tradnl"/>
        </w:rPr>
        <w:fldChar w:fldCharType="end"/>
      </w:r>
      <w:r w:rsidRPr="00BC499D">
        <w:rPr>
          <w:sz w:val="24"/>
          <w:lang w:val="es-ES_tradnl"/>
        </w:rPr>
        <w:t xml:space="preserve">» (Calefacción y refrigeración urbanas en la UE — Visión general de los mercados y marcos reglamentarios en virtud de la Directiva revisada sobre fuentes de energía renovables). </w:t>
      </w:r>
      <w:hyperlink r:id="rId1" w:history="1">
        <w:r w:rsidRPr="00BC499D">
          <w:rPr>
            <w:rStyle w:val="Hyperlink"/>
            <w:i/>
            <w:sz w:val="24"/>
            <w:lang w:val="es-ES_tradnl"/>
          </w:rPr>
          <w:t>Anexos VI y VII – versión final</w:t>
        </w:r>
      </w:hyperlink>
      <w:r w:rsidRPr="00BC499D">
        <w:rPr>
          <w:sz w:val="24"/>
          <w:lang w:val="es-ES_tradnl"/>
        </w:rPr>
        <w:t>, Oficina de Publicaciones de la Unión Europea, 2022.</w:t>
      </w:r>
    </w:p>
  </w:footnote>
  <w:footnote w:id="17">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proofErr w:type="spellStart"/>
      <w:r w:rsidRPr="00BC499D">
        <w:rPr>
          <w:sz w:val="24"/>
          <w:lang w:val="es-ES_tradnl"/>
        </w:rPr>
        <w:t>Toleikyte</w:t>
      </w:r>
      <w:proofErr w:type="spellEnd"/>
      <w:r w:rsidRPr="00BC499D">
        <w:rPr>
          <w:sz w:val="24"/>
          <w:lang w:val="es-ES_tradnl"/>
        </w:rPr>
        <w:t>, A. y otros: «</w:t>
      </w:r>
      <w:hyperlink r:id="rId2" w:history="1">
        <w:r w:rsidRPr="00BC499D">
          <w:rPr>
            <w:rStyle w:val="Hyperlink"/>
            <w:sz w:val="24"/>
            <w:lang w:val="es-ES_tradnl"/>
          </w:rPr>
          <w:t xml:space="preserve">The </w:t>
        </w:r>
        <w:proofErr w:type="spellStart"/>
        <w:r w:rsidRPr="00BC499D">
          <w:rPr>
            <w:rStyle w:val="Hyperlink"/>
            <w:sz w:val="24"/>
            <w:lang w:val="es-ES_tradnl"/>
          </w:rPr>
          <w:t>Heat</w:t>
        </w:r>
        <w:proofErr w:type="spellEnd"/>
        <w:r w:rsidRPr="00BC499D">
          <w:rPr>
            <w:rStyle w:val="Hyperlink"/>
            <w:sz w:val="24"/>
            <w:lang w:val="es-ES_tradnl"/>
          </w:rPr>
          <w:t xml:space="preserve"> </w:t>
        </w:r>
        <w:proofErr w:type="spellStart"/>
        <w:r w:rsidRPr="00BC499D">
          <w:rPr>
            <w:rStyle w:val="Hyperlink"/>
            <w:sz w:val="24"/>
            <w:lang w:val="es-ES_tradnl"/>
          </w:rPr>
          <w:t>Pump</w:t>
        </w:r>
        <w:proofErr w:type="spellEnd"/>
        <w:r w:rsidRPr="00BC499D">
          <w:rPr>
            <w:rStyle w:val="Hyperlink"/>
            <w:sz w:val="24"/>
            <w:lang w:val="es-ES_tradnl"/>
          </w:rPr>
          <w:t xml:space="preserve"> Wave: Opportunities and Challenges</w:t>
        </w:r>
      </w:hyperlink>
      <w:r w:rsidRPr="00BC499D">
        <w:rPr>
          <w:sz w:val="24"/>
          <w:lang w:val="es-ES_tradnl"/>
        </w:rPr>
        <w:t>» (La oleada de bombas de calor: oportunidades y desafíos), Oficina de Publicaciones de la Unión Europea, Luxemburgo, 2023.</w:t>
      </w:r>
    </w:p>
  </w:footnote>
  <w:footnote w:id="18">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proofErr w:type="spellStart"/>
      <w:r w:rsidRPr="00BC499D">
        <w:rPr>
          <w:sz w:val="24"/>
          <w:lang w:val="es-ES_tradnl"/>
        </w:rPr>
        <w:t>Breitschopf</w:t>
      </w:r>
      <w:proofErr w:type="spellEnd"/>
      <w:r w:rsidRPr="00BC499D">
        <w:rPr>
          <w:sz w:val="24"/>
          <w:lang w:val="es-ES_tradnl"/>
        </w:rPr>
        <w:t>, B. y otros: «</w:t>
      </w:r>
      <w:hyperlink r:id="rId3" w:history="1">
        <w:r w:rsidRPr="00BC499D">
          <w:rPr>
            <w:rStyle w:val="Hyperlink"/>
            <w:i/>
            <w:sz w:val="24"/>
            <w:lang w:val="es-ES_tradnl"/>
          </w:rPr>
          <w:t xml:space="preserve">Overview of </w:t>
        </w:r>
        <w:proofErr w:type="spellStart"/>
        <w:r w:rsidRPr="00BC499D">
          <w:rPr>
            <w:rStyle w:val="Hyperlink"/>
            <w:i/>
            <w:sz w:val="24"/>
            <w:lang w:val="es-ES_tradnl"/>
          </w:rPr>
          <w:t>heating</w:t>
        </w:r>
        <w:proofErr w:type="spellEnd"/>
        <w:r w:rsidRPr="00BC499D">
          <w:rPr>
            <w:rStyle w:val="Hyperlink"/>
            <w:i/>
            <w:sz w:val="24"/>
            <w:lang w:val="es-ES_tradnl"/>
          </w:rPr>
          <w:t xml:space="preserve"> and </w:t>
        </w:r>
        <w:proofErr w:type="spellStart"/>
        <w:r w:rsidRPr="00BC499D">
          <w:rPr>
            <w:rStyle w:val="Hyperlink"/>
            <w:i/>
            <w:sz w:val="24"/>
            <w:lang w:val="es-ES_tradnl"/>
          </w:rPr>
          <w:t>cooling</w:t>
        </w:r>
        <w:proofErr w:type="spellEnd"/>
        <w:r w:rsidRPr="00BC499D">
          <w:rPr>
            <w:rStyle w:val="Hyperlink"/>
            <w:i/>
            <w:sz w:val="24"/>
            <w:lang w:val="es-ES_tradnl"/>
          </w:rPr>
          <w:t xml:space="preserve"> - </w:t>
        </w:r>
        <w:proofErr w:type="spellStart"/>
        <w:r w:rsidRPr="00BC499D">
          <w:rPr>
            <w:rStyle w:val="Hyperlink"/>
            <w:i/>
            <w:sz w:val="24"/>
            <w:lang w:val="es-ES_tradnl"/>
          </w:rPr>
          <w:t>Perceptions</w:t>
        </w:r>
        <w:proofErr w:type="spellEnd"/>
        <w:r w:rsidRPr="00BC499D">
          <w:rPr>
            <w:rStyle w:val="Hyperlink"/>
            <w:i/>
            <w:sz w:val="24"/>
            <w:lang w:val="es-ES_tradnl"/>
          </w:rPr>
          <w:t xml:space="preserve">, </w:t>
        </w:r>
        <w:proofErr w:type="spellStart"/>
        <w:r w:rsidRPr="00BC499D">
          <w:rPr>
            <w:rStyle w:val="Hyperlink"/>
            <w:i/>
            <w:sz w:val="24"/>
            <w:lang w:val="es-ES_tradnl"/>
          </w:rPr>
          <w:t>markets</w:t>
        </w:r>
        <w:proofErr w:type="spellEnd"/>
        <w:r w:rsidRPr="00BC499D">
          <w:rPr>
            <w:rStyle w:val="Hyperlink"/>
            <w:i/>
            <w:sz w:val="24"/>
            <w:lang w:val="es-ES_tradnl"/>
          </w:rPr>
          <w:t xml:space="preserve"> and </w:t>
        </w:r>
        <w:proofErr w:type="spellStart"/>
        <w:r w:rsidRPr="00BC499D">
          <w:rPr>
            <w:rStyle w:val="Hyperlink"/>
            <w:i/>
            <w:sz w:val="24"/>
            <w:lang w:val="es-ES_tradnl"/>
          </w:rPr>
          <w:t>regulatory</w:t>
        </w:r>
        <w:proofErr w:type="spellEnd"/>
        <w:r w:rsidRPr="00BC499D">
          <w:rPr>
            <w:rStyle w:val="Hyperlink"/>
            <w:i/>
            <w:sz w:val="24"/>
            <w:lang w:val="es-ES_tradnl"/>
          </w:rPr>
          <w:t xml:space="preserve"> </w:t>
        </w:r>
        <w:proofErr w:type="spellStart"/>
        <w:r w:rsidRPr="00BC499D">
          <w:rPr>
            <w:rStyle w:val="Hyperlink"/>
            <w:i/>
            <w:sz w:val="24"/>
            <w:lang w:val="es-ES_tradnl"/>
          </w:rPr>
          <w:t>frameworks</w:t>
        </w:r>
        <w:proofErr w:type="spellEnd"/>
        <w:r w:rsidRPr="00BC499D">
          <w:rPr>
            <w:rStyle w:val="Hyperlink"/>
            <w:i/>
            <w:sz w:val="24"/>
            <w:lang w:val="es-ES_tradnl"/>
          </w:rPr>
          <w:t xml:space="preserve"> for </w:t>
        </w:r>
        <w:proofErr w:type="spellStart"/>
        <w:r w:rsidRPr="00BC499D">
          <w:rPr>
            <w:rStyle w:val="Hyperlink"/>
            <w:i/>
            <w:sz w:val="24"/>
            <w:lang w:val="es-ES_tradnl"/>
          </w:rPr>
          <w:t>decarbonisation</w:t>
        </w:r>
        <w:proofErr w:type="spellEnd"/>
        <w:r w:rsidRPr="00BC499D">
          <w:rPr>
            <w:rStyle w:val="Hyperlink"/>
            <w:i/>
            <w:sz w:val="24"/>
            <w:lang w:val="es-ES_tradnl"/>
          </w:rPr>
          <w:t xml:space="preserve"> – Final </w:t>
        </w:r>
        <w:proofErr w:type="spellStart"/>
        <w:r w:rsidRPr="00BC499D">
          <w:rPr>
            <w:rStyle w:val="Hyperlink"/>
            <w:i/>
            <w:sz w:val="24"/>
            <w:lang w:val="es-ES_tradnl"/>
          </w:rPr>
          <w:t>report</w:t>
        </w:r>
        <w:proofErr w:type="spellEnd"/>
      </w:hyperlink>
      <w:r w:rsidRPr="00BC499D">
        <w:rPr>
          <w:sz w:val="24"/>
          <w:lang w:val="es-ES_tradnl"/>
        </w:rPr>
        <w:t>» (Visión general de la calefacción y la refrigeración — Concepciones, mercados y marcos reglamentarios para la descarbonización – Informe final), Oficina de Publicaciones de la Unión Europea, Luxemburgo, 2023.</w:t>
      </w:r>
    </w:p>
  </w:footnote>
  <w:footnote w:id="19">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C 251 de 30.6.2022, p. 58</w:t>
      </w:r>
      <w:r w:rsidRPr="003038A1">
        <w:rPr>
          <w:sz w:val="24"/>
          <w:lang w:val="pt-PT"/>
        </w:rPr>
        <w:t>.</w:t>
      </w:r>
    </w:p>
  </w:footnote>
  <w:footnote w:id="20">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C 371 de 15.9.2021, p. 58</w:t>
      </w:r>
      <w:r w:rsidRPr="003038A1">
        <w:rPr>
          <w:sz w:val="24"/>
          <w:lang w:val="pt-PT"/>
        </w:rPr>
        <w:t>.</w:t>
      </w:r>
    </w:p>
  </w:footnote>
  <w:footnote w:id="21">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C 103 de 20.3.2023, p. 1</w:t>
      </w:r>
      <w:r w:rsidRPr="003038A1">
        <w:rPr>
          <w:sz w:val="24"/>
          <w:lang w:val="pt-PT"/>
        </w:rPr>
        <w:t>.</w:t>
      </w:r>
    </w:p>
  </w:footnote>
  <w:footnote w:id="22">
    <w:p w:rsidR="00B878C8" w:rsidRPr="003038A1" w:rsidRDefault="00B878C8" w:rsidP="00BC499D">
      <w:pPr>
        <w:pStyle w:val="FootnoteText"/>
        <w:ind w:left="567" w:hanging="567"/>
        <w:rPr>
          <w:sz w:val="24"/>
          <w:lang w:val="pt-PT"/>
        </w:rPr>
      </w:pPr>
      <w:r w:rsidRPr="00BC499D">
        <w:rPr>
          <w:rStyle w:val="FootnoteReference"/>
          <w:sz w:val="24"/>
          <w:lang w:val="es-ES_tradnl"/>
        </w:rPr>
        <w:footnoteRef/>
      </w:r>
      <w:r w:rsidR="00BC499D" w:rsidRPr="003038A1">
        <w:rPr>
          <w:sz w:val="24"/>
          <w:lang w:val="pt-PT"/>
        </w:rPr>
        <w:t xml:space="preserve"> </w:t>
      </w:r>
      <w:r w:rsidR="00BC499D" w:rsidRPr="003038A1">
        <w:rPr>
          <w:sz w:val="24"/>
          <w:lang w:val="pt-PT"/>
        </w:rPr>
        <w:tab/>
      </w:r>
      <w:r w:rsidR="00234D7F" w:rsidRPr="003038A1">
        <w:rPr>
          <w:lang w:val="pt-PT"/>
        </w:rPr>
        <w:t>DO C 456 de 10.11.2021, p. 145</w:t>
      </w:r>
      <w:r w:rsidRPr="003038A1">
        <w:rPr>
          <w:sz w:val="24"/>
          <w:lang w:val="pt-PT"/>
        </w:rPr>
        <w:t>.</w:t>
      </w:r>
    </w:p>
  </w:footnote>
  <w:footnote w:id="23">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 xml:space="preserve">Eurostat 2021, </w:t>
      </w:r>
      <w:hyperlink r:id="rId4" w:anchor="Energy_consumption_in_households_by_type_of_end-use" w:history="1">
        <w:r w:rsidRPr="00BC499D">
          <w:rPr>
            <w:rStyle w:val="Hyperlink"/>
            <w:sz w:val="24"/>
            <w:lang w:val="es-ES_tradnl"/>
          </w:rPr>
          <w:t>Consumo de energía en los hogares</w:t>
        </w:r>
      </w:hyperlink>
      <w:r w:rsidRPr="00BC499D">
        <w:rPr>
          <w:sz w:val="24"/>
          <w:lang w:val="es-ES_tradnl"/>
        </w:rPr>
        <w:t xml:space="preserve">. </w:t>
      </w:r>
    </w:p>
  </w:footnote>
  <w:footnote w:id="24">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Directiva 2012/27/UE del Parlamento Europeo y del Consejo, de 25 de octubre de 2012, relativa a la eficiencia energética, por la que se modifican las Directivas 2009/125/CE y 2010/30/UE, y por la que se derogan las Directivas 2004/8/CE y 2006/32/CE (</w:t>
      </w:r>
      <w:r w:rsidR="00234D7F" w:rsidRPr="003038A1">
        <w:rPr>
          <w:lang w:val="es-ES"/>
        </w:rPr>
        <w:t>DO L 315 de 14.11.2012, p. 1</w:t>
      </w:r>
      <w:r w:rsidRPr="00BC499D">
        <w:rPr>
          <w:sz w:val="24"/>
          <w:lang w:val="es-ES_tradnl"/>
        </w:rPr>
        <w:t>).</w:t>
      </w:r>
    </w:p>
  </w:footnote>
  <w:footnote w:id="25">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Como las iniciativas nacionales adoptadas por Polonia (Programa plurianual para el desarrollo del uso de los recursos geotérmicos en Polonia, 2022), Francia (Plan de acción nacional sobre la energía geotérmica, 2023) y Alemania (Estrategia alemana de la energía geotérmica, 2022).</w:t>
      </w:r>
    </w:p>
  </w:footnote>
  <w:footnote w:id="26">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Directiva 2009/31/CE, de 23 de abril de 2009, relativa al almacenamiento geológico de dióxido de carbono y por la que se modifican la Directiva 85/337/CEE del Consejo, las Directivas 2000/60/CE, 2001/80/CE, 2004/35/CE, 2006/12/CE, 2008/1/CE y el Reglamento (CE) n.º 1013/2006 del Parlamento Europeo y del Consejo</w:t>
      </w:r>
      <w:r w:rsidR="009D73F8">
        <w:rPr>
          <w:sz w:val="24"/>
          <w:lang w:val="es-ES_tradnl"/>
        </w:rPr>
        <w:t xml:space="preserve"> (DO L 140 de 5.6.2009, p. 114)</w:t>
      </w:r>
      <w:r w:rsidRPr="00BC499D">
        <w:rPr>
          <w:sz w:val="24"/>
          <w:lang w:val="es-ES_tradnl"/>
        </w:rPr>
        <w:t>.</w:t>
      </w:r>
    </w:p>
  </w:footnote>
  <w:footnote w:id="27">
    <w:p w:rsidR="00B878C8" w:rsidRPr="00BC499D" w:rsidRDefault="00B878C8" w:rsidP="00BC499D">
      <w:pPr>
        <w:pStyle w:val="FootnoteText"/>
        <w:ind w:left="567" w:hanging="567"/>
        <w:rPr>
          <w:sz w:val="24"/>
          <w:lang w:val="es-ES_tradnl"/>
        </w:rPr>
      </w:pPr>
      <w:r w:rsidRPr="00BC499D">
        <w:rPr>
          <w:rStyle w:val="FootnoteReference"/>
          <w:sz w:val="24"/>
          <w:lang w:val="es-ES_tradnl"/>
        </w:rPr>
        <w:footnoteRef/>
      </w:r>
      <w:r w:rsidR="00BC499D" w:rsidRPr="00BC499D">
        <w:rPr>
          <w:sz w:val="24"/>
          <w:lang w:val="es-ES_tradnl"/>
        </w:rPr>
        <w:t xml:space="preserve"> </w:t>
      </w:r>
      <w:r w:rsidR="00BC499D" w:rsidRPr="00BC499D">
        <w:rPr>
          <w:sz w:val="24"/>
          <w:lang w:val="es-ES_tradnl"/>
        </w:rPr>
        <w:tab/>
      </w:r>
      <w:r w:rsidRPr="00BC499D">
        <w:rPr>
          <w:sz w:val="24"/>
          <w:lang w:val="es-ES_tradnl"/>
        </w:rPr>
        <w:t>Reglamento (UE) 2020/852 del Parlamento Europeo y del Consejo, de 18 de junio de 2020, relativo al establecimiento de un marco para facilitar las inversiones sostenibles y por el que se modifica el Reglamento (UE) 2019/2088</w:t>
      </w:r>
      <w:r w:rsidR="009D73F8">
        <w:rPr>
          <w:sz w:val="24"/>
          <w:lang w:val="es-ES_tradnl"/>
        </w:rPr>
        <w:t xml:space="preserve"> </w:t>
      </w:r>
      <w:r w:rsidR="009D73F8" w:rsidRPr="009D73F8">
        <w:rPr>
          <w:sz w:val="24"/>
          <w:lang w:val="es-ES_tradnl"/>
        </w:rPr>
        <w:t>Consejo (DO L 198 de 22.</w:t>
      </w:r>
      <w:r w:rsidR="009D73F8">
        <w:rPr>
          <w:sz w:val="24"/>
          <w:lang w:val="es-ES_tradnl"/>
        </w:rPr>
        <w:t>6.2020, p. 13)</w:t>
      </w:r>
      <w:r w:rsidRPr="00BC499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9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9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ES"/>
    <w:docVar w:name="dvnumam" w:val="0"/>
    <w:docVar w:name="dvpe" w:val="752.863"/>
    <w:docVar w:name="dvrapporteur" w:val="Ponente: "/>
    <w:docVar w:name="dvtitre" w:val="Resolución del Parlamento Europeo, de 18 de enero de 2024, sobre la energía geotérmica(2023/2111(INI))"/>
  </w:docVars>
  <w:rsids>
    <w:rsidRoot w:val="001F5ED0"/>
    <w:rsid w:val="00002272"/>
    <w:rsid w:val="00064002"/>
    <w:rsid w:val="000677B9"/>
    <w:rsid w:val="000831BA"/>
    <w:rsid w:val="000A42CC"/>
    <w:rsid w:val="000E7DD9"/>
    <w:rsid w:val="0010095E"/>
    <w:rsid w:val="00125B37"/>
    <w:rsid w:val="00187494"/>
    <w:rsid w:val="001F32AE"/>
    <w:rsid w:val="001F5ED0"/>
    <w:rsid w:val="00233DD8"/>
    <w:rsid w:val="00234D7F"/>
    <w:rsid w:val="002767FF"/>
    <w:rsid w:val="002B18FE"/>
    <w:rsid w:val="002B5493"/>
    <w:rsid w:val="003038A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2F11"/>
    <w:rsid w:val="007E22AD"/>
    <w:rsid w:val="00817416"/>
    <w:rsid w:val="00842779"/>
    <w:rsid w:val="00865F67"/>
    <w:rsid w:val="00881A7B"/>
    <w:rsid w:val="008840E5"/>
    <w:rsid w:val="00887B3E"/>
    <w:rsid w:val="008C2AC6"/>
    <w:rsid w:val="00930C23"/>
    <w:rsid w:val="0093193B"/>
    <w:rsid w:val="009509D8"/>
    <w:rsid w:val="00950B64"/>
    <w:rsid w:val="00981893"/>
    <w:rsid w:val="009D73F8"/>
    <w:rsid w:val="00A1687D"/>
    <w:rsid w:val="00A43E52"/>
    <w:rsid w:val="00A4678D"/>
    <w:rsid w:val="00A778C7"/>
    <w:rsid w:val="00AB441E"/>
    <w:rsid w:val="00AB6293"/>
    <w:rsid w:val="00AE0928"/>
    <w:rsid w:val="00AF3B82"/>
    <w:rsid w:val="00B12E95"/>
    <w:rsid w:val="00B22876"/>
    <w:rsid w:val="00B558F0"/>
    <w:rsid w:val="00B878C8"/>
    <w:rsid w:val="00BC499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2D9E2"/>
  <w15:chartTrackingRefBased/>
  <w15:docId w15:val="{F77BB532-BDEE-49D6-8F85-4C1745E7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78C8"/>
    <w:pPr>
      <w:spacing w:before="480" w:after="240"/>
    </w:pPr>
    <w:rPr>
      <w:snapToGrid w:val="0"/>
      <w:lang w:eastAsia="en-US"/>
    </w:rPr>
  </w:style>
  <w:style w:type="paragraph" w:customStyle="1" w:styleId="NormalHanging12a">
    <w:name w:val="NormalHanging12a"/>
    <w:basedOn w:val="Normal"/>
    <w:rsid w:val="00B878C8"/>
    <w:pPr>
      <w:widowControl/>
      <w:spacing w:after="240"/>
      <w:ind w:left="567" w:hanging="567"/>
    </w:pPr>
    <w:rPr>
      <w:snapToGrid w:val="0"/>
      <w:lang w:eastAsia="en-US"/>
    </w:rPr>
  </w:style>
  <w:style w:type="paragraph" w:customStyle="1" w:styleId="NormalCenter12a">
    <w:name w:val="NormalCenter12a"/>
    <w:basedOn w:val="Normal"/>
    <w:rsid w:val="00B878C8"/>
    <w:pPr>
      <w:spacing w:after="240"/>
      <w:jc w:val="center"/>
    </w:pPr>
  </w:style>
  <w:style w:type="character" w:customStyle="1" w:styleId="BoldItalic">
    <w:name w:val="BoldItalic"/>
    <w:uiPriority w:val="1"/>
    <w:rsid w:val="00B878C8"/>
    <w:rPr>
      <w:b/>
      <w:i/>
      <w:u w:val="none"/>
    </w:rPr>
  </w:style>
  <w:style w:type="character" w:customStyle="1" w:styleId="Italic">
    <w:name w:val="Italic"/>
    <w:uiPriority w:val="1"/>
    <w:rsid w:val="00B878C8"/>
    <w:rPr>
      <w:i/>
    </w:rPr>
  </w:style>
  <w:style w:type="paragraph" w:customStyle="1" w:styleId="Normal12a24b">
    <w:name w:val="Normal12a24b"/>
    <w:basedOn w:val="Normal"/>
    <w:rsid w:val="00B878C8"/>
    <w:pPr>
      <w:spacing w:before="360" w:after="240"/>
    </w:pPr>
    <w:rPr>
      <w:snapToGrid w:val="0"/>
      <w:lang w:eastAsia="en-US"/>
    </w:rPr>
  </w:style>
  <w:style w:type="character" w:styleId="Hyperlink">
    <w:name w:val="Hyperlink"/>
    <w:basedOn w:val="DefaultParagraphFont"/>
    <w:unhideWhenUsed/>
    <w:rsid w:val="00B878C8"/>
    <w:rPr>
      <w:color w:val="0563C1" w:themeColor="hyperlink"/>
      <w:u w:val="single"/>
    </w:rPr>
  </w:style>
  <w:style w:type="paragraph" w:styleId="BalloonText">
    <w:name w:val="Balloon Text"/>
    <w:basedOn w:val="Normal"/>
    <w:link w:val="BalloonTextChar"/>
    <w:rsid w:val="00234D7F"/>
    <w:rPr>
      <w:rFonts w:ascii="Segoe UI" w:hAnsi="Segoe UI" w:cs="Segoe UI"/>
      <w:sz w:val="18"/>
      <w:szCs w:val="18"/>
    </w:rPr>
  </w:style>
  <w:style w:type="character" w:customStyle="1" w:styleId="BalloonTextChar">
    <w:name w:val="Balloon Text Char"/>
    <w:basedOn w:val="DefaultParagraphFont"/>
    <w:link w:val="BalloonText"/>
    <w:rsid w:val="00234D7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833/962558" TargetMode="External"/><Relationship Id="rId2" Type="http://schemas.openxmlformats.org/officeDocument/2006/relationships/hyperlink" Target="https://publications.jrc.ec.europa.eu/repository/handle/JRC134045" TargetMode="External"/><Relationship Id="rId1" Type="http://schemas.openxmlformats.org/officeDocument/2006/relationships/hyperlink" Target="https://data.europa.eu/doi/10.2833/96390" TargetMode="External"/><Relationship Id="rId4" Type="http://schemas.openxmlformats.org/officeDocument/2006/relationships/hyperlink" Target="https://ec.europa.eu/eurostat/statistics-explained/index.php?title=Energy_consumption_in_househol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D127C-A49A-4691-8D65-FD8C9E66C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6753</Words>
  <Characters>37317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ÁLVAREZ PENA Ana</cp:lastModifiedBy>
  <cp:revision>2</cp:revision>
  <cp:lastPrinted>2004-11-19T15:42:00Z</cp:lastPrinted>
  <dcterms:created xsi:type="dcterms:W3CDTF">2024-02-26T09:57:00Z</dcterms:created>
  <dcterms:modified xsi:type="dcterms:W3CDTF">2024-02-26T09:57:00Z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A9-0432/2023</vt:lpwstr>
  </property>
  <property fmtid="{D5CDD505-2E9C-101B-9397-08002B2CF9AE}" pid="4" name="&lt;Type&gt;">
    <vt:lpwstr>RR</vt:lpwstr>
  </property>
</Properties>
</file>